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BE2B1" w14:textId="3D955FBA" w:rsidR="009E4D44" w:rsidRDefault="00557D77">
      <w:r>
        <w:rPr>
          <w:u w:val="single"/>
        </w:rPr>
        <w:t>Additional</w:t>
      </w:r>
      <w:r w:rsidR="00C20F4E">
        <w:rPr>
          <w:u w:val="single"/>
        </w:rPr>
        <w:t xml:space="preserve"> File 2</w:t>
      </w:r>
      <w:bookmarkStart w:id="0" w:name="_GoBack"/>
      <w:bookmarkEnd w:id="0"/>
      <w:r w:rsidR="00E84175">
        <w:rPr>
          <w:u w:val="single"/>
        </w:rPr>
        <w:t xml:space="preserve"> – Sample size back calculation</w:t>
      </w:r>
    </w:p>
    <w:p w14:paraId="23CBE2B2" w14:textId="77777777" w:rsidR="00E84175" w:rsidRDefault="00265051" w:rsidP="00E84175">
      <w:r>
        <w:t>At the beginning of the study, an ideal was sample size was calculated based purely on logistics</w:t>
      </w:r>
      <w:r w:rsidR="008E2E92">
        <w:t>;</w:t>
      </w:r>
      <w:r>
        <w:t xml:space="preserve"> the maximum number of slides that the laboratory technicians could process over the allotted study period. After the study a sample size back calculation was formulated to determine the maximum </w:t>
      </w:r>
      <w:r w:rsidR="008E2E92">
        <w:t xml:space="preserve">margin of </w:t>
      </w:r>
      <w:r>
        <w:t xml:space="preserve">error derived from the final sample size and </w:t>
      </w:r>
      <w:r w:rsidR="00956F93">
        <w:t>soil-transmitted helminth (</w:t>
      </w:r>
      <w:r>
        <w:t>STH</w:t>
      </w:r>
      <w:r w:rsidR="00956F93">
        <w:t>)</w:t>
      </w:r>
      <w:r>
        <w:t xml:space="preserve"> prevalence.</w:t>
      </w:r>
    </w:p>
    <w:p w14:paraId="23CBE2B3" w14:textId="77777777" w:rsidR="00E84175" w:rsidRDefault="00265051" w:rsidP="00E84175">
      <w:pPr>
        <w:rPr>
          <w:rFonts w:eastAsiaTheme="minorEastAsia"/>
        </w:rPr>
      </w:pPr>
      <w:r>
        <w:t xml:space="preserve">Equation 1 is the single </w:t>
      </w:r>
      <w:r w:rsidR="00D63A63">
        <w:t>proportion</w:t>
      </w:r>
      <w:r>
        <w:t xml:space="preserve"> sample size c</w:t>
      </w:r>
      <w:r w:rsidR="007F65F4">
        <w:t xml:space="preserve">alculation </w:t>
      </w:r>
      <w:r w:rsidR="007F65F4">
        <w:fldChar w:fldCharType="begin" w:fldLock="1"/>
      </w:r>
      <w:r w:rsidR="00C47EF6">
        <w:instrText>ADDIN CSL_CITATION { "citationItems" : [ { "id" : "ITEM-1", "itemData" : { "ISBN" : "0865428719", "abstract" : "2nd ed. Blackwell Publishing is delighted to announce that this book has been Highly Commended in the 2004 BMA Medical Book Competition. Here is the judges' summary of this book:. \"This is a technical book on a technical subject but presented in a delightful way. There are many books on statistics for doctors but there are few that are excellent and this is certainly one of them. Statistics is not an easy subject to teach or write about. The authors have succeeded in producing a book that is as good as it can get. For the keen student who does not want a book for mathematicians, this is an excellent f. Using this book -- Defining the data -- Displaying the data -- Means, standard deviations and standard errors -- The normal distribution -- Confidence interval for a mean -- Comparison of two means : confidence intervals, hypothesis tests and P-values -- Using P-values and confidence intervals to interpret the results of statistical analyses -- Comparison of means from several groups : analysis of variance -- Linear regression and correlation -- Multiple regression -- Goodness of fit and regression diagnostics -- Transformations -- Probability, risk and odds (of disease) -- Proportions and the binomial distribution -- Comparing two proportions -- Chi-squared tests for 2 x 2 and larger contingency tables -- Controlling for confounding : stratification -- Logistic regression : comparing two or more exposure groups -- Logistic regression : controlling for confounding and other extensions -- Matched studies -- Longitudinal studies, rates and the Poisson distribution -- Comparing rates -- Poisson regression -- Standardization -- Survival analysis : displaying and comparing survival patterns -- Regression analysis of survival data -- Likelihood -- Regression modelling -- Relaxing model assumptions -- Analysis of clustered data -- Systematic reviews and meta-analysis -- Bayesian statistics -- Linking analysis to study design : summary of methods -- Calculation of required sample size -- Measurement error : assessment and implications -- Measures of association and impact -- Strategies for analysis -- Appendix : statistical tables.", "author" : [ { "dropping-particle" : "", "family" : "Kirkwood", "given" : "Betty R.", "non-dropping-particle" : "", "parse-names" : false, "suffix" : "" }, { "dropping-particle" : "", "family" : "Sterne", "given" : "Jonathan A. C.", "non-dropping-particle" : "", "parse-names" : false, "suffix" : "" }, { "dropping-particle" : "", "family" : "Kirkwood", "given" : "Betty R.", "non-dropping-particle" : "", "parse-names" : false, "suffix" : "" } ], "id" : "ITEM-1", "issued" : { "date-parts" : [ [ "2003" ] ] }, "number-of-pages" : "501", "publisher" : "Blackwell Science", "title" : "Essential medical statistics", "type" : "book" }, "uris" : [ "http://www.mendeley.com/documents/?uuid=1920fc96-848a-36b1-907d-d1ba916ba870" ] } ], "mendeley" : { "formattedCitation" : "&lt;sup&gt;1&lt;/sup&gt;", "plainTextFormattedCitation" : "1", "previouslyFormattedCitation" : "[1]" }, "properties" : { "noteIndex" : 0 }, "schema" : "https://github.com/citation-style-language/schema/raw/master/csl-citation.json" }</w:instrText>
      </w:r>
      <w:r w:rsidR="007F65F4">
        <w:fldChar w:fldCharType="separate"/>
      </w:r>
      <w:r w:rsidR="00C47EF6" w:rsidRPr="00C47EF6">
        <w:rPr>
          <w:noProof/>
          <w:vertAlign w:val="superscript"/>
        </w:rPr>
        <w:t>1</w:t>
      </w:r>
      <w:r w:rsidR="007F65F4">
        <w:fldChar w:fldCharType="end"/>
      </w:r>
      <w:r>
        <w:t xml:space="preserve">. </w:t>
      </w:r>
      <m:oMath>
        <m:r>
          <w:rPr>
            <w:rFonts w:ascii="Cambria Math" w:hAnsi="Cambria Math"/>
          </w:rPr>
          <m:t>n</m:t>
        </m:r>
      </m:oMath>
      <w:r w:rsidR="00CA2DCE">
        <w:t xml:space="preserve"> </w:t>
      </w:r>
      <w:r>
        <w:t xml:space="preserve">= sample size, </w:t>
      </w:r>
      <m:oMath>
        <m:r>
          <w:rPr>
            <w:rFonts w:ascii="Cambria Math" w:hAnsi="Cambria Math"/>
          </w:rPr>
          <m:t>z</m:t>
        </m:r>
      </m:oMath>
      <w:r w:rsidR="00CA2DCE">
        <w:t xml:space="preserve"> </w:t>
      </w:r>
      <w:r>
        <w:t xml:space="preserve">= </w:t>
      </w:r>
      <w:r w:rsidR="00CA2DCE">
        <w:t xml:space="preserve">percentage of the normal distribution corresponding to the required two-sided significance level (5% significance in this case), </w:t>
      </w:r>
      <m:oMath>
        <m:r>
          <w:rPr>
            <w:rFonts w:ascii="Cambria Math" w:hAnsi="Cambria Math"/>
          </w:rPr>
          <m:t>m</m:t>
        </m:r>
      </m:oMath>
      <w:r w:rsidR="00CA2DCE">
        <w:t xml:space="preserve"> = </w:t>
      </w:r>
      <w:r w:rsidR="00E77D4A">
        <w:t>margin of error</w:t>
      </w:r>
      <w:r w:rsidR="00CA2DCE">
        <w:t xml:space="preserve">, </w:t>
      </w:r>
      <m:oMath>
        <m:r>
          <w:rPr>
            <w:rFonts w:ascii="Cambria Math" w:hAnsi="Cambria Math"/>
          </w:rPr>
          <m:t>p̂</m:t>
        </m:r>
      </m:oMath>
      <w:r w:rsidR="00CA2DCE">
        <w:rPr>
          <w:rFonts w:eastAsiaTheme="minorEastAsia"/>
        </w:rPr>
        <w:t xml:space="preserve"> = proportion of interest (STH prevalence).</w:t>
      </w:r>
    </w:p>
    <w:p w14:paraId="23CBE2B4" w14:textId="77777777" w:rsidR="00D27F55" w:rsidRPr="00265051" w:rsidRDefault="00D27F55" w:rsidP="00E84175"/>
    <w:p w14:paraId="23CBE2B5" w14:textId="77777777" w:rsidR="00E84175" w:rsidRPr="00265051" w:rsidRDefault="00C20F4E" w:rsidP="00E84175">
      <w:pPr>
        <w:rPr>
          <w:rFonts w:eastAsiaTheme="minorEastAsia"/>
        </w:rPr>
      </w:pPr>
      <m:oMathPara>
        <m:oMathParaPr>
          <m:jc m:val="center"/>
        </m:oMathParaPr>
        <m:oMath>
          <m:sSup>
            <m:sSupPr>
              <m:ctrlPr>
                <w:rPr>
                  <w:rFonts w:ascii="Cambria Math" w:hAnsi="Cambria Math"/>
                  <w:i/>
                </w:rPr>
              </m:ctrlPr>
            </m:sSupPr>
            <m:e>
              <m:d>
                <m:dPr>
                  <m:ctrlPr>
                    <w:rPr>
                      <w:rFonts w:ascii="Cambria Math" w:hAnsi="Cambria Math"/>
                      <w:i/>
                    </w:rPr>
                  </m:ctrlPr>
                </m:dPr>
                <m:e>
                  <m:r>
                    <w:rPr>
                      <w:rFonts w:ascii="Cambria Math" w:hAnsi="Cambria Math"/>
                    </w:rPr>
                    <m:t>1</m:t>
                  </m:r>
                </m:e>
              </m:d>
              <m:r>
                <w:rPr>
                  <w:rFonts w:ascii="Cambria Math" w:hAnsi="Cambria Math"/>
                </w:rPr>
                <m:t xml:space="preserve">        n= </m:t>
              </m:r>
              <m:d>
                <m:dPr>
                  <m:ctrlPr>
                    <w:rPr>
                      <w:rFonts w:ascii="Cambria Math" w:hAnsi="Cambria Math"/>
                      <w:i/>
                    </w:rPr>
                  </m:ctrlPr>
                </m:dPr>
                <m:e>
                  <m:f>
                    <m:fPr>
                      <m:ctrlPr>
                        <w:rPr>
                          <w:rFonts w:ascii="Cambria Math" w:hAnsi="Cambria Math"/>
                          <w:i/>
                        </w:rPr>
                      </m:ctrlPr>
                    </m:fPr>
                    <m:num>
                      <m:r>
                        <w:rPr>
                          <w:rFonts w:ascii="Cambria Math" w:hAnsi="Cambria Math"/>
                        </w:rPr>
                        <m:t>z</m:t>
                      </m:r>
                    </m:num>
                    <m:den>
                      <m:r>
                        <w:rPr>
                          <w:rFonts w:ascii="Cambria Math" w:hAnsi="Cambria Math"/>
                        </w:rPr>
                        <m:t>m</m:t>
                      </m:r>
                    </m:den>
                  </m:f>
                </m:e>
              </m:d>
            </m:e>
            <m:sup>
              <m:r>
                <w:rPr>
                  <w:rFonts w:ascii="Cambria Math" w:hAnsi="Cambria Math"/>
                </w:rPr>
                <m:t>2</m:t>
              </m:r>
            </m:sup>
          </m:sSup>
          <m:r>
            <w:rPr>
              <w:rFonts w:ascii="Cambria Math" w:hAnsi="Cambria Math"/>
            </w:rPr>
            <m:t>*p̂ *(1-p̂)</m:t>
          </m:r>
        </m:oMath>
      </m:oMathPara>
    </w:p>
    <w:p w14:paraId="23CBE2B6" w14:textId="77777777" w:rsidR="00265051" w:rsidRPr="00265051" w:rsidRDefault="00265051" w:rsidP="00E84175">
      <w:pPr>
        <w:rPr>
          <w:rFonts w:eastAsiaTheme="minorEastAsia"/>
        </w:rPr>
      </w:pPr>
    </w:p>
    <w:p w14:paraId="23CBE2B7" w14:textId="77777777" w:rsidR="00E84175" w:rsidRDefault="00265051" w:rsidP="00E84175">
      <w:r>
        <w:t xml:space="preserve">This equation was rearranged to give the </w:t>
      </w:r>
      <w:r w:rsidR="00E77D4A">
        <w:t>margin of error</w:t>
      </w:r>
      <w:r>
        <w:t xml:space="preserve"> (Equation 2).</w:t>
      </w:r>
      <w:r w:rsidR="007A39A3">
        <w:t xml:space="preserve"> The margin of error is the width of the 95% confidence interval </w:t>
      </w:r>
      <w:r w:rsidR="00AD5454">
        <w:t xml:space="preserve">around </w:t>
      </w:r>
      <m:oMath>
        <m:r>
          <w:rPr>
            <w:rFonts w:ascii="Cambria Math" w:hAnsi="Cambria Math"/>
          </w:rPr>
          <m:t>p̂</m:t>
        </m:r>
      </m:oMath>
      <w:r w:rsidR="007A39A3">
        <w:t xml:space="preserve">. </w:t>
      </w:r>
    </w:p>
    <w:p w14:paraId="23CBE2B8" w14:textId="77777777" w:rsidR="00265051" w:rsidRDefault="00265051" w:rsidP="00E84175">
      <w:pPr>
        <w:rPr>
          <w:rFonts w:eastAsiaTheme="minorEastAsia"/>
        </w:rPr>
      </w:pPr>
    </w:p>
    <w:p w14:paraId="23CBE2B9" w14:textId="77777777" w:rsidR="00265051" w:rsidRDefault="00C20F4E" w:rsidP="00E84175">
      <m:oMathPara>
        <m:oMath>
          <m:d>
            <m:dPr>
              <m:ctrlPr>
                <w:rPr>
                  <w:rFonts w:ascii="Cambria Math" w:hAnsi="Cambria Math"/>
                  <w:i/>
                </w:rPr>
              </m:ctrlPr>
            </m:dPr>
            <m:e>
              <m:r>
                <w:rPr>
                  <w:rFonts w:ascii="Cambria Math" w:hAnsi="Cambria Math"/>
                </w:rPr>
                <m:t>2</m:t>
              </m:r>
            </m:e>
          </m:d>
          <m:r>
            <w:rPr>
              <w:rFonts w:ascii="Cambria Math" w:hAnsi="Cambria Math"/>
            </w:rPr>
            <m:t xml:space="preserve">        m</m:t>
          </m:r>
          <m:r>
            <w:rPr>
              <w:rFonts w:ascii="Cambria Math" w:eastAsiaTheme="minorEastAsia" w:hAnsi="Cambria Math"/>
            </w:rPr>
            <m:t xml:space="preserve">= </m:t>
          </m:r>
          <m:f>
            <m:fPr>
              <m:ctrlPr>
                <w:rPr>
                  <w:rFonts w:ascii="Cambria Math" w:hAnsi="Cambria Math"/>
                  <w:i/>
                </w:rPr>
              </m:ctrlPr>
            </m:fPr>
            <m:num>
              <m:r>
                <w:rPr>
                  <w:rFonts w:ascii="Cambria Math" w:hAnsi="Cambria Math"/>
                </w:rPr>
                <m:t>z</m:t>
              </m:r>
            </m:num>
            <m:den>
              <m:rad>
                <m:radPr>
                  <m:degHide m:val="1"/>
                  <m:ctrlPr>
                    <w:rPr>
                      <w:rFonts w:ascii="Cambria Math" w:hAnsi="Cambria Math"/>
                      <w:i/>
                    </w:rPr>
                  </m:ctrlPr>
                </m:radPr>
                <m:deg/>
                <m:e>
                  <m:r>
                    <w:rPr>
                      <w:rFonts w:ascii="Cambria Math" w:hAnsi="Cambria Math"/>
                    </w:rPr>
                    <m:t>n / (p̂*</m:t>
                  </m:r>
                  <m:d>
                    <m:dPr>
                      <m:ctrlPr>
                        <w:rPr>
                          <w:rFonts w:ascii="Cambria Math" w:hAnsi="Cambria Math"/>
                          <w:i/>
                        </w:rPr>
                      </m:ctrlPr>
                    </m:dPr>
                    <m:e>
                      <m:r>
                        <w:rPr>
                          <w:rFonts w:ascii="Cambria Math" w:hAnsi="Cambria Math"/>
                        </w:rPr>
                        <m:t>1-p̂</m:t>
                      </m:r>
                    </m:e>
                  </m:d>
                  <m:r>
                    <w:rPr>
                      <w:rFonts w:ascii="Cambria Math" w:hAnsi="Cambria Math"/>
                    </w:rPr>
                    <m:t>)</m:t>
                  </m:r>
                </m:e>
              </m:rad>
            </m:den>
          </m:f>
        </m:oMath>
      </m:oMathPara>
    </w:p>
    <w:p w14:paraId="23CBE2BA" w14:textId="77777777" w:rsidR="00265051" w:rsidRDefault="00265051" w:rsidP="00265051"/>
    <w:p w14:paraId="23CBE2BB" w14:textId="77777777" w:rsidR="00265051" w:rsidRDefault="00CA2DCE" w:rsidP="00265051">
      <w:pPr>
        <w:rPr>
          <w:rFonts w:eastAsiaTheme="minorEastAsia"/>
        </w:rPr>
      </w:pPr>
      <w:r>
        <w:rPr>
          <w:rFonts w:eastAsiaTheme="minorEastAsia"/>
        </w:rPr>
        <w:t>Equation 3 incorporates the study specific values</w:t>
      </w:r>
      <w:r w:rsidR="0096317E">
        <w:rPr>
          <w:rFonts w:eastAsiaTheme="minorEastAsia"/>
        </w:rPr>
        <w:t xml:space="preserve"> (first survey)</w:t>
      </w:r>
      <w:r>
        <w:rPr>
          <w:rFonts w:eastAsiaTheme="minorEastAsia"/>
        </w:rPr>
        <w:t>.</w:t>
      </w:r>
    </w:p>
    <w:p w14:paraId="23CBE2BC" w14:textId="77777777" w:rsidR="00B00797" w:rsidRDefault="00B00797" w:rsidP="00265051">
      <w:pPr>
        <w:rPr>
          <w:rFonts w:eastAsiaTheme="minorEastAsia"/>
        </w:rPr>
      </w:pPr>
    </w:p>
    <w:p w14:paraId="23CBE2BD" w14:textId="77777777" w:rsidR="00CA2DCE" w:rsidRDefault="00C20F4E" w:rsidP="00CA2DCE">
      <m:oMathPara>
        <m:oMath>
          <m:d>
            <m:dPr>
              <m:ctrlPr>
                <w:rPr>
                  <w:rFonts w:ascii="Cambria Math" w:hAnsi="Cambria Math"/>
                  <w:i/>
                </w:rPr>
              </m:ctrlPr>
            </m:dPr>
            <m:e>
              <m:r>
                <w:rPr>
                  <w:rFonts w:ascii="Cambria Math" w:hAnsi="Cambria Math"/>
                </w:rPr>
                <m:t>3</m:t>
              </m:r>
            </m:e>
          </m:d>
          <m:r>
            <w:rPr>
              <w:rFonts w:ascii="Cambria Math" w:hAnsi="Cambria Math"/>
            </w:rPr>
            <m:t xml:space="preserve">        m</m:t>
          </m:r>
          <m:r>
            <w:rPr>
              <w:rFonts w:ascii="Cambria Math" w:eastAsiaTheme="minorEastAsia" w:hAnsi="Cambria Math"/>
            </w:rPr>
            <m:t xml:space="preserve">= </m:t>
          </m:r>
          <m:f>
            <m:fPr>
              <m:ctrlPr>
                <w:rPr>
                  <w:rFonts w:ascii="Cambria Math" w:hAnsi="Cambria Math"/>
                  <w:i/>
                </w:rPr>
              </m:ctrlPr>
            </m:fPr>
            <m:num>
              <m:r>
                <w:rPr>
                  <w:rFonts w:ascii="Cambria Math" w:hAnsi="Cambria Math"/>
                </w:rPr>
                <m:t>1.96</m:t>
              </m:r>
            </m:num>
            <m:den>
              <m:rad>
                <m:radPr>
                  <m:degHide m:val="1"/>
                  <m:ctrlPr>
                    <w:rPr>
                      <w:rFonts w:ascii="Cambria Math" w:hAnsi="Cambria Math"/>
                      <w:i/>
                    </w:rPr>
                  </m:ctrlPr>
                </m:radPr>
                <m:deg/>
                <m:e>
                  <m:r>
                    <w:rPr>
                      <w:rFonts w:ascii="Cambria Math" w:hAnsi="Cambria Math"/>
                    </w:rPr>
                    <m:t>712 / (0.2781*</m:t>
                  </m:r>
                  <m:d>
                    <m:dPr>
                      <m:ctrlPr>
                        <w:rPr>
                          <w:rFonts w:ascii="Cambria Math" w:hAnsi="Cambria Math"/>
                          <w:i/>
                        </w:rPr>
                      </m:ctrlPr>
                    </m:dPr>
                    <m:e>
                      <m:r>
                        <w:rPr>
                          <w:rFonts w:ascii="Cambria Math" w:hAnsi="Cambria Math"/>
                        </w:rPr>
                        <m:t>1-0.2781</m:t>
                      </m:r>
                    </m:e>
                  </m:d>
                  <m:r>
                    <w:rPr>
                      <w:rFonts w:ascii="Cambria Math" w:hAnsi="Cambria Math"/>
                    </w:rPr>
                    <m:t>)</m:t>
                  </m:r>
                </m:e>
              </m:rad>
            </m:den>
          </m:f>
          <m:r>
            <w:rPr>
              <w:rFonts w:ascii="Cambria Math" w:hAnsi="Cambria Math"/>
            </w:rPr>
            <m:t>=0.0329</m:t>
          </m:r>
        </m:oMath>
      </m:oMathPara>
    </w:p>
    <w:p w14:paraId="23CBE2BE" w14:textId="77777777" w:rsidR="00E84175" w:rsidRDefault="00E84175" w:rsidP="00265051">
      <w:pPr>
        <w:tabs>
          <w:tab w:val="left" w:pos="3114"/>
        </w:tabs>
      </w:pPr>
    </w:p>
    <w:p w14:paraId="23CBE2BF" w14:textId="77777777" w:rsidR="00265051" w:rsidRDefault="00657BC8" w:rsidP="00265051">
      <w:pPr>
        <w:tabs>
          <w:tab w:val="left" w:pos="3114"/>
        </w:tabs>
        <w:rPr>
          <w:rFonts w:eastAsiaTheme="minorEastAsia"/>
        </w:rPr>
      </w:pPr>
      <w:r>
        <w:t xml:space="preserve">This gives </w:t>
      </w:r>
      <m:oMath>
        <m:r>
          <w:rPr>
            <w:rFonts w:ascii="Cambria Math" w:hAnsi="Cambria Math"/>
          </w:rPr>
          <m:t>m</m:t>
        </m:r>
      </m:oMath>
      <w:r>
        <w:rPr>
          <w:rFonts w:eastAsiaTheme="minorEastAsia"/>
        </w:rPr>
        <w:t xml:space="preserve"> = 0.03</w:t>
      </w:r>
      <w:r w:rsidR="00E77D4A">
        <w:rPr>
          <w:rFonts w:eastAsiaTheme="minorEastAsia"/>
        </w:rPr>
        <w:t xml:space="preserve">29 or 3.29%. This </w:t>
      </w:r>
      <w:r w:rsidR="009869C3">
        <w:rPr>
          <w:rFonts w:eastAsiaTheme="minorEastAsia"/>
        </w:rPr>
        <w:t>means that the 95% confidence interval around prevalence is 3.29% wide, or 1.65% above and below the prevalence</w:t>
      </w:r>
      <w:r w:rsidR="00E77D4A">
        <w:rPr>
          <w:rFonts w:eastAsiaTheme="minorEastAsia"/>
        </w:rPr>
        <w:t>.</w:t>
      </w:r>
      <w:r w:rsidR="00862BB1">
        <w:rPr>
          <w:rFonts w:eastAsiaTheme="minorEastAsia"/>
        </w:rPr>
        <w:t xml:space="preserve"> We deem that this is an acceptable margin of error.</w:t>
      </w:r>
    </w:p>
    <w:p w14:paraId="23CBE2C0" w14:textId="77777777" w:rsidR="007F65F4" w:rsidRDefault="007F65F4" w:rsidP="00265051">
      <w:pPr>
        <w:tabs>
          <w:tab w:val="left" w:pos="3114"/>
        </w:tabs>
      </w:pPr>
    </w:p>
    <w:p w14:paraId="23CBE2C1" w14:textId="77777777" w:rsidR="00C47EF6" w:rsidRPr="00C47EF6" w:rsidRDefault="007F65F4" w:rsidP="00C47EF6">
      <w:pPr>
        <w:widowControl w:val="0"/>
        <w:autoSpaceDE w:val="0"/>
        <w:autoSpaceDN w:val="0"/>
        <w:adjustRightInd w:val="0"/>
        <w:spacing w:line="240" w:lineRule="auto"/>
        <w:ind w:left="640" w:hanging="640"/>
        <w:rPr>
          <w:rFonts w:ascii="Calibri" w:hAnsi="Calibri"/>
          <w:noProof/>
        </w:rPr>
      </w:pPr>
      <w:r>
        <w:fldChar w:fldCharType="begin" w:fldLock="1"/>
      </w:r>
      <w:r>
        <w:instrText xml:space="preserve">ADDIN Mendeley Bibliography CSL_BIBLIOGRAPHY </w:instrText>
      </w:r>
      <w:r>
        <w:fldChar w:fldCharType="separate"/>
      </w:r>
      <w:r w:rsidR="00C47EF6" w:rsidRPr="00C47EF6">
        <w:rPr>
          <w:rFonts w:ascii="Calibri" w:hAnsi="Calibri" w:cs="Times New Roman"/>
          <w:noProof/>
          <w:szCs w:val="24"/>
        </w:rPr>
        <w:t xml:space="preserve">1. </w:t>
      </w:r>
      <w:r w:rsidR="00C47EF6" w:rsidRPr="00C47EF6">
        <w:rPr>
          <w:rFonts w:ascii="Calibri" w:hAnsi="Calibri" w:cs="Times New Roman"/>
          <w:noProof/>
          <w:szCs w:val="24"/>
        </w:rPr>
        <w:tab/>
        <w:t xml:space="preserve">Kirkwood BR, Sterne JAC, Kirkwood BR. </w:t>
      </w:r>
      <w:r w:rsidR="00C47EF6" w:rsidRPr="00C47EF6">
        <w:rPr>
          <w:rFonts w:ascii="Calibri" w:hAnsi="Calibri" w:cs="Times New Roman"/>
          <w:i/>
          <w:iCs/>
          <w:noProof/>
          <w:szCs w:val="24"/>
        </w:rPr>
        <w:t>Essential Medical Statistics</w:t>
      </w:r>
      <w:r w:rsidR="00C47EF6" w:rsidRPr="00C47EF6">
        <w:rPr>
          <w:rFonts w:ascii="Calibri" w:hAnsi="Calibri" w:cs="Times New Roman"/>
          <w:noProof/>
          <w:szCs w:val="24"/>
        </w:rPr>
        <w:t>. Blackwell Science; 2003.</w:t>
      </w:r>
    </w:p>
    <w:p w14:paraId="23CBE2C2" w14:textId="77777777" w:rsidR="00265051" w:rsidRPr="00265051" w:rsidRDefault="007F65F4" w:rsidP="00C47EF6">
      <w:pPr>
        <w:widowControl w:val="0"/>
        <w:autoSpaceDE w:val="0"/>
        <w:autoSpaceDN w:val="0"/>
        <w:adjustRightInd w:val="0"/>
        <w:spacing w:line="240" w:lineRule="auto"/>
        <w:ind w:left="640" w:hanging="640"/>
      </w:pPr>
      <w:r>
        <w:fldChar w:fldCharType="end"/>
      </w:r>
    </w:p>
    <w:sectPr w:rsidR="00265051" w:rsidRPr="00265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175"/>
    <w:rsid w:val="00260B4E"/>
    <w:rsid w:val="00265051"/>
    <w:rsid w:val="002D0C77"/>
    <w:rsid w:val="00313AFC"/>
    <w:rsid w:val="003145DC"/>
    <w:rsid w:val="00497A2F"/>
    <w:rsid w:val="00557D77"/>
    <w:rsid w:val="005D4DAB"/>
    <w:rsid w:val="00657BC8"/>
    <w:rsid w:val="007A39A3"/>
    <w:rsid w:val="007D6A7B"/>
    <w:rsid w:val="007F65F4"/>
    <w:rsid w:val="008268E4"/>
    <w:rsid w:val="00862BB1"/>
    <w:rsid w:val="0088730E"/>
    <w:rsid w:val="008E2E92"/>
    <w:rsid w:val="008F0CE5"/>
    <w:rsid w:val="008F5B10"/>
    <w:rsid w:val="00956F93"/>
    <w:rsid w:val="0096317E"/>
    <w:rsid w:val="009869C3"/>
    <w:rsid w:val="009E4D44"/>
    <w:rsid w:val="009E51AA"/>
    <w:rsid w:val="00AD5454"/>
    <w:rsid w:val="00B00797"/>
    <w:rsid w:val="00BA2A12"/>
    <w:rsid w:val="00BC6770"/>
    <w:rsid w:val="00C20F4E"/>
    <w:rsid w:val="00C47EF6"/>
    <w:rsid w:val="00CA2DCE"/>
    <w:rsid w:val="00D27F55"/>
    <w:rsid w:val="00D63A63"/>
    <w:rsid w:val="00E77D4A"/>
    <w:rsid w:val="00E8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E2B1"/>
  <w15:docId w15:val="{44D022DC-9D2A-4D16-9925-8CDF3F85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5"/>
    <w:rPr>
      <w:color w:val="808080"/>
    </w:rPr>
  </w:style>
  <w:style w:type="paragraph" w:styleId="BalloonText">
    <w:name w:val="Balloon Text"/>
    <w:basedOn w:val="Normal"/>
    <w:link w:val="BalloonTextChar"/>
    <w:uiPriority w:val="99"/>
    <w:semiHidden/>
    <w:unhideWhenUsed/>
    <w:rsid w:val="00E84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1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B45E7-9BC8-40DE-A8E5-D7806BFD0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Caroline Dunn</dc:creator>
  <cp:lastModifiedBy>Julia Dunn</cp:lastModifiedBy>
  <cp:revision>2</cp:revision>
  <cp:lastPrinted>2017-05-22T15:52:00Z</cp:lastPrinted>
  <dcterms:created xsi:type="dcterms:W3CDTF">2017-07-20T13:20:00Z</dcterms:created>
  <dcterms:modified xsi:type="dcterms:W3CDTF">2017-07-20T13:20:00Z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7th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http://csl.mendeley.com/styles/59032601/vancouver</vt:lpwstr>
  </property>
  <property fmtid="{D5CDD505-2E9C-101B-9397-08002B2CF9AE}" pid="19" name="Mendeley Recent Style Name 8_1">
    <vt:lpwstr>P&amp;V</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ecf6f412-ff2e-3911-922b-143295fc0423</vt:lpwstr>
  </property>
  <property fmtid="{D5CDD505-2E9C-101B-9397-08002B2CF9AE}" pid="24" name="Mendeley Citation Style_1">
    <vt:lpwstr>http://www.zotero.org/styles/american-medical-association</vt:lpwstr>
  </property>
</Properties>
</file>