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B86" w:rsidRPr="00E04B86" w:rsidRDefault="00E04B86" w:rsidP="00E04B86">
      <w:pPr>
        <w:pStyle w:val="EndNoteBibliography"/>
        <w:spacing w:before="240" w:after="240"/>
        <w:ind w:left="720" w:hanging="720"/>
        <w:jc w:val="both"/>
        <w:rPr>
          <w:rFonts w:ascii="Times New Roman" w:hAnsi="Times New Roman" w:cs="Times New Roman"/>
          <w:b/>
          <w:bCs/>
        </w:rPr>
      </w:pPr>
      <w:r w:rsidRPr="00E04B86">
        <w:rPr>
          <w:rFonts w:ascii="Times New Roman" w:hAnsi="Times New Roman" w:cs="Times New Roman"/>
          <w:b/>
          <w:bCs/>
          <w:lang w:val="en"/>
        </w:rPr>
        <w:t xml:space="preserve">Comparative </w:t>
      </w:r>
      <w:r w:rsidRPr="00E04B86">
        <w:rPr>
          <w:rFonts w:ascii="Times New Roman" w:hAnsi="Times New Roman" w:cs="Times New Roman"/>
          <w:b/>
          <w:bCs/>
        </w:rPr>
        <w:t>alignment of a specific target region in the β-tubulin isotype 1 gene.</w:t>
      </w:r>
    </w:p>
    <w:p w:rsidR="00E04B86" w:rsidRDefault="00E04B86" w:rsidP="00E04B86">
      <w:pPr>
        <w:rPr>
          <w:lang w:val="en-US" w:eastAsia="en-US"/>
        </w:rPr>
      </w:pPr>
      <w:bookmarkStart w:id="0" w:name="_GoBack"/>
      <w:bookmarkEnd w:id="0"/>
    </w:p>
    <w:p w:rsidR="00E04B86" w:rsidRDefault="00E04B86" w:rsidP="00E04B86">
      <w:r>
        <w:rPr>
          <w:b/>
          <w:bCs/>
          <w:noProof/>
        </w:rPr>
        <w:drawing>
          <wp:inline distT="0" distB="0" distL="0" distR="0" wp14:anchorId="73E90338" wp14:editId="4D2D66B7">
            <wp:extent cx="4772025" cy="2970789"/>
            <wp:effectExtent l="0" t="0" r="0" b="127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786" cy="298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86" w:rsidRDefault="00E04B86" w:rsidP="00E04B86"/>
    <w:p w:rsidR="00267B23" w:rsidRPr="00BC058F" w:rsidRDefault="00E04B86" w:rsidP="00BC058F">
      <w:pPr>
        <w:autoSpaceDE w:val="0"/>
        <w:autoSpaceDN w:val="0"/>
        <w:adjustRightInd w:val="0"/>
        <w:spacing w:before="120" w:after="120" w:line="360" w:lineRule="auto"/>
        <w:jc w:val="both"/>
        <w:rPr>
          <w:iCs/>
        </w:rPr>
      </w:pPr>
      <w:r>
        <w:rPr>
          <w:b/>
          <w:bCs/>
        </w:rPr>
        <w:t xml:space="preserve">Additional file 1: </w:t>
      </w:r>
      <w:r w:rsidRPr="00956142">
        <w:rPr>
          <w:b/>
          <w:bCs/>
        </w:rPr>
        <w:t>Fig</w:t>
      </w:r>
      <w:r>
        <w:rPr>
          <w:b/>
          <w:bCs/>
        </w:rPr>
        <w:t>.</w:t>
      </w:r>
      <w:r w:rsidRPr="00956142">
        <w:rPr>
          <w:b/>
          <w:bCs/>
        </w:rPr>
        <w:t xml:space="preserve"> </w:t>
      </w:r>
      <w:r>
        <w:rPr>
          <w:b/>
          <w:bCs/>
        </w:rPr>
        <w:t>S1.</w:t>
      </w:r>
      <w:r w:rsidRPr="00C01184">
        <w:t xml:space="preserve"> Species-specific SmartAmp2 primer sets were designed based on the </w:t>
      </w:r>
      <w:r>
        <w:t xml:space="preserve">sequence divergence </w:t>
      </w:r>
      <w:r w:rsidRPr="00C01184">
        <w:t xml:space="preserve">between </w:t>
      </w:r>
      <w:r w:rsidRPr="00C01184">
        <w:rPr>
          <w:i/>
          <w:iCs/>
        </w:rPr>
        <w:t xml:space="preserve">N. </w:t>
      </w:r>
      <w:proofErr w:type="spellStart"/>
      <w:r w:rsidRPr="00C01184">
        <w:rPr>
          <w:i/>
          <w:iCs/>
        </w:rPr>
        <w:t>americanus</w:t>
      </w:r>
      <w:proofErr w:type="spellEnd"/>
      <w:r w:rsidRPr="00C01184">
        <w:rPr>
          <w:i/>
          <w:iCs/>
        </w:rPr>
        <w:t xml:space="preserve"> </w:t>
      </w:r>
      <w:r w:rsidRPr="00C01184">
        <w:t xml:space="preserve">(Na), </w:t>
      </w:r>
      <w:r w:rsidRPr="00C01184">
        <w:rPr>
          <w:i/>
          <w:iCs/>
        </w:rPr>
        <w:t>A</w:t>
      </w:r>
      <w:r>
        <w:rPr>
          <w:i/>
          <w:iCs/>
        </w:rPr>
        <w:t>.</w:t>
      </w:r>
      <w:r w:rsidRPr="00C01184">
        <w:rPr>
          <w:i/>
          <w:iCs/>
        </w:rPr>
        <w:t xml:space="preserve"> </w:t>
      </w:r>
      <w:proofErr w:type="spellStart"/>
      <w:r w:rsidRPr="00C01184">
        <w:rPr>
          <w:i/>
          <w:iCs/>
        </w:rPr>
        <w:t>duodenale</w:t>
      </w:r>
      <w:proofErr w:type="spellEnd"/>
      <w:r w:rsidRPr="00C01184">
        <w:rPr>
          <w:i/>
          <w:iCs/>
        </w:rPr>
        <w:t xml:space="preserve"> </w:t>
      </w:r>
      <w:r w:rsidRPr="00C01184">
        <w:t>(Ad)</w:t>
      </w:r>
      <w:r w:rsidRPr="00C01184">
        <w:rPr>
          <w:i/>
          <w:iCs/>
        </w:rPr>
        <w:t xml:space="preserve">, A. </w:t>
      </w:r>
      <w:proofErr w:type="spellStart"/>
      <w:r w:rsidRPr="00C01184">
        <w:rPr>
          <w:i/>
          <w:iCs/>
        </w:rPr>
        <w:t>lumbricoides</w:t>
      </w:r>
      <w:proofErr w:type="spellEnd"/>
      <w:r w:rsidRPr="00C01184">
        <w:t xml:space="preserve"> (Al), </w:t>
      </w:r>
      <w:r w:rsidRPr="00C01184">
        <w:rPr>
          <w:i/>
          <w:iCs/>
        </w:rPr>
        <w:t xml:space="preserve">T. </w:t>
      </w:r>
      <w:proofErr w:type="spellStart"/>
      <w:r w:rsidRPr="00C01184">
        <w:rPr>
          <w:i/>
          <w:iCs/>
        </w:rPr>
        <w:t>trichiura</w:t>
      </w:r>
      <w:proofErr w:type="spellEnd"/>
      <w:r w:rsidRPr="00C01184">
        <w:t xml:space="preserve"> (Tt)</w:t>
      </w:r>
      <w:r>
        <w:t xml:space="preserve"> and </w:t>
      </w:r>
      <w:r w:rsidRPr="00C01184">
        <w:rPr>
          <w:i/>
          <w:iCs/>
        </w:rPr>
        <w:t>S</w:t>
      </w:r>
      <w:r>
        <w:rPr>
          <w:i/>
          <w:iCs/>
        </w:rPr>
        <w:t>.</w:t>
      </w:r>
      <w:r w:rsidRPr="00C01184">
        <w:rPr>
          <w:i/>
          <w:iCs/>
        </w:rPr>
        <w:t xml:space="preserve"> </w:t>
      </w:r>
      <w:proofErr w:type="spellStart"/>
      <w:r w:rsidRPr="00C01184">
        <w:rPr>
          <w:i/>
          <w:iCs/>
        </w:rPr>
        <w:t>stercoralis</w:t>
      </w:r>
      <w:proofErr w:type="spellEnd"/>
      <w:r w:rsidRPr="00C01184">
        <w:rPr>
          <w:i/>
          <w:iCs/>
        </w:rPr>
        <w:t xml:space="preserve"> </w:t>
      </w:r>
      <w:r>
        <w:t>(</w:t>
      </w:r>
      <w:proofErr w:type="spellStart"/>
      <w:r>
        <w:t>Ss</w:t>
      </w:r>
      <w:proofErr w:type="spellEnd"/>
      <w:r>
        <w:t>).</w:t>
      </w:r>
    </w:p>
    <w:sectPr w:rsidR="00267B23" w:rsidRPr="00BC058F" w:rsidSect="00C01184">
      <w:footerReference w:type="default" r:id="rId8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5D2" w:rsidRDefault="006015D2">
      <w:r>
        <w:separator/>
      </w:r>
    </w:p>
  </w:endnote>
  <w:endnote w:type="continuationSeparator" w:id="0">
    <w:p w:rsidR="006015D2" w:rsidRDefault="00601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35141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14EA" w:rsidRDefault="00C632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4B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514EA" w:rsidRDefault="006015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5D2" w:rsidRDefault="006015D2">
      <w:r>
        <w:separator/>
      </w:r>
    </w:p>
  </w:footnote>
  <w:footnote w:type="continuationSeparator" w:id="0">
    <w:p w:rsidR="006015D2" w:rsidRDefault="00601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B86"/>
    <w:rsid w:val="006015D2"/>
    <w:rsid w:val="007954BF"/>
    <w:rsid w:val="00AF4B30"/>
    <w:rsid w:val="00BC058F"/>
    <w:rsid w:val="00C632FB"/>
    <w:rsid w:val="00CB0783"/>
    <w:rsid w:val="00E0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E04B86"/>
    <w:pPr>
      <w:spacing w:after="160"/>
    </w:pPr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04B86"/>
    <w:rPr>
      <w:rFonts w:ascii="Calibri" w:hAnsi="Calibri" w:cs="Calibri"/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04B8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04B86"/>
  </w:style>
  <w:style w:type="paragraph" w:styleId="BalloonText">
    <w:name w:val="Balloon Text"/>
    <w:basedOn w:val="Normal"/>
    <w:link w:val="BalloonTextChar"/>
    <w:uiPriority w:val="99"/>
    <w:semiHidden/>
    <w:unhideWhenUsed/>
    <w:rsid w:val="00E04B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B86"/>
    <w:rPr>
      <w:rFonts w:ascii="Tahoma" w:eastAsia="Times New Roman" w:hAnsi="Tahoma" w:cs="Tahoma"/>
      <w:sz w:val="16"/>
      <w:szCs w:val="16"/>
      <w:lang w:eastAsia="en-CA"/>
    </w:rPr>
  </w:style>
  <w:style w:type="character" w:styleId="LineNumber">
    <w:name w:val="line number"/>
    <w:basedOn w:val="DefaultParagraphFont"/>
    <w:uiPriority w:val="99"/>
    <w:semiHidden/>
    <w:unhideWhenUsed/>
    <w:rsid w:val="00E04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E04B86"/>
    <w:pPr>
      <w:spacing w:after="160"/>
    </w:pPr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04B86"/>
    <w:rPr>
      <w:rFonts w:ascii="Calibri" w:hAnsi="Calibri" w:cs="Calibri"/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04B8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04B86"/>
  </w:style>
  <w:style w:type="paragraph" w:styleId="BalloonText">
    <w:name w:val="Balloon Text"/>
    <w:basedOn w:val="Normal"/>
    <w:link w:val="BalloonTextChar"/>
    <w:uiPriority w:val="99"/>
    <w:semiHidden/>
    <w:unhideWhenUsed/>
    <w:rsid w:val="00E04B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B86"/>
    <w:rPr>
      <w:rFonts w:ascii="Tahoma" w:eastAsia="Times New Roman" w:hAnsi="Tahoma" w:cs="Tahoma"/>
      <w:sz w:val="16"/>
      <w:szCs w:val="16"/>
      <w:lang w:eastAsia="en-CA"/>
    </w:rPr>
  </w:style>
  <w:style w:type="character" w:styleId="LineNumber">
    <w:name w:val="line number"/>
    <w:basedOn w:val="DefaultParagraphFont"/>
    <w:uiPriority w:val="99"/>
    <w:semiHidden/>
    <w:unhideWhenUsed/>
    <w:rsid w:val="00E04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 Rashwan</dc:creator>
  <cp:lastModifiedBy>Roger</cp:lastModifiedBy>
  <cp:revision>3</cp:revision>
  <dcterms:created xsi:type="dcterms:W3CDTF">2017-06-07T18:56:00Z</dcterms:created>
  <dcterms:modified xsi:type="dcterms:W3CDTF">2017-06-07T18:56:00Z</dcterms:modified>
</cp:coreProperties>
</file>