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B65" w:rsidRPr="0009034E" w:rsidRDefault="00246678" w:rsidP="006C198B">
      <w:pPr>
        <w:rPr>
          <w:b/>
          <w:sz w:val="28"/>
          <w:szCs w:val="28"/>
          <w:lang w:val="en-US"/>
        </w:rPr>
      </w:pPr>
      <w:bookmarkStart w:id="0" w:name="_GoBack"/>
      <w:bookmarkEnd w:id="0"/>
      <w:r w:rsidRPr="0009034E">
        <w:rPr>
          <w:b/>
          <w:sz w:val="28"/>
          <w:szCs w:val="28"/>
          <w:lang w:val="en-US"/>
        </w:rPr>
        <w:t>Additional file 1</w:t>
      </w:r>
    </w:p>
    <w:p w:rsidR="00246678" w:rsidRPr="0009034E" w:rsidRDefault="00246678" w:rsidP="006C198B">
      <w:pPr>
        <w:rPr>
          <w:b/>
          <w:lang w:val="en-US"/>
        </w:rPr>
      </w:pPr>
    </w:p>
    <w:p w:rsidR="00246678" w:rsidRPr="006531AF" w:rsidRDefault="00246678" w:rsidP="006C198B">
      <w:pPr>
        <w:spacing w:line="360" w:lineRule="auto"/>
        <w:rPr>
          <w:rFonts w:eastAsia="Times New Roman" w:cs="Times New Roman"/>
          <w:b/>
          <w:szCs w:val="24"/>
        </w:rPr>
      </w:pPr>
      <w:r w:rsidRPr="006531AF">
        <w:rPr>
          <w:rFonts w:eastAsia="Times New Roman" w:cs="Times New Roman"/>
          <w:b/>
          <w:szCs w:val="24"/>
        </w:rPr>
        <w:t xml:space="preserve">Several interacting factors </w:t>
      </w:r>
      <w:r>
        <w:rPr>
          <w:rFonts w:eastAsia="Times New Roman" w:cs="Times New Roman"/>
          <w:b/>
          <w:szCs w:val="24"/>
        </w:rPr>
        <w:t>can</w:t>
      </w:r>
      <w:r w:rsidRPr="006531AF">
        <w:rPr>
          <w:rFonts w:eastAsia="Times New Roman" w:cs="Times New Roman"/>
          <w:b/>
          <w:szCs w:val="24"/>
        </w:rPr>
        <w:t xml:space="preserve"> affect the TBE incidence</w:t>
      </w:r>
    </w:p>
    <w:p w:rsidR="00246678" w:rsidRPr="006531AF" w:rsidRDefault="00246678" w:rsidP="006C198B">
      <w:pPr>
        <w:spacing w:line="360" w:lineRule="auto"/>
        <w:rPr>
          <w:rFonts w:eastAsia="Times New Roman" w:cs="Times New Roman"/>
          <w:szCs w:val="24"/>
        </w:rPr>
      </w:pPr>
      <w:r w:rsidRPr="006531AF">
        <w:rPr>
          <w:rFonts w:eastAsia="Times New Roman" w:cs="Times New Roman"/>
          <w:szCs w:val="24"/>
        </w:rPr>
        <w:t xml:space="preserve">Despite a drastically increased vaccination rate against TBE in Sweden since the late 1980s, the incidence of TBE </w:t>
      </w:r>
      <w:r w:rsidR="000034B2">
        <w:rPr>
          <w:rFonts w:eastAsia="Times New Roman" w:cs="Times New Roman"/>
          <w:szCs w:val="24"/>
        </w:rPr>
        <w:t xml:space="preserve">has </w:t>
      </w:r>
      <w:r w:rsidRPr="006531AF">
        <w:rPr>
          <w:rFonts w:eastAsia="Times New Roman" w:cs="Times New Roman"/>
          <w:szCs w:val="24"/>
        </w:rPr>
        <w:t>increased significantly during the same period up until 201</w:t>
      </w:r>
      <w:r w:rsidR="000034B2">
        <w:rPr>
          <w:rFonts w:eastAsia="Times New Roman" w:cs="Times New Roman"/>
          <w:szCs w:val="24"/>
        </w:rPr>
        <w:t>7</w:t>
      </w:r>
      <w:r w:rsidR="003E6082">
        <w:rPr>
          <w:rFonts w:eastAsia="Times New Roman" w:cs="Times New Roman"/>
          <w:szCs w:val="24"/>
        </w:rPr>
        <w:t xml:space="preserve"> </w:t>
      </w:r>
      <w:r w:rsidR="003E6082">
        <w:rPr>
          <w:rFonts w:eastAsia="Times New Roman" w:cs="Times New Roman"/>
          <w:szCs w:val="24"/>
        </w:rPr>
        <w:fldChar w:fldCharType="begin"/>
      </w:r>
      <w:r w:rsidR="003E6082">
        <w:rPr>
          <w:rFonts w:eastAsia="Times New Roman" w:cs="Times New Roman"/>
          <w:szCs w:val="24"/>
        </w:rPr>
        <w:instrText xml:space="preserve"> ADDIN EN.CITE &lt;EndNote&gt;&lt;Cite&gt;&lt;Author&gt;Anonymous&lt;/Author&gt;&lt;Year&gt;2017&lt;/Year&gt;&lt;RecNum&gt;1081&lt;/RecNum&gt;&lt;DisplayText&gt;[1]&lt;/DisplayText&gt;&lt;record&gt;&lt;rec-number&gt;1081&lt;/rec-number&gt;&lt;foreign-keys&gt;&lt;key app="EN" db-id="e5r9za9pwrx5r7ef9t3ptsz8wxedpttzwest" timestamp="1520513652"&gt;1081&lt;/key&gt;&lt;/foreign-keys&gt;&lt;ref-type name="Web Page"&gt;12&lt;/ref-type&gt;&lt;contributors&gt;&lt;authors&gt;&lt;author&gt;Anonymous&lt;/author&gt;&lt;/authors&gt;&lt;/contributors&gt;&lt;titles&gt;&lt;title&gt;Tick Borne Encephalitis (TBE)&lt;/title&gt;&lt;/titles&gt;&lt;volume&gt;2017&lt;/volume&gt;&lt;number&gt;28 October 2017&lt;/number&gt;&lt;dates&gt;&lt;year&gt;2017&lt;/year&gt;&lt;/dates&gt;&lt;pub-location&gt;Stockholm&lt;/pub-location&gt;&lt;publisher&gt;The Public Health Agency of Sweden&lt;/publisher&gt;&lt;urls&gt;&lt;related-urls&gt;&lt;url&gt;https://www.folkhalsomyndigheten.se/folkhalsorapportering-statistik/statistikdatabaser-och-visualisering/sjukdomsstatistik/tick-borne-encephalitis-tbe/&lt;/url&gt;&lt;/related-urls&gt;&lt;/urls&gt;&lt;/record&gt;&lt;/Cite&gt;&lt;/EndNote&gt;</w:instrText>
      </w:r>
      <w:r w:rsidR="003E6082">
        <w:rPr>
          <w:rFonts w:eastAsia="Times New Roman" w:cs="Times New Roman"/>
          <w:szCs w:val="24"/>
        </w:rPr>
        <w:fldChar w:fldCharType="separate"/>
      </w:r>
      <w:r w:rsidR="003E6082">
        <w:rPr>
          <w:rFonts w:eastAsia="Times New Roman" w:cs="Times New Roman"/>
          <w:noProof/>
          <w:szCs w:val="24"/>
        </w:rPr>
        <w:t>[1]</w:t>
      </w:r>
      <w:r w:rsidR="003E6082">
        <w:rPr>
          <w:rFonts w:eastAsia="Times New Roman" w:cs="Times New Roman"/>
          <w:szCs w:val="24"/>
        </w:rPr>
        <w:fldChar w:fldCharType="end"/>
      </w:r>
      <w:r w:rsidRPr="006531AF">
        <w:rPr>
          <w:rFonts w:eastAsia="Times New Roman" w:cs="Times New Roman"/>
          <w:szCs w:val="24"/>
        </w:rPr>
        <w:t xml:space="preserve">. There are at least six plausible major reasons (listed in </w:t>
      </w:r>
      <w:r w:rsidR="000034B2">
        <w:rPr>
          <w:rFonts w:eastAsia="Times New Roman" w:cs="Times New Roman"/>
          <w:szCs w:val="24"/>
        </w:rPr>
        <w:t>bold style</w:t>
      </w:r>
      <w:r w:rsidRPr="006531AF">
        <w:rPr>
          <w:rFonts w:eastAsia="Times New Roman" w:cs="Times New Roman"/>
          <w:szCs w:val="24"/>
        </w:rPr>
        <w:t xml:space="preserve"> below) for the increasing TBE incidence since the year 2000 in Sweden:</w:t>
      </w:r>
    </w:p>
    <w:p w:rsidR="00246678" w:rsidRPr="006531AF" w:rsidRDefault="00246678" w:rsidP="006C198B">
      <w:pPr>
        <w:spacing w:line="360" w:lineRule="auto"/>
        <w:rPr>
          <w:rFonts w:eastAsia="Times New Roman" w:cs="Times New Roman"/>
          <w:szCs w:val="24"/>
        </w:rPr>
      </w:pPr>
      <w:r w:rsidRPr="006531AF" w:rsidDel="002D51C3">
        <w:rPr>
          <w:rFonts w:eastAsia="Times New Roman" w:cs="Times New Roman"/>
          <w:b/>
          <w:szCs w:val="24"/>
        </w:rPr>
        <w:t xml:space="preserve"> </w:t>
      </w:r>
      <w:r w:rsidRPr="006531AF">
        <w:rPr>
          <w:rFonts w:eastAsia="Times New Roman" w:cs="Times New Roman"/>
          <w:b/>
          <w:szCs w:val="24"/>
        </w:rPr>
        <w:t xml:space="preserve">(i) Vaccination. </w:t>
      </w:r>
      <w:r w:rsidRPr="006531AF">
        <w:rPr>
          <w:rFonts w:eastAsia="Times New Roman" w:cs="Times New Roman"/>
          <w:szCs w:val="24"/>
        </w:rPr>
        <w:t>Many people who lived in or visited risk areas were not ‒ or were inadequately ‒ vaccinated against TBE.  One among several variables that could influence the analyses is the vaccination frequency. Despite a drastically increased vaccination rate against TBE in Sweden since the late 1980s, the incidence of TBE has increased significantly during the same period up until 201</w:t>
      </w:r>
      <w:r>
        <w:rPr>
          <w:rFonts w:eastAsia="Times New Roman" w:cs="Times New Roman"/>
          <w:szCs w:val="24"/>
        </w:rPr>
        <w:t>7</w:t>
      </w:r>
      <w:r w:rsidRPr="006531AF">
        <w:rPr>
          <w:rFonts w:eastAsia="Times New Roman" w:cs="Times New Roman"/>
          <w:szCs w:val="24"/>
        </w:rPr>
        <w:t xml:space="preserve">. The first TBE vaccine was approved for general use in Sweden in 1988. In the early 1990s some 10,000 doses were sold each year to Swedish customers. In the mid-1990s vaccination against TBE increased, and reached about 200,000 doses annually by the early 2000s. In 2013, 550,000 doses were sold in Sweden. Consequently, since 1990 there has been a &gt;10–15-fold increase in the sale of TBE vaccine to Swedish customers. During the last 10 years the sale of the vaccine more than doubled (Dr Rolf Gustafson, M.D., Medical Director, Baxter Medical AB, Stockholm, Sweden, personal communication). The amount of vaccine sold is presumably proportional to the amount of vaccine used. </w:t>
      </w:r>
      <w:r w:rsidRPr="00C466A4">
        <w:rPr>
          <w:rFonts w:eastAsia="Times New Roman" w:cs="Times New Roman"/>
          <w:szCs w:val="24"/>
          <w:lang w:val="en-US"/>
        </w:rPr>
        <w:t xml:space="preserve">There are no national statistics on how many </w:t>
      </w:r>
      <w:r>
        <w:rPr>
          <w:rFonts w:eastAsia="Times New Roman" w:cs="Times New Roman"/>
          <w:szCs w:val="24"/>
          <w:lang w:val="en-US"/>
        </w:rPr>
        <w:t xml:space="preserve">persons are </w:t>
      </w:r>
      <w:r w:rsidRPr="00C466A4">
        <w:rPr>
          <w:rFonts w:eastAsia="Times New Roman" w:cs="Times New Roman"/>
          <w:szCs w:val="24"/>
          <w:lang w:val="en-US"/>
        </w:rPr>
        <w:t>vaccin</w:t>
      </w:r>
      <w:r>
        <w:rPr>
          <w:rFonts w:eastAsia="Times New Roman" w:cs="Times New Roman"/>
          <w:szCs w:val="24"/>
          <w:lang w:val="en-US"/>
        </w:rPr>
        <w:t>ated</w:t>
      </w:r>
      <w:r w:rsidRPr="00C466A4">
        <w:rPr>
          <w:rFonts w:eastAsia="Times New Roman" w:cs="Times New Roman"/>
          <w:szCs w:val="24"/>
          <w:lang w:val="en-US"/>
        </w:rPr>
        <w:t xml:space="preserve"> against TBE</w:t>
      </w:r>
      <w:r>
        <w:rPr>
          <w:rFonts w:eastAsia="Times New Roman" w:cs="Times New Roman"/>
          <w:szCs w:val="24"/>
          <w:lang w:val="en-US"/>
        </w:rPr>
        <w:t xml:space="preserve"> annually</w:t>
      </w:r>
      <w:r w:rsidRPr="00C466A4">
        <w:rPr>
          <w:rFonts w:eastAsia="Times New Roman" w:cs="Times New Roman"/>
          <w:szCs w:val="24"/>
          <w:lang w:val="en-US"/>
        </w:rPr>
        <w:t xml:space="preserve">. However, a study in the Stockholm area 2015 showed that more than 50 percent of the participants were vaccinated. Despite a relatively high vaccination rate, it is still insufficient; </w:t>
      </w:r>
      <w:r>
        <w:rPr>
          <w:rFonts w:eastAsia="Times New Roman" w:cs="Times New Roman"/>
          <w:szCs w:val="24"/>
          <w:lang w:val="en-US"/>
        </w:rPr>
        <w:t>yet,</w:t>
      </w:r>
      <w:r w:rsidRPr="00C466A4">
        <w:rPr>
          <w:rFonts w:eastAsia="Times New Roman" w:cs="Times New Roman"/>
          <w:szCs w:val="24"/>
          <w:lang w:val="en-US"/>
        </w:rPr>
        <w:t xml:space="preserve"> 80-100 people are still </w:t>
      </w:r>
      <w:r>
        <w:rPr>
          <w:rFonts w:eastAsia="Times New Roman" w:cs="Times New Roman"/>
          <w:szCs w:val="24"/>
          <w:lang w:val="en-US"/>
        </w:rPr>
        <w:t xml:space="preserve">reported to have been </w:t>
      </w:r>
      <w:r w:rsidRPr="00C466A4">
        <w:rPr>
          <w:rFonts w:eastAsia="Times New Roman" w:cs="Times New Roman"/>
          <w:szCs w:val="24"/>
          <w:lang w:val="en-US"/>
        </w:rPr>
        <w:t>infected in the Stockholm region each year</w:t>
      </w:r>
      <w:r w:rsidR="00B510EF">
        <w:rPr>
          <w:rFonts w:eastAsia="Times New Roman" w:cs="Times New Roman"/>
          <w:szCs w:val="24"/>
          <w:lang w:val="en-US"/>
        </w:rPr>
        <w:t xml:space="preserve"> </w:t>
      </w:r>
      <w:r w:rsidR="003E6082">
        <w:rPr>
          <w:rFonts w:eastAsia="Times New Roman" w:cs="Times New Roman"/>
          <w:szCs w:val="24"/>
          <w:lang w:val="en-US"/>
        </w:rPr>
        <w:fldChar w:fldCharType="begin"/>
      </w:r>
      <w:r w:rsidR="003E6082">
        <w:rPr>
          <w:rFonts w:eastAsia="Times New Roman" w:cs="Times New Roman"/>
          <w:szCs w:val="24"/>
          <w:lang w:val="en-US"/>
        </w:rPr>
        <w:instrText xml:space="preserve"> ADDIN EN.CITE &lt;EndNote&gt;&lt;Cite&gt;&lt;Author&gt;Anonymous&lt;/Author&gt;&lt;Year&gt;2017&lt;/Year&gt;&lt;RecNum&gt;1081&lt;/RecNum&gt;&lt;DisplayText&gt;[1]&lt;/DisplayText&gt;&lt;record&gt;&lt;rec-number&gt;1081&lt;/rec-number&gt;&lt;foreign-keys&gt;&lt;key app="EN" db-id="e5r9za9pwrx5r7ef9t3ptsz8wxedpttzwest" timestamp="1520513652"&gt;1081&lt;/key&gt;&lt;/foreign-keys&gt;&lt;ref-type name="Web Page"&gt;12&lt;/ref-type&gt;&lt;contributors&gt;&lt;authors&gt;&lt;author&gt;Anonymous&lt;/author&gt;&lt;/authors&gt;&lt;/contributors&gt;&lt;titles&gt;&lt;title&gt;Tick Borne Encephalitis (TBE)&lt;/title&gt;&lt;/titles&gt;&lt;volume&gt;2017&lt;/volume&gt;&lt;number&gt;28 October 2017&lt;/number&gt;&lt;dates&gt;&lt;year&gt;2017&lt;/year&gt;&lt;/dates&gt;&lt;pub-location&gt;Stockholm&lt;/pub-location&gt;&lt;publisher&gt;The Public Health Agency of Sweden&lt;/publisher&gt;&lt;urls&gt;&lt;related-urls&gt;&lt;url&gt;https://www.folkhalsomyndigheten.se/folkhalsorapportering-statistik/statistikdatabaser-och-visualisering/sjukdomsstatistik/tick-borne-encephalitis-tbe/&lt;/url&gt;&lt;/related-urls&gt;&lt;/urls&gt;&lt;/record&gt;&lt;/Cite&gt;&lt;/EndNote&gt;</w:instrText>
      </w:r>
      <w:r w:rsidR="003E6082">
        <w:rPr>
          <w:rFonts w:eastAsia="Times New Roman" w:cs="Times New Roman"/>
          <w:szCs w:val="24"/>
          <w:lang w:val="en-US"/>
        </w:rPr>
        <w:fldChar w:fldCharType="separate"/>
      </w:r>
      <w:r w:rsidR="003E6082">
        <w:rPr>
          <w:rFonts w:eastAsia="Times New Roman" w:cs="Times New Roman"/>
          <w:noProof/>
          <w:szCs w:val="24"/>
          <w:lang w:val="en-US"/>
        </w:rPr>
        <w:t>[1]</w:t>
      </w:r>
      <w:r w:rsidR="003E6082">
        <w:rPr>
          <w:rFonts w:eastAsia="Times New Roman" w:cs="Times New Roman"/>
          <w:szCs w:val="24"/>
          <w:lang w:val="en-US"/>
        </w:rPr>
        <w:fldChar w:fldCharType="end"/>
      </w:r>
      <w:r>
        <w:rPr>
          <w:rFonts w:eastAsia="Times New Roman" w:cs="Times New Roman"/>
          <w:szCs w:val="24"/>
          <w:lang w:val="en-US"/>
        </w:rPr>
        <w:t xml:space="preserve">. </w:t>
      </w:r>
      <w:r w:rsidRPr="006531AF">
        <w:rPr>
          <w:rFonts w:eastAsia="Times New Roman" w:cs="Times New Roman"/>
          <w:szCs w:val="24"/>
        </w:rPr>
        <w:t>It is possible that to a certain extent the "wrong" segment of the population had been vaccinated. If people who rarely or never visited TBEV-enzootic areas became vaccinated while many people living in TBE risk areas remained without adequate vaccination such a phenomenon could partly explain the increased TBE incidence. However, we consider it likely that the increasingly more effective information in Sweden about ticks, TBDs and TBE risk areas, and the increasing TBE vaccination rate of Swedish people since the late 1980s has had as its main effect to prevent many vaccinated people to become TBEV-infected from ticks. Thus, without this high vaccination rate the TBE incidence would, most likely, have been much higher.</w:t>
      </w:r>
    </w:p>
    <w:p w:rsidR="00246678" w:rsidRDefault="00246678" w:rsidP="006C198B">
      <w:pPr>
        <w:spacing w:line="360" w:lineRule="auto"/>
        <w:rPr>
          <w:rFonts w:eastAsia="Times New Roman" w:cs="Times New Roman"/>
          <w:szCs w:val="24"/>
        </w:rPr>
      </w:pPr>
      <w:r w:rsidRPr="006531AF">
        <w:rPr>
          <w:rFonts w:eastAsia="Times New Roman" w:cs="Times New Roman"/>
          <w:b/>
          <w:szCs w:val="24"/>
        </w:rPr>
        <w:t xml:space="preserve">(ii) The contact rate between susceptible humans and infective ticks. </w:t>
      </w:r>
      <w:r w:rsidRPr="006531AF">
        <w:rPr>
          <w:rFonts w:eastAsia="Times New Roman" w:cs="Times New Roman"/>
          <w:szCs w:val="24"/>
        </w:rPr>
        <w:t xml:space="preserve">The contact rate between infective ticks and susceptible people, i.e. persons not adequately vaccinated against </w:t>
      </w:r>
      <w:r w:rsidRPr="006531AF">
        <w:rPr>
          <w:rFonts w:eastAsia="Times New Roman" w:cs="Times New Roman"/>
          <w:szCs w:val="24"/>
        </w:rPr>
        <w:lastRenderedPageBreak/>
        <w:t>TBEV infection, is an important factor that will influence the incidence of human TBE in time and space</w:t>
      </w:r>
      <w:r w:rsidR="003E6082">
        <w:rPr>
          <w:rFonts w:eastAsia="Times New Roman" w:cs="Times New Roman"/>
          <w:szCs w:val="24"/>
        </w:rPr>
        <w:t xml:space="preserve"> </w:t>
      </w:r>
      <w:r w:rsidR="003E6082">
        <w:rPr>
          <w:rFonts w:eastAsia="Times New Roman" w:cs="Times New Roman"/>
          <w:szCs w:val="24"/>
        </w:rPr>
        <w:fldChar w:fldCharType="begin"/>
      </w:r>
      <w:r w:rsidR="003E6082">
        <w:rPr>
          <w:rFonts w:eastAsia="Times New Roman" w:cs="Times New Roman"/>
          <w:szCs w:val="24"/>
        </w:rPr>
        <w:instrText xml:space="preserve"> ADDIN EN.CITE &lt;EndNote&gt;&lt;Cite&gt;&lt;Author&gt;Randolph&lt;/Author&gt;&lt;Year&gt;2002&lt;/Year&gt;&lt;RecNum&gt;879&lt;/RecNum&gt;&lt;DisplayText&gt;[2]&lt;/DisplayText&gt;&lt;record&gt;&lt;rec-number&gt;879&lt;/rec-number&gt;&lt;foreign-keys&gt;&lt;key app="EN" db-id="e5r9za9pwrx5r7ef9t3ptsz8wxedpttzwest" timestamp="1442868350"&gt;879&lt;/key&gt;&lt;/foreign-keys&gt;&lt;ref-type name="Journal Article"&gt;17&lt;/ref-type&gt;&lt;contributors&gt;&lt;authors&gt;&lt;author&gt;Randolph, S.&lt;/author&gt;&lt;/authors&gt;&lt;/contributors&gt;&lt;auth-address&gt;Department of Zoology, University of Oxford, UK. sarah.randolph@zoology.ox.ac.uk&lt;/auth-address&gt;&lt;titles&gt;&lt;title&gt;Predicting the risk of tick-borne diseases&lt;/title&gt;&lt;secondary-title&gt;Int J Med Microbiol&lt;/secondary-title&gt;&lt;alt-title&gt;International Journal of Medical Microbiology&lt;/alt-title&gt;&lt;/titles&gt;&lt;periodical&gt;&lt;full-title&gt;Int J Med Microbiol&lt;/full-title&gt;&lt;abbr-1&gt;International journal of medical microbiology : IJMM&lt;/abbr-1&gt;&lt;/periodical&gt;&lt;alt-periodical&gt;&lt;full-title&gt;International Journal of Medical Microbiology&lt;/full-title&gt;&lt;/alt-periodical&gt;&lt;pages&gt;6-10&lt;/pages&gt;&lt;volume&gt;291 Suppl 33&lt;/volume&gt;&lt;keywords&gt;&lt;keyword&gt;Animals&lt;/keyword&gt;&lt;keyword&gt;Arachnid Vectors/*physiology/virology&lt;/keyword&gt;&lt;keyword&gt;Climate&lt;/keyword&gt;&lt;keyword&gt;Encephalitis Viruses, Tick-Borne&lt;/keyword&gt;&lt;keyword&gt;Encephalitis, Tick-Borne/*epidemiology/virology&lt;/keyword&gt;&lt;keyword&gt;*Forecasting&lt;/keyword&gt;&lt;keyword&gt;Humans&lt;/keyword&gt;&lt;keyword&gt;Ixodes/*physiology/virology&lt;/keyword&gt;&lt;keyword&gt;Population Dynamics&lt;/keyword&gt;&lt;keyword&gt;Risk Factors&lt;/keyword&gt;&lt;keyword&gt;Satellite Communications&lt;/keyword&gt;&lt;keyword&gt;Tick-Borne Diseases/epidemiology&lt;/keyword&gt;&lt;/keywords&gt;&lt;dates&gt;&lt;year&gt;2002&lt;/year&gt;&lt;pub-dates&gt;&lt;date&gt;Jun&lt;/date&gt;&lt;/pub-dates&gt;&lt;/dates&gt;&lt;isbn&gt;1438-4221 (Print)&amp;#xD;1438-4221 (Linking)&lt;/isbn&gt;&lt;accession-num&gt;12141761&lt;/accession-num&gt;&lt;urls&gt;&lt;related-urls&gt;&lt;url&gt;http://www.ncbi.nlm.nih.gov/pubmed/12141761&lt;/url&gt;&lt;/related-urls&gt;&lt;/urls&gt;&lt;/record&gt;&lt;/Cite&gt;&lt;/EndNote&gt;</w:instrText>
      </w:r>
      <w:r w:rsidR="003E6082">
        <w:rPr>
          <w:rFonts w:eastAsia="Times New Roman" w:cs="Times New Roman"/>
          <w:szCs w:val="24"/>
        </w:rPr>
        <w:fldChar w:fldCharType="separate"/>
      </w:r>
      <w:r w:rsidR="003E6082">
        <w:rPr>
          <w:rFonts w:eastAsia="Times New Roman" w:cs="Times New Roman"/>
          <w:noProof/>
          <w:szCs w:val="24"/>
        </w:rPr>
        <w:t>[2]</w:t>
      </w:r>
      <w:r w:rsidR="003E6082">
        <w:rPr>
          <w:rFonts w:eastAsia="Times New Roman" w:cs="Times New Roman"/>
          <w:szCs w:val="24"/>
        </w:rPr>
        <w:fldChar w:fldCharType="end"/>
      </w:r>
      <w:r>
        <w:rPr>
          <w:rFonts w:eastAsia="Times New Roman" w:cs="Times New Roman"/>
          <w:szCs w:val="24"/>
        </w:rPr>
        <w:t>.</w:t>
      </w:r>
      <w:r w:rsidRPr="006531AF">
        <w:rPr>
          <w:rFonts w:eastAsia="Times New Roman" w:cs="Times New Roman"/>
          <w:szCs w:val="24"/>
        </w:rPr>
        <w:t xml:space="preserve"> </w:t>
      </w:r>
      <w:r>
        <w:rPr>
          <w:rFonts w:eastAsia="Times New Roman" w:cs="Times New Roman"/>
          <w:szCs w:val="24"/>
        </w:rPr>
        <w:t>The general opinion is</w:t>
      </w:r>
      <w:r w:rsidRPr="006531AF">
        <w:rPr>
          <w:rFonts w:eastAsia="Times New Roman" w:cs="Times New Roman"/>
          <w:szCs w:val="24"/>
        </w:rPr>
        <w:t xml:space="preserve"> that people in Sweden spend more time in nature nowadays compared to some decades ago. </w:t>
      </w:r>
      <w:r w:rsidR="00C55CCF">
        <w:rPr>
          <w:rFonts w:eastAsia="Times New Roman" w:cs="Times New Roman"/>
          <w:szCs w:val="24"/>
        </w:rPr>
        <w:t>One investigation performed by Statistics Sweden support this notion: adult women and men i</w:t>
      </w:r>
      <w:r w:rsidR="00133AE2">
        <w:rPr>
          <w:rFonts w:eastAsia="Times New Roman" w:cs="Times New Roman"/>
          <w:szCs w:val="24"/>
        </w:rPr>
        <w:t>n Sweden used</w:t>
      </w:r>
      <w:r w:rsidR="00C55CCF">
        <w:rPr>
          <w:rFonts w:eastAsia="Times New Roman" w:cs="Times New Roman"/>
          <w:szCs w:val="24"/>
        </w:rPr>
        <w:t xml:space="preserve"> significantly more </w:t>
      </w:r>
      <w:r w:rsidR="00133AE2">
        <w:rPr>
          <w:rFonts w:eastAsia="Times New Roman" w:cs="Times New Roman"/>
          <w:szCs w:val="24"/>
        </w:rPr>
        <w:t xml:space="preserve">of their </w:t>
      </w:r>
      <w:r w:rsidR="00C55CCF">
        <w:rPr>
          <w:rFonts w:eastAsia="Times New Roman" w:cs="Times New Roman"/>
          <w:szCs w:val="24"/>
        </w:rPr>
        <w:t>leisure time</w:t>
      </w:r>
      <w:r w:rsidR="00133AE2">
        <w:rPr>
          <w:rFonts w:eastAsia="Times New Roman" w:cs="Times New Roman"/>
          <w:szCs w:val="24"/>
        </w:rPr>
        <w:t xml:space="preserve"> walking in the forests in 2002 than in 1976 </w:t>
      </w:r>
      <w:r w:rsidR="00133AE2">
        <w:rPr>
          <w:rFonts w:eastAsia="Times New Roman" w:cs="Times New Roman"/>
          <w:szCs w:val="24"/>
        </w:rPr>
        <w:fldChar w:fldCharType="begin"/>
      </w:r>
      <w:r w:rsidR="00133AE2">
        <w:rPr>
          <w:rFonts w:eastAsia="Times New Roman" w:cs="Times New Roman"/>
          <w:szCs w:val="24"/>
        </w:rPr>
        <w:instrText xml:space="preserve"> ADDIN EN.CITE &lt;EndNote&gt;&lt;Cite&gt;&lt;Author&gt;Statistiska centralbyrån (SCB). Statistics Sweden&lt;/Author&gt;&lt;Year&gt;2004&lt;/Year&gt;&lt;RecNum&gt;1121&lt;/RecNum&gt;&lt;DisplayText&gt;[3]&lt;/DisplayText&gt;&lt;record&gt;&lt;rec-number&gt;1121&lt;/rec-number&gt;&lt;foreign-keys&gt;&lt;key app="EN" db-id="e5r9za9pwrx5r7ef9t3ptsz8wxedpttzwest" timestamp="1520986691"&gt;1121&lt;/key&gt;&lt;/foreign-keys&gt;&lt;ref-type name="Report"&gt;27&lt;/ref-type&gt;&lt;contributors&gt;&lt;authors&gt;&lt;author&gt;Statistiska centralbyrån (SCB). Statistics Sweden,&lt;/author&gt;&lt;/authors&gt;&lt;subsidiary-authors&gt;&lt;author&gt;SCB, Enheten för Social Välfärdsstatistik&lt;/author&gt;&lt;/subsidiary-authors&gt;&lt;/contributors&gt;&lt;titles&gt;&lt;title&gt;Fritid 1976-2002. Leisure activities 1976-2002&lt;/title&gt;&lt;secondary-title&gt;Living conditions&lt;/secondary-title&gt;&lt;/titles&gt;&lt;dates&gt;&lt;year&gt;2004&lt;/year&gt;&lt;/dates&gt;&lt;pub-location&gt;Stockholm&lt;/pub-location&gt;&lt;isbn&gt;193&lt;/isbn&gt;&lt;urls&gt;&lt;/urls&gt;&lt;/record&gt;&lt;/Cite&gt;&lt;/EndNote&gt;</w:instrText>
      </w:r>
      <w:r w:rsidR="00133AE2">
        <w:rPr>
          <w:rFonts w:eastAsia="Times New Roman" w:cs="Times New Roman"/>
          <w:szCs w:val="24"/>
        </w:rPr>
        <w:fldChar w:fldCharType="separate"/>
      </w:r>
      <w:r w:rsidR="00133AE2">
        <w:rPr>
          <w:rFonts w:eastAsia="Times New Roman" w:cs="Times New Roman"/>
          <w:noProof/>
          <w:szCs w:val="24"/>
        </w:rPr>
        <w:t>[3]</w:t>
      </w:r>
      <w:r w:rsidR="00133AE2">
        <w:rPr>
          <w:rFonts w:eastAsia="Times New Roman" w:cs="Times New Roman"/>
          <w:szCs w:val="24"/>
        </w:rPr>
        <w:fldChar w:fldCharType="end"/>
      </w:r>
      <w:r w:rsidR="00133AE2">
        <w:rPr>
          <w:rFonts w:eastAsia="Times New Roman" w:cs="Times New Roman"/>
          <w:szCs w:val="24"/>
        </w:rPr>
        <w:t xml:space="preserve"> </w:t>
      </w:r>
    </w:p>
    <w:p w:rsidR="00246678" w:rsidRPr="006531AF" w:rsidRDefault="00246678" w:rsidP="006C198B">
      <w:pPr>
        <w:spacing w:line="360" w:lineRule="auto"/>
        <w:rPr>
          <w:rFonts w:eastAsia="Times New Roman" w:cs="Times New Roman"/>
          <w:szCs w:val="24"/>
        </w:rPr>
      </w:pPr>
      <w:r w:rsidRPr="006531AF">
        <w:rPr>
          <w:rFonts w:eastAsia="Times New Roman" w:cs="Times New Roman"/>
          <w:b/>
          <w:szCs w:val="24"/>
        </w:rPr>
        <w:t xml:space="preserve">(iii) Number of potential vectors. </w:t>
      </w:r>
      <w:r w:rsidRPr="006531AF">
        <w:rPr>
          <w:rFonts w:eastAsia="Times New Roman" w:cs="Times New Roman"/>
          <w:szCs w:val="24"/>
        </w:rPr>
        <w:t>The density of infected ticks, particularly infected nymphs, is an important index of risk of transmission of TBEV to humans. Data suggest that the number of ticks as well as their geographical distribution in Sweden increased substantially during the last two to three decades</w:t>
      </w:r>
      <w:r w:rsidR="003E6082">
        <w:rPr>
          <w:rFonts w:eastAsia="Times New Roman" w:cs="Times New Roman"/>
          <w:szCs w:val="24"/>
        </w:rPr>
        <w:t xml:space="preserve"> </w:t>
      </w:r>
      <w:r w:rsidR="003E6082">
        <w:rPr>
          <w:rFonts w:eastAsia="Times New Roman" w:cs="Times New Roman"/>
          <w:szCs w:val="24"/>
        </w:rPr>
        <w:fldChar w:fldCharType="begin"/>
      </w:r>
      <w:r w:rsidR="00133AE2">
        <w:rPr>
          <w:rFonts w:eastAsia="Times New Roman" w:cs="Times New Roman"/>
          <w:szCs w:val="24"/>
        </w:rPr>
        <w:instrText xml:space="preserve"> ADDIN EN.CITE &lt;EndNote&gt;&lt;Cite&gt;&lt;Author&gt;Jaenson&lt;/Author&gt;&lt;Year&gt;2012&lt;/Year&gt;&lt;RecNum&gt;4&lt;/RecNum&gt;&lt;DisplayText&gt;[4]&lt;/DisplayText&gt;&lt;record&gt;&lt;rec-number&gt;4&lt;/rec-number&gt;&lt;foreign-keys&gt;&lt;key app="EN" db-id="e5r9za9pwrx5r7ef9t3ptsz8wxedpttzwest" timestamp="1489193862"&gt;4&lt;/key&gt;&lt;key app="ENWeb" db-id=""&gt;0&lt;/key&gt;&lt;/foreign-keys&gt;&lt;ref-type name="Journal Article"&gt;17&lt;/ref-type&gt;&lt;contributors&gt;&lt;authors&gt;&lt;author&gt;Jaenson, T. G.&lt;/author&gt;&lt;author&gt;Jaenson, D. G.&lt;/author&gt;&lt;author&gt;Eisen, L.&lt;/author&gt;&lt;author&gt;Petersson, E.&lt;/author&gt;&lt;author&gt;Lindgren, E.&lt;/author&gt;&lt;/authors&gt;&lt;/contributors&gt;&lt;auth-address&gt;Medical Entomology Unit, Department of Systematic Biology, Evolutionary Biology Centre, Uppsala University, Norbyvagen 18d, SE-752 36 Uppsala, Sweden. Thomas.Jaenson@ebc.uu.se&lt;/auth-address&gt;&lt;titles&gt;&lt;title&gt;Changes in the geographical distribution and abundance of the tick Ixodes ricinus during the past 30 years in Sweden&lt;/title&gt;&lt;secondary-title&gt;Parasit Vectors&lt;/secondary-title&gt;&lt;alt-title&gt;Parasites &amp;amp; vectors&lt;/alt-title&gt;&lt;/titles&gt;&lt;periodical&gt;&lt;full-title&gt;Parasit Vectors&lt;/full-title&gt;&lt;abbr-1&gt;Parasites &amp;amp; vectors&lt;/abbr-1&gt;&lt;/periodical&gt;&lt;alt-periodical&gt;&lt;full-title&gt;Parasit Vectors&lt;/full-title&gt;&lt;abbr-1&gt;Parasites &amp;amp; vectors&lt;/abbr-1&gt;&lt;/alt-periodical&gt;&lt;pages&gt;8&lt;/pages&gt;&lt;volume&gt;5&lt;/volume&gt;&lt;keywords&gt;&lt;keyword&gt;Animals&lt;/keyword&gt;&lt;keyword&gt;Geography&lt;/keyword&gt;&lt;keyword&gt;Humans&lt;/keyword&gt;&lt;keyword&gt;Ixodes/*growth &amp;amp; development&lt;/keyword&gt;&lt;keyword&gt;*Phylogeography&lt;/keyword&gt;&lt;keyword&gt;Questionnaires&lt;/keyword&gt;&lt;keyword&gt;Sweden&lt;/keyword&gt;&lt;/keywords&gt;&lt;dates&gt;&lt;year&gt;2012&lt;/year&gt;&lt;/dates&gt;&lt;isbn&gt;1756-3305 (Electronic)&amp;#xD;1756-3305 (Linking)&lt;/isbn&gt;&lt;accession-num&gt;22233771&lt;/accession-num&gt;&lt;urls&gt;&lt;related-urls&gt;&lt;url&gt;http://www.ncbi.nlm.nih.gov/pubmed/22233771&lt;/url&gt;&lt;/related-urls&gt;&lt;/urls&gt;&lt;custom2&gt;3311093&lt;/custom2&gt;&lt;electronic-resource-num&gt;10.1186/1756-3305-5-8&lt;/electronic-resource-num&gt;&lt;/record&gt;&lt;/Cite&gt;&lt;/EndNote&gt;</w:instrText>
      </w:r>
      <w:r w:rsidR="003E6082">
        <w:rPr>
          <w:rFonts w:eastAsia="Times New Roman" w:cs="Times New Roman"/>
          <w:szCs w:val="24"/>
        </w:rPr>
        <w:fldChar w:fldCharType="separate"/>
      </w:r>
      <w:r w:rsidR="00133AE2">
        <w:rPr>
          <w:rFonts w:eastAsia="Times New Roman" w:cs="Times New Roman"/>
          <w:noProof/>
          <w:szCs w:val="24"/>
        </w:rPr>
        <w:t>[4]</w:t>
      </w:r>
      <w:r w:rsidR="003E6082">
        <w:rPr>
          <w:rFonts w:eastAsia="Times New Roman" w:cs="Times New Roman"/>
          <w:szCs w:val="24"/>
        </w:rPr>
        <w:fldChar w:fldCharType="end"/>
      </w:r>
      <w:r>
        <w:rPr>
          <w:rFonts w:eastAsia="Times New Roman" w:cs="Times New Roman"/>
          <w:szCs w:val="24"/>
        </w:rPr>
        <w:t>.</w:t>
      </w:r>
      <w:r w:rsidRPr="006531AF">
        <w:rPr>
          <w:rFonts w:eastAsia="Times New Roman" w:cs="Times New Roman"/>
          <w:szCs w:val="24"/>
        </w:rPr>
        <w:t xml:space="preserve"> This may explain much of the increased TBE incidence in Sweden up until 2013. The present study suggests that increasing numbers of tick maintenance hosts leads to increased tick abundance and increased density of virus-infected potential vectors, which facilitates increased transmission of the TBE virus. </w:t>
      </w:r>
    </w:p>
    <w:p w:rsidR="00246678" w:rsidRPr="006531AF" w:rsidRDefault="00246678" w:rsidP="006C198B">
      <w:pPr>
        <w:spacing w:line="360" w:lineRule="auto"/>
        <w:rPr>
          <w:rFonts w:eastAsia="Times New Roman" w:cs="Times New Roman"/>
          <w:szCs w:val="24"/>
        </w:rPr>
      </w:pPr>
      <w:proofErr w:type="gramStart"/>
      <w:r w:rsidRPr="006531AF">
        <w:rPr>
          <w:rFonts w:eastAsia="Times New Roman" w:cs="Times New Roman"/>
          <w:b/>
          <w:szCs w:val="24"/>
        </w:rPr>
        <w:t>(iv) Prevalence</w:t>
      </w:r>
      <w:proofErr w:type="gramEnd"/>
      <w:r w:rsidRPr="006531AF">
        <w:rPr>
          <w:rFonts w:eastAsia="Times New Roman" w:cs="Times New Roman"/>
          <w:b/>
          <w:szCs w:val="24"/>
        </w:rPr>
        <w:t xml:space="preserve"> of TBEV infection in the tick population.</w:t>
      </w:r>
      <w:r w:rsidRPr="006531AF">
        <w:rPr>
          <w:rFonts w:eastAsia="Times New Roman" w:cs="Times New Roman"/>
          <w:szCs w:val="24"/>
        </w:rPr>
        <w:t xml:space="preserve"> Information available</w:t>
      </w:r>
      <w:r>
        <w:rPr>
          <w:rFonts w:eastAsia="Times New Roman" w:cs="Times New Roman"/>
          <w:szCs w:val="24"/>
        </w:rPr>
        <w:t xml:space="preserve"> </w:t>
      </w:r>
      <w:r w:rsidR="001B1ABB">
        <w:rPr>
          <w:rFonts w:eastAsia="Times New Roman" w:cs="Times New Roman"/>
          <w:szCs w:val="24"/>
        </w:rPr>
        <w:fldChar w:fldCharType="begin">
          <w:fldData xml:space="preserve">PEVuZE5vdGU+PENpdGU+PEF1dGhvcj5QZXR0ZXJzc29uPC9BdXRob3I+PFllYXI+MjAxNDwvWWVh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</w:fldData>
        </w:fldChar>
      </w:r>
      <w:r w:rsidR="00133AE2">
        <w:rPr>
          <w:rFonts w:eastAsia="Times New Roman" w:cs="Times New Roman"/>
          <w:szCs w:val="24"/>
        </w:rPr>
        <w:instrText xml:space="preserve"> ADDIN EN.CITE </w:instrText>
      </w:r>
      <w:r w:rsidR="00133AE2">
        <w:rPr>
          <w:rFonts w:eastAsia="Times New Roman" w:cs="Times New Roman"/>
          <w:szCs w:val="24"/>
        </w:rPr>
        <w:fldChar w:fldCharType="begin">
          <w:fldData xml:space="preserve">PEVuZE5vdGU+PENpdGU+PEF1dGhvcj5QZXR0ZXJzc29uPC9BdXRob3I+PFllYXI+MjAxNDwvWWVh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</w:fldData>
        </w:fldChar>
      </w:r>
      <w:r w:rsidR="00133AE2">
        <w:rPr>
          <w:rFonts w:eastAsia="Times New Roman" w:cs="Times New Roman"/>
          <w:szCs w:val="24"/>
        </w:rPr>
        <w:instrText xml:space="preserve"> ADDIN EN.CITE.DATA </w:instrText>
      </w:r>
      <w:r w:rsidR="00133AE2">
        <w:rPr>
          <w:rFonts w:eastAsia="Times New Roman" w:cs="Times New Roman"/>
          <w:szCs w:val="24"/>
        </w:rPr>
      </w:r>
      <w:r w:rsidR="00133AE2">
        <w:rPr>
          <w:rFonts w:eastAsia="Times New Roman" w:cs="Times New Roman"/>
          <w:szCs w:val="24"/>
        </w:rPr>
        <w:fldChar w:fldCharType="end"/>
      </w:r>
      <w:r w:rsidR="001B1ABB">
        <w:rPr>
          <w:rFonts w:eastAsia="Times New Roman" w:cs="Times New Roman"/>
          <w:szCs w:val="24"/>
        </w:rPr>
      </w:r>
      <w:r w:rsidR="001B1ABB">
        <w:rPr>
          <w:rFonts w:eastAsia="Times New Roman" w:cs="Times New Roman"/>
          <w:szCs w:val="24"/>
        </w:rPr>
        <w:fldChar w:fldCharType="separate"/>
      </w:r>
      <w:r w:rsidR="00133AE2">
        <w:rPr>
          <w:rFonts w:eastAsia="Times New Roman" w:cs="Times New Roman"/>
          <w:noProof/>
          <w:szCs w:val="24"/>
        </w:rPr>
        <w:t>[5]</w:t>
      </w:r>
      <w:r w:rsidR="001B1ABB">
        <w:rPr>
          <w:rFonts w:eastAsia="Times New Roman" w:cs="Times New Roman"/>
          <w:szCs w:val="24"/>
        </w:rPr>
        <w:fldChar w:fldCharType="end"/>
      </w:r>
      <w:r w:rsidRPr="006531AF">
        <w:rPr>
          <w:rFonts w:eastAsia="Times New Roman" w:cs="Times New Roman"/>
          <w:szCs w:val="24"/>
        </w:rPr>
        <w:t xml:space="preserve"> is not sufficient to enable us to detect if the TBEV infection prevalence in the tick population changed significantly during the last decades.</w:t>
      </w:r>
    </w:p>
    <w:p w:rsidR="00246678" w:rsidRPr="006531AF" w:rsidRDefault="00246678" w:rsidP="006C198B">
      <w:pPr>
        <w:spacing w:line="360" w:lineRule="auto"/>
        <w:rPr>
          <w:rFonts w:eastAsia="Times New Roman" w:cs="Times New Roman"/>
          <w:szCs w:val="24"/>
        </w:rPr>
      </w:pPr>
      <w:r w:rsidRPr="006531AF">
        <w:rPr>
          <w:rFonts w:eastAsia="Times New Roman" w:cs="Times New Roman"/>
          <w:b/>
          <w:szCs w:val="24"/>
        </w:rPr>
        <w:t>(v)</w:t>
      </w:r>
      <w:r w:rsidRPr="006531AF">
        <w:rPr>
          <w:rFonts w:eastAsia="Times New Roman" w:cs="Times New Roman"/>
          <w:szCs w:val="24"/>
        </w:rPr>
        <w:t xml:space="preserve"> </w:t>
      </w:r>
      <w:r w:rsidRPr="006531AF">
        <w:rPr>
          <w:rFonts w:eastAsia="Times New Roman" w:cs="Times New Roman"/>
          <w:b/>
          <w:szCs w:val="24"/>
        </w:rPr>
        <w:t xml:space="preserve">Public knowledge and awareness about ticks and tick-borne diseases. </w:t>
      </w:r>
      <w:r w:rsidRPr="006531AF">
        <w:rPr>
          <w:rFonts w:eastAsia="Times New Roman" w:cs="Times New Roman"/>
          <w:szCs w:val="24"/>
        </w:rPr>
        <w:t>General practitioners as well as the general public are now, in general, more well-informed about tick biology a</w:t>
      </w:r>
      <w:r>
        <w:rPr>
          <w:rFonts w:eastAsia="Times New Roman" w:cs="Times New Roman"/>
          <w:szCs w:val="24"/>
        </w:rPr>
        <w:t>s well as</w:t>
      </w:r>
      <w:r w:rsidRPr="006531AF">
        <w:rPr>
          <w:rFonts w:eastAsia="Times New Roman" w:cs="Times New Roman"/>
          <w:szCs w:val="24"/>
        </w:rPr>
        <w:t xml:space="preserve"> epidemiology and symptomatology of TBDs than 2-3 decades ago. </w:t>
      </w:r>
    </w:p>
    <w:p w:rsidR="00246678" w:rsidRPr="006531AF" w:rsidRDefault="00246678" w:rsidP="006C198B">
      <w:pPr>
        <w:spacing w:line="360" w:lineRule="auto"/>
        <w:rPr>
          <w:rFonts w:eastAsia="Times New Roman" w:cs="Times New Roman"/>
          <w:szCs w:val="24"/>
        </w:rPr>
      </w:pPr>
      <w:proofErr w:type="gramStart"/>
      <w:r w:rsidRPr="006531AF">
        <w:rPr>
          <w:rFonts w:eastAsia="Times New Roman" w:cs="Times New Roman"/>
          <w:b/>
          <w:szCs w:val="24"/>
        </w:rPr>
        <w:t>(vi) Diagnostic</w:t>
      </w:r>
      <w:proofErr w:type="gramEnd"/>
      <w:r w:rsidRPr="006531AF">
        <w:rPr>
          <w:rFonts w:eastAsia="Times New Roman" w:cs="Times New Roman"/>
          <w:b/>
          <w:szCs w:val="24"/>
        </w:rPr>
        <w:t xml:space="preserve"> methods and capacity for correct diagnosis of the TBEV infection</w:t>
      </w:r>
      <w:r w:rsidRPr="006531AF">
        <w:rPr>
          <w:rFonts w:eastAsia="Times New Roman" w:cs="Times New Roman"/>
          <w:szCs w:val="24"/>
        </w:rPr>
        <w:t>s. The methods and equipment available for correct diagnosis of TBE, Lyme borrelioses and a few other TBDs have become more reliable and more widely used.</w:t>
      </w:r>
    </w:p>
    <w:p w:rsidR="00B510EF" w:rsidRDefault="00246678" w:rsidP="006C198B">
      <w:pPr>
        <w:spacing w:line="360" w:lineRule="auto"/>
        <w:ind w:firstLine="567"/>
        <w:rPr>
          <w:rFonts w:eastAsia="Times New Roman" w:cs="Times New Roman"/>
          <w:szCs w:val="24"/>
        </w:rPr>
      </w:pPr>
      <w:r w:rsidRPr="006531AF">
        <w:rPr>
          <w:rFonts w:eastAsia="Times New Roman" w:cs="Times New Roman"/>
          <w:szCs w:val="24"/>
        </w:rPr>
        <w:t>In summary, there is presumably a combination of several of the listed factors, which may have affected the recorded and the true incidences of TBE and other tick-transmitted diseases of humans in Sweden during the last two to three</w:t>
      </w:r>
      <w:r>
        <w:rPr>
          <w:rFonts w:eastAsia="Times New Roman" w:cs="Times New Roman"/>
          <w:szCs w:val="24"/>
        </w:rPr>
        <w:t xml:space="preserve"> decades.</w:t>
      </w:r>
    </w:p>
    <w:p w:rsidR="00B510EF" w:rsidRPr="00C80FFA" w:rsidRDefault="00B510EF" w:rsidP="006C198B">
      <w:pPr>
        <w:spacing w:line="360" w:lineRule="auto"/>
        <w:rPr>
          <w:rFonts w:eastAsia="Times New Roman" w:cs="Times New Roman"/>
          <w:b/>
          <w:szCs w:val="24"/>
          <w:lang w:val="sv-SE"/>
        </w:rPr>
      </w:pPr>
      <w:proofErr w:type="spellStart"/>
      <w:r w:rsidRPr="00C80FFA">
        <w:rPr>
          <w:rFonts w:eastAsia="Times New Roman" w:cs="Times New Roman"/>
          <w:b/>
          <w:szCs w:val="24"/>
          <w:lang w:val="sv-SE"/>
        </w:rPr>
        <w:t>References</w:t>
      </w:r>
      <w:proofErr w:type="spellEnd"/>
    </w:p>
    <w:p w:rsidR="00E31E6C" w:rsidRPr="00973AEB" w:rsidRDefault="00E31E6C" w:rsidP="006C198B">
      <w:pPr>
        <w:pStyle w:val="EndNoteBibliography"/>
        <w:ind w:left="720" w:hanging="720"/>
      </w:pPr>
      <w:r w:rsidRPr="00973AEB">
        <w:rPr>
          <w:lang w:val="sv-SE"/>
        </w:rPr>
        <w:t xml:space="preserve">1.        Folkhälsomyndigheten. </w:t>
      </w:r>
      <w:r w:rsidRPr="002C7A28">
        <w:t xml:space="preserve">Tick Borne Encephalitis (TBE). </w:t>
      </w:r>
      <w:hyperlink r:id="rId6" w:tgtFrame="_blank" w:history="1">
        <w:r w:rsidRPr="00973AEB">
          <w:t>https://www.folkhalsomyndigheten.se/folkhalsorapportering-statistik/statistikdatabaser-och-visualisering/sjukdomsstatistik/tick-borne-encephalitis-tbe/</w:t>
        </w:r>
      </w:hyperlink>
      <w:r w:rsidRPr="00973AEB">
        <w:t xml:space="preserve">. Accessed </w:t>
      </w:r>
      <w:r w:rsidR="004978C3" w:rsidRPr="00973AEB">
        <w:t>20 Feb 2018</w:t>
      </w:r>
      <w:r w:rsidRPr="00973AEB">
        <w:t>.</w:t>
      </w:r>
    </w:p>
    <w:p w:rsidR="00E31E6C" w:rsidRPr="004D1E17" w:rsidRDefault="00E31E6C" w:rsidP="006C198B">
      <w:pPr>
        <w:pStyle w:val="EndNoteBibliography"/>
        <w:ind w:left="720" w:hanging="720"/>
      </w:pPr>
      <w:r w:rsidRPr="00973AEB">
        <w:t>2.         Randolph S. Predicting the risk of tick-borne diseases. </w:t>
      </w:r>
      <w:r w:rsidRPr="002C7A28">
        <w:t>Int J Med Microbiol. </w:t>
      </w:r>
      <w:r w:rsidRPr="004D1E17">
        <w:t>2002;291 Suppl 33:6-10.</w:t>
      </w:r>
    </w:p>
    <w:p w:rsidR="00E31E6C" w:rsidRPr="00973AEB" w:rsidRDefault="00E31E6C" w:rsidP="006C198B">
      <w:pPr>
        <w:pStyle w:val="EndNoteBibliography"/>
        <w:ind w:left="720" w:hanging="720"/>
      </w:pPr>
      <w:r w:rsidRPr="004D1E17">
        <w:t>3.         </w:t>
      </w:r>
      <w:r w:rsidRPr="00973AEB">
        <w:rPr>
          <w:lang w:val="sv-SE"/>
        </w:rPr>
        <w:t xml:space="preserve">Statistiska centralbyrån (SCB). </w:t>
      </w:r>
      <w:r w:rsidRPr="002C7A28">
        <w:t xml:space="preserve">Statistics Sweden: Fritid 1976-2002. </w:t>
      </w:r>
      <w:r w:rsidRPr="00973AEB">
        <w:t xml:space="preserve">Leisure activities 1976-2002. Stockholm 2004. https://www.scb.se/statistik/LE/LE0101/1976I02/LE0101_1976I02_BR_LE103SA0401.pdf. Accessed </w:t>
      </w:r>
      <w:r w:rsidR="004978C3" w:rsidRPr="00973AEB">
        <w:t>15 Mar 2018</w:t>
      </w:r>
      <w:r w:rsidRPr="00973AEB">
        <w:t>.</w:t>
      </w:r>
    </w:p>
    <w:p w:rsidR="00E31E6C" w:rsidRPr="00973AEB" w:rsidRDefault="00E31E6C" w:rsidP="006C198B">
      <w:pPr>
        <w:pStyle w:val="EndNoteBibliography"/>
        <w:ind w:left="720" w:hanging="720"/>
      </w:pPr>
      <w:r w:rsidRPr="00973AEB">
        <w:t xml:space="preserve">4.         Jaenson TG, Jaenson DG, Eisen L, Petersson E, Lindgren E. Changes in the geographical distribution and abundance of the tick </w:t>
      </w:r>
      <w:r w:rsidRPr="00973AEB">
        <w:rPr>
          <w:i/>
        </w:rPr>
        <w:t>Ixodes ricinus</w:t>
      </w:r>
      <w:r w:rsidRPr="00973AEB">
        <w:t xml:space="preserve"> during the past 30 years in Sweden. Parasit</w:t>
      </w:r>
      <w:r w:rsidR="004D1E17">
        <w:t xml:space="preserve"> </w:t>
      </w:r>
      <w:r w:rsidRPr="00973AEB">
        <w:t>Vectors 2012;5:8.</w:t>
      </w:r>
    </w:p>
    <w:p w:rsidR="00E31E6C" w:rsidRPr="00365A3F" w:rsidRDefault="00E31E6C" w:rsidP="006C198B">
      <w:pPr>
        <w:pStyle w:val="EndNoteBibliography"/>
        <w:ind w:left="720" w:hanging="720"/>
      </w:pPr>
      <w:r w:rsidRPr="00973AEB">
        <w:lastRenderedPageBreak/>
        <w:t xml:space="preserve">5.         Pettersson JH, Golovljova I, Vene S, Jaenson TG. Prevalence of tick-borne encephalitis virus in </w:t>
      </w:r>
      <w:r w:rsidRPr="00973AEB">
        <w:rPr>
          <w:i/>
        </w:rPr>
        <w:t>Ixodes ricinus</w:t>
      </w:r>
      <w:r w:rsidRPr="00973AEB">
        <w:t xml:space="preserve"> ticks in northern Europe with particular reference to Southern Sweden. Parasit Vectors 2014;7:102.</w:t>
      </w:r>
    </w:p>
    <w:p w:rsidR="00133AE2" w:rsidRPr="00133AE2" w:rsidRDefault="00133AE2" w:rsidP="006C198B">
      <w:pPr>
        <w:pStyle w:val="EndNoteBibliography"/>
        <w:ind w:left="720" w:hanging="720"/>
      </w:pPr>
    </w:p>
    <w:sectPr w:rsidR="00133AE2" w:rsidRPr="00133AE2" w:rsidSect="006C198B">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2ECD" w:rsidRDefault="006E2ECD" w:rsidP="00246678">
      <w:r>
        <w:separator/>
      </w:r>
    </w:p>
  </w:endnote>
  <w:endnote w:type="continuationSeparator" w:id="0">
    <w:p w:rsidR="006E2ECD" w:rsidRDefault="006E2ECD" w:rsidP="00246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678" w:rsidRDefault="00246678">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2ECD" w:rsidRDefault="006E2ECD" w:rsidP="00246678">
      <w:r>
        <w:separator/>
      </w:r>
    </w:p>
  </w:footnote>
  <w:footnote w:type="continuationSeparator" w:id="0">
    <w:p w:rsidR="006E2ECD" w:rsidRDefault="006E2ECD" w:rsidP="002466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Parasites Vector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5r9za9pwrx5r7ef9t3ptsz8wxedpttzwest&quot;&gt;2018-03-12 Backup Thomas Endnotereferenser&lt;record-ids&gt;&lt;item&gt;4&lt;/item&gt;&lt;item&gt;879&lt;/item&gt;&lt;item&gt;1081&lt;/item&gt;&lt;item&gt;1114&lt;/item&gt;&lt;item&gt;1121&lt;/item&gt;&lt;/record-ids&gt;&lt;/item&gt;&lt;/Libraries&gt;"/>
  </w:docVars>
  <w:rsids>
    <w:rsidRoot w:val="00246678"/>
    <w:rsid w:val="000034B2"/>
    <w:rsid w:val="00082AA7"/>
    <w:rsid w:val="0009034E"/>
    <w:rsid w:val="000B3B65"/>
    <w:rsid w:val="000B475D"/>
    <w:rsid w:val="001318D6"/>
    <w:rsid w:val="00133AE2"/>
    <w:rsid w:val="0017585F"/>
    <w:rsid w:val="00181B77"/>
    <w:rsid w:val="001B1ABB"/>
    <w:rsid w:val="001E6073"/>
    <w:rsid w:val="00206EB9"/>
    <w:rsid w:val="00225774"/>
    <w:rsid w:val="00246678"/>
    <w:rsid w:val="002C7A28"/>
    <w:rsid w:val="003404FD"/>
    <w:rsid w:val="00366670"/>
    <w:rsid w:val="003E6082"/>
    <w:rsid w:val="004978C3"/>
    <w:rsid w:val="004D1E17"/>
    <w:rsid w:val="004D7864"/>
    <w:rsid w:val="00566C76"/>
    <w:rsid w:val="0067238F"/>
    <w:rsid w:val="006C198B"/>
    <w:rsid w:val="006E2ECD"/>
    <w:rsid w:val="00791CD9"/>
    <w:rsid w:val="008A3E65"/>
    <w:rsid w:val="00973AEB"/>
    <w:rsid w:val="00975E84"/>
    <w:rsid w:val="009B2D19"/>
    <w:rsid w:val="00B510EF"/>
    <w:rsid w:val="00BB508A"/>
    <w:rsid w:val="00C55CCF"/>
    <w:rsid w:val="00C80FFA"/>
    <w:rsid w:val="00C96AC3"/>
    <w:rsid w:val="00CD2565"/>
    <w:rsid w:val="00DB4A80"/>
    <w:rsid w:val="00E31E6C"/>
    <w:rsid w:val="00ED00A0"/>
    <w:rsid w:val="00F24F68"/>
    <w:rsid w:val="00F8680B"/>
    <w:rsid w:val="00FE40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4A4AB17-2C65-406D-86E2-D9B102790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2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6678"/>
    <w:pPr>
      <w:spacing w:after="0" w:line="240" w:lineRule="auto"/>
    </w:pPr>
    <w:rPr>
      <w:rFonts w:ascii="Times New Roman" w:hAnsi="Times New Roman"/>
      <w:sz w:val="24"/>
      <w:lang w:val="en-G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246678"/>
    <w:rPr>
      <w:color w:val="0000FF"/>
      <w:u w:val="single"/>
    </w:rPr>
  </w:style>
  <w:style w:type="paragraph" w:styleId="Sidhuvud">
    <w:name w:val="header"/>
    <w:basedOn w:val="Normal"/>
    <w:link w:val="SidhuvudChar"/>
    <w:uiPriority w:val="99"/>
    <w:unhideWhenUsed/>
    <w:rsid w:val="00246678"/>
    <w:pPr>
      <w:tabs>
        <w:tab w:val="center" w:pos="4536"/>
        <w:tab w:val="right" w:pos="9072"/>
      </w:tabs>
    </w:pPr>
  </w:style>
  <w:style w:type="character" w:customStyle="1" w:styleId="SidhuvudChar">
    <w:name w:val="Sidhuvud Char"/>
    <w:basedOn w:val="Standardstycketeckensnitt"/>
    <w:link w:val="Sidhuvud"/>
    <w:uiPriority w:val="99"/>
    <w:rsid w:val="00246678"/>
    <w:rPr>
      <w:rFonts w:ascii="Times New Roman" w:hAnsi="Times New Roman"/>
      <w:sz w:val="24"/>
      <w:lang w:val="en-GB"/>
    </w:rPr>
  </w:style>
  <w:style w:type="paragraph" w:styleId="Sidfot">
    <w:name w:val="footer"/>
    <w:basedOn w:val="Normal"/>
    <w:link w:val="SidfotChar"/>
    <w:uiPriority w:val="99"/>
    <w:unhideWhenUsed/>
    <w:rsid w:val="00246678"/>
    <w:pPr>
      <w:tabs>
        <w:tab w:val="center" w:pos="4536"/>
        <w:tab w:val="right" w:pos="9072"/>
      </w:tabs>
    </w:pPr>
  </w:style>
  <w:style w:type="character" w:customStyle="1" w:styleId="SidfotChar">
    <w:name w:val="Sidfot Char"/>
    <w:basedOn w:val="Standardstycketeckensnitt"/>
    <w:link w:val="Sidfot"/>
    <w:uiPriority w:val="99"/>
    <w:rsid w:val="00246678"/>
    <w:rPr>
      <w:rFonts w:ascii="Times New Roman" w:hAnsi="Times New Roman"/>
      <w:sz w:val="24"/>
      <w:lang w:val="en-GB"/>
    </w:rPr>
  </w:style>
  <w:style w:type="character" w:styleId="Radnummer">
    <w:name w:val="line number"/>
    <w:basedOn w:val="Standardstycketeckensnitt"/>
    <w:uiPriority w:val="99"/>
    <w:semiHidden/>
    <w:unhideWhenUsed/>
    <w:rsid w:val="00246678"/>
  </w:style>
  <w:style w:type="paragraph" w:customStyle="1" w:styleId="EndNoteBibliographyTitle">
    <w:name w:val="EndNote Bibliography Title"/>
    <w:basedOn w:val="Normal"/>
    <w:link w:val="EndNoteBibliographyTitleChar"/>
    <w:rsid w:val="00B510EF"/>
    <w:pPr>
      <w:jc w:val="center"/>
    </w:pPr>
    <w:rPr>
      <w:rFonts w:cs="Times New Roman"/>
      <w:noProof/>
      <w:lang w:val="en-US"/>
    </w:rPr>
  </w:style>
  <w:style w:type="character" w:customStyle="1" w:styleId="EndNoteBibliographyTitleChar">
    <w:name w:val="EndNote Bibliography Title Char"/>
    <w:basedOn w:val="Standardstycketeckensnitt"/>
    <w:link w:val="EndNoteBibliographyTitle"/>
    <w:rsid w:val="00B510EF"/>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B510EF"/>
    <w:rPr>
      <w:rFonts w:cs="Times New Roman"/>
      <w:noProof/>
      <w:lang w:val="en-US"/>
    </w:rPr>
  </w:style>
  <w:style w:type="character" w:customStyle="1" w:styleId="EndNoteBibliographyChar">
    <w:name w:val="EndNote Bibliography Char"/>
    <w:basedOn w:val="Standardstycketeckensnitt"/>
    <w:link w:val="EndNoteBibliography"/>
    <w:rsid w:val="00B510EF"/>
    <w:rPr>
      <w:rFonts w:ascii="Times New Roman" w:hAnsi="Times New Roman" w:cs="Times New Roman"/>
      <w:noProof/>
      <w:sz w:val="24"/>
      <w:lang w:val="en-US"/>
    </w:rPr>
  </w:style>
  <w:style w:type="character" w:styleId="Kommentarsreferens">
    <w:name w:val="annotation reference"/>
    <w:basedOn w:val="Standardstycketeckensnitt"/>
    <w:uiPriority w:val="99"/>
    <w:semiHidden/>
    <w:unhideWhenUsed/>
    <w:rsid w:val="00366670"/>
    <w:rPr>
      <w:sz w:val="16"/>
      <w:szCs w:val="16"/>
    </w:rPr>
  </w:style>
  <w:style w:type="paragraph" w:styleId="Kommentarer">
    <w:name w:val="annotation text"/>
    <w:basedOn w:val="Normal"/>
    <w:link w:val="KommentarerChar"/>
    <w:uiPriority w:val="99"/>
    <w:semiHidden/>
    <w:unhideWhenUsed/>
    <w:rsid w:val="00366670"/>
    <w:rPr>
      <w:sz w:val="20"/>
      <w:szCs w:val="20"/>
    </w:rPr>
  </w:style>
  <w:style w:type="character" w:customStyle="1" w:styleId="KommentarerChar">
    <w:name w:val="Kommentarer Char"/>
    <w:basedOn w:val="Standardstycketeckensnitt"/>
    <w:link w:val="Kommentarer"/>
    <w:uiPriority w:val="99"/>
    <w:semiHidden/>
    <w:rsid w:val="00366670"/>
    <w:rPr>
      <w:rFonts w:ascii="Times New Roman" w:hAnsi="Times New Roman"/>
      <w:sz w:val="20"/>
      <w:szCs w:val="20"/>
      <w:lang w:val="en-GB"/>
    </w:rPr>
  </w:style>
  <w:style w:type="paragraph" w:styleId="Kommentarsmne">
    <w:name w:val="annotation subject"/>
    <w:basedOn w:val="Kommentarer"/>
    <w:next w:val="Kommentarer"/>
    <w:link w:val="KommentarsmneChar"/>
    <w:uiPriority w:val="99"/>
    <w:semiHidden/>
    <w:unhideWhenUsed/>
    <w:rsid w:val="00366670"/>
    <w:rPr>
      <w:b/>
      <w:bCs/>
    </w:rPr>
  </w:style>
  <w:style w:type="character" w:customStyle="1" w:styleId="KommentarsmneChar">
    <w:name w:val="Kommentarsämne Char"/>
    <w:basedOn w:val="KommentarerChar"/>
    <w:link w:val="Kommentarsmne"/>
    <w:uiPriority w:val="99"/>
    <w:semiHidden/>
    <w:rsid w:val="00366670"/>
    <w:rPr>
      <w:rFonts w:ascii="Times New Roman" w:hAnsi="Times New Roman"/>
      <w:b/>
      <w:bCs/>
      <w:sz w:val="20"/>
      <w:szCs w:val="20"/>
      <w:lang w:val="en-GB"/>
    </w:rPr>
  </w:style>
  <w:style w:type="paragraph" w:styleId="Ballongtext">
    <w:name w:val="Balloon Text"/>
    <w:basedOn w:val="Normal"/>
    <w:link w:val="BallongtextChar"/>
    <w:uiPriority w:val="99"/>
    <w:semiHidden/>
    <w:unhideWhenUsed/>
    <w:rsid w:val="00366670"/>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366670"/>
    <w:rPr>
      <w:rFonts w:ascii="Segoe UI" w:hAnsi="Segoe UI" w:cs="Segoe UI"/>
      <w:sz w:val="18"/>
      <w:szCs w:val="18"/>
      <w:lang w:val="en-GB"/>
    </w:rPr>
  </w:style>
  <w:style w:type="paragraph" w:styleId="Revision">
    <w:name w:val="Revision"/>
    <w:hidden/>
    <w:uiPriority w:val="99"/>
    <w:semiHidden/>
    <w:rsid w:val="00366670"/>
    <w:pPr>
      <w:spacing w:after="0" w:line="240" w:lineRule="auto"/>
    </w:pPr>
    <w:rPr>
      <w:rFonts w:ascii="Times New Roma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olkhalsomyndigheten.se/folkhalsorapportering-statistik/statistikdatabaser-och-visualisering/sjukdomsstatistik/tick-borne-encephalitis-tb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1938</Words>
  <Characters>10275</Characters>
  <Application>Microsoft Office Word</Application>
  <DocSecurity>0</DocSecurity>
  <Lines>85</Lines>
  <Paragraphs>24</Paragraphs>
  <ScaleCrop>false</ScaleCrop>
  <HeadingPairs>
    <vt:vector size="2" baseType="variant">
      <vt:variant>
        <vt:lpstr>Rubrik</vt:lpstr>
      </vt:variant>
      <vt:variant>
        <vt:i4>1</vt:i4>
      </vt:variant>
    </vt:vector>
  </HeadingPairs>
  <TitlesOfParts>
    <vt:vector size="1" baseType="lpstr">
      <vt:lpstr/>
    </vt:vector>
  </TitlesOfParts>
  <Company>Microsoft</Company>
  <LinksUpToDate>false</LinksUpToDate>
  <CharactersWithSpaces>12189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Thomas Jaenson</dc:creator>
  <cp:lastModifiedBy>Thomas Jaenson</cp:lastModifiedBy>
  <cp:revision>2</cp:revision>
  <cp:lastPrinted>2018-03-12T21:43:00Z</cp:lastPrinted>
  <dcterms:created xsi:type="dcterms:W3CDTF">2018-07-14T19:53:00Z</dcterms:created>
  <dcterms:modified xsi:type="dcterms:W3CDTF">2018-07-14T19:53:00Z</dcterms:modified>
</cp:coreProperties>
</file>