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89C949" w14:textId="77777777" w:rsidR="00C91481" w:rsidRPr="007577D2" w:rsidRDefault="00C91481" w:rsidP="00C91481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FD6FE1">
        <w:rPr>
          <w:noProof/>
          <w:lang w:eastAsia="en-GB"/>
        </w:rPr>
        <w:drawing>
          <wp:inline distT="0" distB="0" distL="0" distR="0" wp14:anchorId="722D53CC" wp14:editId="4FF4B9D6">
            <wp:extent cx="6549656" cy="2827999"/>
            <wp:effectExtent l="0" t="0" r="381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487" cy="2834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231644" w14:textId="0A19E3DC" w:rsidR="002E4AAC" w:rsidRPr="00F8411E" w:rsidRDefault="00C91481" w:rsidP="00F8411E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577D2">
        <w:rPr>
          <w:rFonts w:ascii="Times New Roman" w:hAnsi="Times New Roman" w:cs="Times New Roman"/>
          <w:b/>
          <w:sz w:val="24"/>
          <w:szCs w:val="24"/>
        </w:rPr>
        <w:t>Fig</w:t>
      </w:r>
      <w:r w:rsidR="003F3B28">
        <w:rPr>
          <w:rFonts w:ascii="Times New Roman" w:hAnsi="Times New Roman" w:cs="Times New Roman"/>
          <w:b/>
          <w:sz w:val="24"/>
          <w:szCs w:val="24"/>
        </w:rPr>
        <w:t>.</w:t>
      </w:r>
      <w:r w:rsidRPr="007577D2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F8411E" w:rsidRPr="007577D2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F8411E" w:rsidRPr="00FF541B">
        <w:rPr>
          <w:rFonts w:ascii="Times New Roman" w:hAnsi="Times New Roman" w:cs="Times New Roman"/>
          <w:sz w:val="24"/>
          <w:szCs w:val="24"/>
        </w:rPr>
        <w:t>Primer</w:t>
      </w:r>
      <w:r w:rsidR="002E4AAC" w:rsidRPr="00F8411E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E4AAC" w:rsidRPr="007577D2">
        <w:rPr>
          <w:rFonts w:ascii="Times New Roman" w:hAnsi="Times New Roman" w:cs="Times New Roman"/>
          <w:bCs/>
          <w:iCs/>
          <w:sz w:val="24"/>
          <w:szCs w:val="24"/>
        </w:rPr>
        <w:t>and probe design strategy using Detox (A)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 xml:space="preserve">, consisting of </w:t>
      </w:r>
      <w:r w:rsidR="002E4A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RPS7 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 xml:space="preserve">(normaliser), </w:t>
      </w:r>
      <w:r w:rsidR="002E4AAC" w:rsidRPr="00FF541B">
        <w:rPr>
          <w:rFonts w:ascii="Times New Roman" w:hAnsi="Times New Roman" w:cs="Times New Roman"/>
          <w:bCs/>
          <w:i/>
          <w:iCs/>
          <w:sz w:val="24"/>
          <w:szCs w:val="24"/>
        </w:rPr>
        <w:t>CYP6P3</w:t>
      </w:r>
      <w:r w:rsidR="002E4AAC" w:rsidRPr="007577D2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 xml:space="preserve">(target gene 1), </w:t>
      </w:r>
      <w:r w:rsidR="002E4A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CYP6M2 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 xml:space="preserve">(target gene 2) </w:t>
      </w:r>
      <w:r w:rsidR="002E4AAC" w:rsidRPr="007577D2">
        <w:rPr>
          <w:rFonts w:ascii="Times New Roman" w:hAnsi="Times New Roman" w:cs="Times New Roman"/>
          <w:bCs/>
          <w:iCs/>
          <w:sz w:val="24"/>
          <w:szCs w:val="24"/>
        </w:rPr>
        <w:t>as an example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>. For each gene either the forward (</w:t>
      </w:r>
      <w:r w:rsidR="002E4AA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RPS7 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 xml:space="preserve">and </w:t>
      </w:r>
      <w:r w:rsidR="002E4AAC" w:rsidRPr="00D53524">
        <w:rPr>
          <w:rFonts w:ascii="Times New Roman" w:hAnsi="Times New Roman" w:cs="Times New Roman"/>
          <w:bCs/>
          <w:i/>
          <w:iCs/>
          <w:sz w:val="24"/>
          <w:szCs w:val="24"/>
        </w:rPr>
        <w:t>CYP6P3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>)</w:t>
      </w:r>
      <w:r w:rsidR="002E4AAC">
        <w:t xml:space="preserve"> 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>or the reverse primer (</w:t>
      </w:r>
      <w:r w:rsidR="002E4AAC" w:rsidRPr="00FF541B">
        <w:rPr>
          <w:rFonts w:ascii="Times New Roman" w:hAnsi="Times New Roman" w:cs="Times New Roman"/>
          <w:bCs/>
          <w:i/>
          <w:iCs/>
          <w:sz w:val="24"/>
          <w:szCs w:val="24"/>
        </w:rPr>
        <w:t>CYP6M2</w:t>
      </w:r>
      <w:r w:rsidR="002E4AAC">
        <w:rPr>
          <w:rFonts w:ascii="Times New Roman" w:hAnsi="Times New Roman" w:cs="Times New Roman"/>
          <w:bCs/>
          <w:iCs/>
          <w:sz w:val="24"/>
          <w:szCs w:val="24"/>
        </w:rPr>
        <w:t xml:space="preserve">) spanned two exons in order to avoid DNA amplification. </w:t>
      </w:r>
      <w:r w:rsidR="002E4AAC">
        <w:rPr>
          <w:rFonts w:ascii="Times New Roman" w:hAnsi="Times New Roman" w:cs="Times New Roman"/>
          <w:sz w:val="24"/>
          <w:szCs w:val="24"/>
        </w:rPr>
        <w:t xml:space="preserve">Boxes indicate exons, lines indicate introns. </w:t>
      </w:r>
      <w:r w:rsidR="003F3B28" w:rsidRPr="00752EF8">
        <w:rPr>
          <w:rFonts w:ascii="Times New Roman" w:hAnsi="Times New Roman" w:cs="Times New Roman"/>
          <w:i/>
          <w:sz w:val="24"/>
          <w:szCs w:val="24"/>
        </w:rPr>
        <w:t>Abbreviations</w:t>
      </w:r>
      <w:r w:rsidR="003F3B28">
        <w:rPr>
          <w:rFonts w:ascii="Times New Roman" w:hAnsi="Times New Roman" w:cs="Times New Roman"/>
          <w:sz w:val="24"/>
          <w:szCs w:val="24"/>
        </w:rPr>
        <w:t>:</w:t>
      </w:r>
      <w:r w:rsidR="003F3B28">
        <w:rPr>
          <w:rFonts w:ascii="Times New Roman" w:hAnsi="Times New Roman" w:cs="Times New Roman"/>
          <w:sz w:val="24"/>
          <w:szCs w:val="24"/>
        </w:rPr>
        <w:t xml:space="preserve"> </w:t>
      </w:r>
      <w:r w:rsidR="002E4AAC">
        <w:rPr>
          <w:rFonts w:ascii="Times New Roman" w:hAnsi="Times New Roman" w:cs="Times New Roman"/>
          <w:sz w:val="24"/>
          <w:szCs w:val="24"/>
        </w:rPr>
        <w:t>F</w:t>
      </w:r>
      <w:r w:rsidR="003F3B28">
        <w:rPr>
          <w:rFonts w:ascii="Times New Roman" w:hAnsi="Times New Roman" w:cs="Times New Roman"/>
          <w:sz w:val="24"/>
          <w:szCs w:val="24"/>
        </w:rPr>
        <w:t xml:space="preserve">, </w:t>
      </w:r>
      <w:r w:rsidR="002E4AAC">
        <w:rPr>
          <w:rFonts w:ascii="Times New Roman" w:hAnsi="Times New Roman" w:cs="Times New Roman"/>
          <w:sz w:val="24"/>
          <w:szCs w:val="24"/>
        </w:rPr>
        <w:t>Forward primer</w:t>
      </w:r>
      <w:r w:rsidR="003F3B28">
        <w:rPr>
          <w:rFonts w:ascii="Times New Roman" w:hAnsi="Times New Roman" w:cs="Times New Roman"/>
          <w:sz w:val="24"/>
          <w:szCs w:val="24"/>
        </w:rPr>
        <w:t xml:space="preserve">; </w:t>
      </w:r>
      <w:r w:rsidR="002E4AAC">
        <w:rPr>
          <w:rFonts w:ascii="Times New Roman" w:hAnsi="Times New Roman" w:cs="Times New Roman"/>
          <w:sz w:val="24"/>
          <w:szCs w:val="24"/>
        </w:rPr>
        <w:t>R</w:t>
      </w:r>
      <w:r w:rsidR="003F3B28">
        <w:rPr>
          <w:rFonts w:ascii="Times New Roman" w:hAnsi="Times New Roman" w:cs="Times New Roman"/>
          <w:sz w:val="24"/>
          <w:szCs w:val="24"/>
        </w:rPr>
        <w:t>,</w:t>
      </w:r>
      <w:r w:rsidR="002E4AAC">
        <w:rPr>
          <w:rFonts w:ascii="Times New Roman" w:hAnsi="Times New Roman" w:cs="Times New Roman"/>
          <w:sz w:val="24"/>
          <w:szCs w:val="24"/>
        </w:rPr>
        <w:t xml:space="preserve"> Reverse primer</w:t>
      </w:r>
      <w:r w:rsidR="003F3B28">
        <w:rPr>
          <w:rFonts w:ascii="Times New Roman" w:hAnsi="Times New Roman" w:cs="Times New Roman"/>
          <w:sz w:val="24"/>
          <w:szCs w:val="24"/>
        </w:rPr>
        <w:t>;</w:t>
      </w:r>
      <w:r w:rsidR="002E4AAC">
        <w:rPr>
          <w:rFonts w:ascii="Times New Roman" w:hAnsi="Times New Roman" w:cs="Times New Roman"/>
          <w:sz w:val="24"/>
          <w:szCs w:val="24"/>
        </w:rPr>
        <w:t xml:space="preserve"> P</w:t>
      </w:r>
      <w:r w:rsidR="003F3B28">
        <w:rPr>
          <w:rFonts w:ascii="Times New Roman" w:hAnsi="Times New Roman" w:cs="Times New Roman"/>
          <w:sz w:val="24"/>
          <w:szCs w:val="24"/>
        </w:rPr>
        <w:t>,</w:t>
      </w:r>
      <w:r w:rsidR="002E4AAC">
        <w:rPr>
          <w:rFonts w:ascii="Times New Roman" w:hAnsi="Times New Roman" w:cs="Times New Roman"/>
          <w:sz w:val="24"/>
          <w:szCs w:val="24"/>
        </w:rPr>
        <w:t xml:space="preserve"> TaqMan probe labelled with different dyes for each gene</w:t>
      </w:r>
      <w:r w:rsidR="003F3B28">
        <w:rPr>
          <w:rFonts w:ascii="Times New Roman" w:hAnsi="Times New Roman" w:cs="Times New Roman"/>
          <w:sz w:val="24"/>
          <w:szCs w:val="24"/>
        </w:rPr>
        <w:t>;</w:t>
      </w:r>
      <w:r w:rsidR="00F8411E">
        <w:rPr>
          <w:rFonts w:ascii="Times New Roman" w:hAnsi="Times New Roman" w:cs="Times New Roman"/>
          <w:sz w:val="24"/>
          <w:szCs w:val="24"/>
        </w:rPr>
        <w:t xml:space="preserve"> bp</w:t>
      </w:r>
      <w:r w:rsidR="003F3B28">
        <w:rPr>
          <w:rFonts w:ascii="Times New Roman" w:hAnsi="Times New Roman" w:cs="Times New Roman"/>
          <w:sz w:val="24"/>
          <w:szCs w:val="24"/>
        </w:rPr>
        <w:t>,</w:t>
      </w:r>
      <w:r w:rsidR="00F8411E">
        <w:rPr>
          <w:rFonts w:ascii="Times New Roman" w:hAnsi="Times New Roman" w:cs="Times New Roman"/>
          <w:sz w:val="24"/>
          <w:szCs w:val="24"/>
        </w:rPr>
        <w:t xml:space="preserve"> base pairs. </w:t>
      </w:r>
    </w:p>
    <w:p w14:paraId="7AC6DA9E" w14:textId="77777777" w:rsidR="00C91481" w:rsidRPr="007577D2" w:rsidRDefault="00C91481" w:rsidP="00C91481">
      <w:pPr>
        <w:spacing w:after="120" w:line="480" w:lineRule="auto"/>
        <w:rPr>
          <w:rFonts w:ascii="Times New Roman" w:hAnsi="Times New Roman" w:cs="Times New Roman"/>
          <w:bCs/>
          <w:iCs/>
          <w:sz w:val="24"/>
          <w:szCs w:val="24"/>
        </w:rPr>
        <w:sectPr w:rsidR="00C91481" w:rsidRPr="007577D2" w:rsidSect="00C91481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088AC49" w14:textId="79D202C7" w:rsidR="00FF541B" w:rsidRDefault="00EE529E" w:rsidP="00FF541B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E529E">
        <w:lastRenderedPageBreak/>
        <w:drawing>
          <wp:inline distT="0" distB="0" distL="0" distR="0" wp14:anchorId="4E7D9219" wp14:editId="7A53F24F">
            <wp:extent cx="7732030" cy="5486400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2030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0D92C" w14:textId="66B1CD3A" w:rsidR="00C91481" w:rsidRPr="007577D2" w:rsidRDefault="00C91481" w:rsidP="00C91481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7577D2">
        <w:rPr>
          <w:rFonts w:ascii="Times New Roman" w:hAnsi="Times New Roman" w:cs="Times New Roman"/>
          <w:b/>
          <w:sz w:val="24"/>
          <w:szCs w:val="24"/>
        </w:rPr>
        <w:t>Fi</w:t>
      </w:r>
      <w:r w:rsidR="003F3B28">
        <w:rPr>
          <w:rFonts w:ascii="Times New Roman" w:hAnsi="Times New Roman" w:cs="Times New Roman"/>
          <w:b/>
          <w:sz w:val="24"/>
          <w:szCs w:val="24"/>
        </w:rPr>
        <w:t>g.</w:t>
      </w:r>
      <w:r w:rsidRPr="007577D2">
        <w:rPr>
          <w:rFonts w:ascii="Times New Roman" w:hAnsi="Times New Roman" w:cs="Times New Roman"/>
          <w:b/>
          <w:sz w:val="24"/>
          <w:szCs w:val="24"/>
        </w:rPr>
        <w:t xml:space="preserve"> S2 </w:t>
      </w:r>
      <w:r w:rsidRPr="007577D2">
        <w:rPr>
          <w:rFonts w:ascii="Times New Roman" w:hAnsi="Times New Roman" w:cs="Times New Roman"/>
          <w:sz w:val="24"/>
          <w:szCs w:val="24"/>
        </w:rPr>
        <w:t xml:space="preserve">Results from the primer matrices experiments for each individual gene. </w:t>
      </w:r>
      <w:r w:rsidRPr="007577D2">
        <w:rPr>
          <w:rFonts w:ascii="Times New Roman" w:eastAsiaTheme="minorEastAsia" w:hAnsi="Times New Roman" w:cs="Times New Roman"/>
          <w:sz w:val="24"/>
          <w:szCs w:val="24"/>
        </w:rPr>
        <w:t xml:space="preserve">Ct values are plotted versus Forward and Reverse primer concentration concentrations. </w:t>
      </w:r>
      <w:r w:rsidRPr="007577D2">
        <w:rPr>
          <w:rFonts w:ascii="Times New Roman" w:hAnsi="Times New Roman" w:cs="Times New Roman"/>
          <w:sz w:val="24"/>
          <w:szCs w:val="24"/>
        </w:rPr>
        <w:t>“</w:t>
      </w:r>
      <w:r w:rsidRPr="007577D2">
        <w:rPr>
          <w:rFonts w:ascii="Times New Roman" w:hAnsi="Times New Roman" w:cs="Times New Roman"/>
          <w:b/>
          <w:sz w:val="24"/>
          <w:szCs w:val="24"/>
        </w:rPr>
        <w:t>X</w:t>
      </w:r>
      <w:r w:rsidRPr="007577D2">
        <w:rPr>
          <w:rFonts w:ascii="Times New Roman" w:hAnsi="Times New Roman" w:cs="Times New Roman"/>
          <w:sz w:val="24"/>
          <w:szCs w:val="24"/>
        </w:rPr>
        <w:t xml:space="preserve">” indicates the selected combination of forward and reverse primer concentrations by using as criterion the </w:t>
      </w:r>
      <w:r w:rsidRPr="007577D2">
        <w:rPr>
          <w:rFonts w:ascii="Times New Roman" w:eastAsiaTheme="minorEastAsia" w:hAnsi="Times New Roman" w:cs="Times New Roman"/>
          <w:sz w:val="24"/>
          <w:szCs w:val="24"/>
        </w:rPr>
        <w:t>lowest concentration that gives the earliest Ct values</w:t>
      </w:r>
      <w:r w:rsidRPr="007577D2">
        <w:rPr>
          <w:rFonts w:ascii="Times New Roman" w:hAnsi="Times New Roman" w:cs="Times New Roman"/>
          <w:sz w:val="24"/>
          <w:szCs w:val="24"/>
        </w:rPr>
        <w:t>.</w:t>
      </w:r>
    </w:p>
    <w:p w14:paraId="60E85189" w14:textId="77777777" w:rsidR="00C91481" w:rsidRPr="007577D2" w:rsidRDefault="00C91481" w:rsidP="00C91481">
      <w:pPr>
        <w:spacing w:after="120" w:line="480" w:lineRule="auto"/>
        <w:rPr>
          <w:rFonts w:ascii="Times New Roman" w:hAnsi="Times New Roman" w:cs="Times New Roman"/>
          <w:b/>
          <w:sz w:val="24"/>
          <w:szCs w:val="24"/>
        </w:rPr>
        <w:sectPr w:rsidR="00C91481" w:rsidRPr="007577D2" w:rsidSect="00ED5A7A">
          <w:pgSz w:w="15840" w:h="12240" w:orient="landscape"/>
          <w:pgMar w:top="630" w:right="1440" w:bottom="1080" w:left="1440" w:header="720" w:footer="720" w:gutter="0"/>
          <w:cols w:space="720"/>
          <w:docGrid w:linePitch="360"/>
        </w:sectPr>
      </w:pPr>
    </w:p>
    <w:p w14:paraId="4D9542B7" w14:textId="478799AF" w:rsidR="00724087" w:rsidRDefault="00751A0A" w:rsidP="00FF541B">
      <w:pPr>
        <w:spacing w:after="120" w:line="480" w:lineRule="auto"/>
      </w:pPr>
      <w:r w:rsidRPr="00751A0A">
        <w:lastRenderedPageBreak/>
        <w:drawing>
          <wp:inline distT="0" distB="0" distL="0" distR="0" wp14:anchorId="283E183A" wp14:editId="6EC6E96B">
            <wp:extent cx="6511025" cy="6492240"/>
            <wp:effectExtent l="0" t="0" r="4445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1025" cy="649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2410" w:rsidRPr="00762410" w:rsidDel="00C75CF8">
        <w:t xml:space="preserve"> </w:t>
      </w:r>
      <w:bookmarkStart w:id="0" w:name="_GoBack"/>
      <w:bookmarkEnd w:id="0"/>
      <w:r w:rsidR="00C91481" w:rsidRPr="007577D2">
        <w:rPr>
          <w:rFonts w:ascii="Times New Roman" w:hAnsi="Times New Roman" w:cs="Times New Roman"/>
          <w:b/>
          <w:sz w:val="24"/>
          <w:szCs w:val="24"/>
        </w:rPr>
        <w:t>Fig</w:t>
      </w:r>
      <w:r w:rsidR="003F3B28">
        <w:rPr>
          <w:rFonts w:ascii="Times New Roman" w:hAnsi="Times New Roman" w:cs="Times New Roman"/>
          <w:b/>
          <w:sz w:val="24"/>
          <w:szCs w:val="24"/>
        </w:rPr>
        <w:t>.</w:t>
      </w:r>
      <w:r w:rsidR="00C91481" w:rsidRPr="007577D2">
        <w:rPr>
          <w:rFonts w:ascii="Times New Roman" w:hAnsi="Times New Roman" w:cs="Times New Roman"/>
          <w:b/>
          <w:sz w:val="24"/>
          <w:szCs w:val="24"/>
        </w:rPr>
        <w:t xml:space="preserve"> S3 </w:t>
      </w:r>
      <w:r w:rsidR="00C91481" w:rsidRPr="007577D2">
        <w:rPr>
          <w:rFonts w:ascii="Times New Roman" w:hAnsi="Times New Roman" w:cs="Times New Roman"/>
          <w:sz w:val="24"/>
          <w:szCs w:val="24"/>
        </w:rPr>
        <w:t>Agarose gel (2.0</w:t>
      </w:r>
      <w:r w:rsidR="00C91481" w:rsidRPr="00FD6FE1">
        <w:rPr>
          <w:rFonts w:ascii="Times New Roman" w:hAnsi="Times New Roman" w:cs="Times New Roman"/>
          <w:sz w:val="24"/>
          <w:szCs w:val="24"/>
        </w:rPr>
        <w:t xml:space="preserve">% w/v) </w:t>
      </w:r>
      <w:r w:rsidR="00C91481" w:rsidRPr="007577D2">
        <w:rPr>
          <w:rFonts w:ascii="Times New Roman" w:hAnsi="Times New Roman" w:cs="Times New Roman"/>
          <w:sz w:val="24"/>
          <w:szCs w:val="24"/>
        </w:rPr>
        <w:t>electrophoresis indicating the specificity of the study’s assays. Additional specificity is achieved with probe hybridi</w:t>
      </w:r>
      <w:r w:rsidR="00C91481" w:rsidRPr="00FD6FE1">
        <w:rPr>
          <w:rFonts w:ascii="Times New Roman" w:hAnsi="Times New Roman" w:cs="Times New Roman"/>
          <w:sz w:val="24"/>
          <w:szCs w:val="24"/>
        </w:rPr>
        <w:t>s</w:t>
      </w:r>
      <w:r w:rsidR="00C91481" w:rsidRPr="007577D2">
        <w:rPr>
          <w:rFonts w:ascii="Times New Roman" w:hAnsi="Times New Roman" w:cs="Times New Roman"/>
          <w:sz w:val="24"/>
          <w:szCs w:val="24"/>
        </w:rPr>
        <w:t>ation (TaqMan chemistry).</w:t>
      </w:r>
    </w:p>
    <w:sectPr w:rsidR="007240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1806E2" w14:textId="77777777" w:rsidR="001C60A4" w:rsidRDefault="001C60A4" w:rsidP="00C91481">
      <w:pPr>
        <w:spacing w:after="0" w:line="240" w:lineRule="auto"/>
      </w:pPr>
      <w:r>
        <w:separator/>
      </w:r>
    </w:p>
  </w:endnote>
  <w:endnote w:type="continuationSeparator" w:id="0">
    <w:p w14:paraId="50D9FAFA" w14:textId="77777777" w:rsidR="001C60A4" w:rsidRDefault="001C60A4" w:rsidP="00C9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7600366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BB58F60" w14:textId="51707377" w:rsidR="00FF541B" w:rsidRPr="00FF541B" w:rsidRDefault="00FF541B">
        <w:pPr>
          <w:pStyle w:val="Footer"/>
          <w:jc w:val="right"/>
          <w:rPr>
            <w:rFonts w:ascii="Times New Roman" w:hAnsi="Times New Roman" w:cs="Times New Roman"/>
          </w:rPr>
        </w:pPr>
        <w:r w:rsidRPr="00FF541B">
          <w:rPr>
            <w:rFonts w:ascii="Times New Roman" w:hAnsi="Times New Roman" w:cs="Times New Roman"/>
          </w:rPr>
          <w:fldChar w:fldCharType="begin"/>
        </w:r>
        <w:r w:rsidRPr="00FF541B">
          <w:rPr>
            <w:rFonts w:ascii="Times New Roman" w:hAnsi="Times New Roman" w:cs="Times New Roman"/>
          </w:rPr>
          <w:instrText xml:space="preserve"> PAGE   \* MERGEFORMAT </w:instrText>
        </w:r>
        <w:r w:rsidRPr="00FF541B">
          <w:rPr>
            <w:rFonts w:ascii="Times New Roman" w:hAnsi="Times New Roman" w:cs="Times New Roman"/>
          </w:rPr>
          <w:fldChar w:fldCharType="separate"/>
        </w:r>
        <w:r w:rsidRPr="00FF541B">
          <w:rPr>
            <w:rFonts w:ascii="Times New Roman" w:hAnsi="Times New Roman" w:cs="Times New Roman"/>
            <w:noProof/>
          </w:rPr>
          <w:t>2</w:t>
        </w:r>
        <w:r w:rsidRPr="00FF541B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B949E59" w14:textId="77777777" w:rsidR="003725D1" w:rsidRDefault="001C6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B9B081" w14:textId="77777777" w:rsidR="001C60A4" w:rsidRDefault="001C60A4" w:rsidP="00C91481">
      <w:pPr>
        <w:spacing w:after="0" w:line="240" w:lineRule="auto"/>
      </w:pPr>
      <w:r>
        <w:separator/>
      </w:r>
    </w:p>
  </w:footnote>
  <w:footnote w:type="continuationSeparator" w:id="0">
    <w:p w14:paraId="4ED84E8C" w14:textId="77777777" w:rsidR="001C60A4" w:rsidRDefault="001C60A4" w:rsidP="00C914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81"/>
    <w:rsid w:val="001C60A4"/>
    <w:rsid w:val="002E4AAC"/>
    <w:rsid w:val="00366131"/>
    <w:rsid w:val="003F3B28"/>
    <w:rsid w:val="004B0026"/>
    <w:rsid w:val="00500F6F"/>
    <w:rsid w:val="00632E42"/>
    <w:rsid w:val="00724087"/>
    <w:rsid w:val="00751A0A"/>
    <w:rsid w:val="00762410"/>
    <w:rsid w:val="007B6656"/>
    <w:rsid w:val="00B20117"/>
    <w:rsid w:val="00C75CF8"/>
    <w:rsid w:val="00C91481"/>
    <w:rsid w:val="00CC1777"/>
    <w:rsid w:val="00DD62EB"/>
    <w:rsid w:val="00E41F89"/>
    <w:rsid w:val="00E5259A"/>
    <w:rsid w:val="00E668AB"/>
    <w:rsid w:val="00E75A0E"/>
    <w:rsid w:val="00ED5A7A"/>
    <w:rsid w:val="00EE529E"/>
    <w:rsid w:val="00F8411E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808C3"/>
  <w15:chartTrackingRefBased/>
  <w15:docId w15:val="{EA892E95-701C-4F65-A32B-A0077CC4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l-GR" w:eastAsia="el-GR" w:bidi="ar-SA"/>
      </w:rPr>
    </w:rPrDefault>
    <w:pPrDefault>
      <w:pPr>
        <w:spacing w:after="6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91481"/>
    <w:rPr>
      <w:lang w:val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1481"/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C91481"/>
  </w:style>
  <w:style w:type="paragraph" w:styleId="Header">
    <w:name w:val="header"/>
    <w:basedOn w:val="Normal"/>
    <w:link w:val="HeaderChar"/>
    <w:uiPriority w:val="99"/>
    <w:unhideWhenUsed/>
    <w:rsid w:val="00C91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1481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41B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9302E-9C14-4BC0-9E7C-BD0DCE19B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3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Kostas</dc:creator>
  <cp:keywords/>
  <dc:description/>
  <cp:lastModifiedBy>Kostas</cp:lastModifiedBy>
  <cp:revision>16</cp:revision>
  <dcterms:created xsi:type="dcterms:W3CDTF">2018-08-23T09:27:00Z</dcterms:created>
  <dcterms:modified xsi:type="dcterms:W3CDTF">2018-11-26T16:10:00Z</dcterms:modified>
</cp:coreProperties>
</file>