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17A55" w14:textId="6430854B" w:rsidR="004C43C4" w:rsidRPr="00C3244A" w:rsidRDefault="0040716C" w:rsidP="004C43C4">
      <w:pPr>
        <w:spacing w:after="0" w:line="360" w:lineRule="auto"/>
        <w:jc w:val="both"/>
        <w:rPr>
          <w:rFonts w:ascii="Times New Roman" w:hAnsi="Times New Roman" w:cs="Times New Roman"/>
          <w:b/>
          <w:sz w:val="28"/>
          <w:szCs w:val="28"/>
          <w:lang w:val="en-US"/>
        </w:rPr>
      </w:pPr>
      <w:r w:rsidRPr="00C3244A">
        <w:rPr>
          <w:rFonts w:ascii="Times New Roman" w:hAnsi="Times New Roman" w:cs="Times New Roman"/>
          <w:b/>
          <w:sz w:val="28"/>
          <w:szCs w:val="28"/>
          <w:lang w:val="en-US"/>
        </w:rPr>
        <w:t xml:space="preserve">Additional </w:t>
      </w:r>
      <w:r w:rsidR="00030F30">
        <w:rPr>
          <w:rFonts w:ascii="Times New Roman" w:hAnsi="Times New Roman" w:cs="Times New Roman"/>
          <w:b/>
          <w:sz w:val="28"/>
          <w:szCs w:val="28"/>
          <w:lang w:val="en-US"/>
        </w:rPr>
        <w:t>f</w:t>
      </w:r>
      <w:r w:rsidRPr="00C3244A">
        <w:rPr>
          <w:rFonts w:ascii="Times New Roman" w:hAnsi="Times New Roman" w:cs="Times New Roman"/>
          <w:b/>
          <w:sz w:val="28"/>
          <w:szCs w:val="28"/>
          <w:lang w:val="en-US"/>
        </w:rPr>
        <w:t xml:space="preserve">ile </w:t>
      </w:r>
      <w:r w:rsidR="008C0723" w:rsidRPr="00C3244A">
        <w:rPr>
          <w:rFonts w:ascii="Times New Roman" w:hAnsi="Times New Roman" w:cs="Times New Roman"/>
          <w:b/>
          <w:sz w:val="28"/>
          <w:szCs w:val="28"/>
          <w:lang w:val="en-US"/>
        </w:rPr>
        <w:t>1</w:t>
      </w:r>
    </w:p>
    <w:p w14:paraId="64E15255" w14:textId="3BDF1965" w:rsidR="00A14475" w:rsidRPr="004C43C4" w:rsidRDefault="00A14475" w:rsidP="004C43C4">
      <w:pPr>
        <w:spacing w:after="0" w:line="360" w:lineRule="auto"/>
        <w:jc w:val="both"/>
        <w:rPr>
          <w:rFonts w:ascii="Times New Roman" w:hAnsi="Times New Roman" w:cs="Times New Roman"/>
          <w:b/>
          <w:sz w:val="24"/>
          <w:szCs w:val="24"/>
          <w:lang w:val="en-US"/>
        </w:rPr>
      </w:pPr>
      <w:r w:rsidRPr="004C43C4">
        <w:rPr>
          <w:rFonts w:ascii="Times New Roman" w:hAnsi="Times New Roman" w:cs="Times New Roman"/>
          <w:b/>
          <w:sz w:val="24"/>
          <w:szCs w:val="24"/>
          <w:lang w:val="en-US"/>
        </w:rPr>
        <w:t xml:space="preserve">Text S1. Serum replacement </w:t>
      </w:r>
      <w:r w:rsidR="0048319F" w:rsidRPr="004C43C4">
        <w:rPr>
          <w:rFonts w:ascii="Times New Roman" w:hAnsi="Times New Roman" w:cs="Times New Roman"/>
          <w:b/>
          <w:sz w:val="24"/>
          <w:szCs w:val="24"/>
          <w:lang w:val="en-US"/>
        </w:rPr>
        <w:t>a</w:t>
      </w:r>
      <w:r w:rsidR="00F27189" w:rsidRPr="004C43C4">
        <w:rPr>
          <w:rFonts w:ascii="Times New Roman" w:hAnsi="Times New Roman" w:cs="Times New Roman"/>
          <w:b/>
          <w:sz w:val="24"/>
          <w:szCs w:val="24"/>
          <w:lang w:val="en-US"/>
        </w:rPr>
        <w:t>ssay</w:t>
      </w:r>
    </w:p>
    <w:p w14:paraId="0274BBC9" w14:textId="77777777" w:rsidR="008C0723" w:rsidRPr="00663385" w:rsidRDefault="00CA70FD" w:rsidP="004C43C4">
      <w:pPr>
        <w:spacing w:after="0" w:line="360" w:lineRule="auto"/>
        <w:jc w:val="both"/>
        <w:rPr>
          <w:rFonts w:ascii="Times New Roman" w:hAnsi="Times New Roman" w:cs="Times New Roman"/>
          <w:sz w:val="24"/>
          <w:szCs w:val="24"/>
          <w:lang w:val="en-US"/>
        </w:rPr>
      </w:pPr>
      <w:r w:rsidRPr="00CE126D">
        <w:rPr>
          <w:rFonts w:ascii="Times New Roman" w:hAnsi="Times New Roman" w:cs="Times New Roman"/>
          <w:sz w:val="24"/>
          <w:szCs w:val="24"/>
          <w:lang w:val="en-US"/>
        </w:rPr>
        <w:t xml:space="preserve">Infection of human hosts with </w:t>
      </w:r>
      <w:r w:rsidRPr="00CE126D">
        <w:rPr>
          <w:rFonts w:ascii="Times New Roman" w:hAnsi="Times New Roman" w:cs="Times New Roman"/>
          <w:i/>
          <w:sz w:val="24"/>
          <w:szCs w:val="24"/>
          <w:lang w:val="en-US"/>
        </w:rPr>
        <w:t xml:space="preserve">Plasmodium </w:t>
      </w:r>
      <w:r w:rsidR="0087508C" w:rsidRPr="00CE126D">
        <w:rPr>
          <w:rFonts w:ascii="Times New Roman" w:hAnsi="Times New Roman" w:cs="Times New Roman"/>
          <w:i/>
          <w:sz w:val="24"/>
          <w:szCs w:val="24"/>
          <w:lang w:val="en-US"/>
        </w:rPr>
        <w:t xml:space="preserve">falciparum </w:t>
      </w:r>
      <w:r w:rsidR="0087508C" w:rsidRPr="00CE126D">
        <w:rPr>
          <w:rFonts w:ascii="Times New Roman" w:hAnsi="Times New Roman" w:cs="Times New Roman"/>
          <w:sz w:val="24"/>
          <w:szCs w:val="24"/>
          <w:lang w:val="en-US"/>
        </w:rPr>
        <w:t>lead</w:t>
      </w:r>
      <w:r w:rsidRPr="00CE126D">
        <w:rPr>
          <w:rFonts w:ascii="Times New Roman" w:hAnsi="Times New Roman" w:cs="Times New Roman"/>
          <w:sz w:val="24"/>
          <w:szCs w:val="24"/>
          <w:lang w:val="en-US"/>
        </w:rPr>
        <w:t xml:space="preserve"> to the natural production of antibodies that </w:t>
      </w:r>
      <w:r w:rsidR="0087508C" w:rsidRPr="00CE126D">
        <w:rPr>
          <w:rFonts w:ascii="Times New Roman" w:hAnsi="Times New Roman" w:cs="Times New Roman"/>
          <w:sz w:val="24"/>
          <w:szCs w:val="24"/>
          <w:lang w:val="en-US"/>
        </w:rPr>
        <w:t xml:space="preserve">can </w:t>
      </w:r>
      <w:r w:rsidRPr="00CE126D">
        <w:rPr>
          <w:rFonts w:ascii="Times New Roman" w:hAnsi="Times New Roman" w:cs="Times New Roman"/>
          <w:sz w:val="24"/>
          <w:szCs w:val="24"/>
          <w:lang w:val="en-US"/>
        </w:rPr>
        <w:t xml:space="preserve">reduce parasite infectivity in the mosquito vectors. </w:t>
      </w:r>
      <w:r w:rsidR="0087508C" w:rsidRPr="00CE126D">
        <w:rPr>
          <w:rFonts w:ascii="Times New Roman" w:hAnsi="Times New Roman" w:cs="Times New Roman"/>
          <w:sz w:val="24"/>
          <w:szCs w:val="24"/>
          <w:lang w:val="en-US"/>
        </w:rPr>
        <w:t>The concentration of antibody and the</w:t>
      </w:r>
      <w:r w:rsidRPr="00CE126D">
        <w:rPr>
          <w:rFonts w:ascii="Times New Roman" w:hAnsi="Times New Roman" w:cs="Times New Roman"/>
          <w:sz w:val="24"/>
          <w:szCs w:val="24"/>
          <w:lang w:val="en-US"/>
        </w:rPr>
        <w:t xml:space="preserve"> </w:t>
      </w:r>
      <w:r w:rsidR="0087508C" w:rsidRPr="00CE126D">
        <w:rPr>
          <w:rFonts w:ascii="Times New Roman" w:hAnsi="Times New Roman" w:cs="Times New Roman"/>
          <w:sz w:val="24"/>
          <w:szCs w:val="24"/>
          <w:lang w:val="en-US"/>
        </w:rPr>
        <w:t xml:space="preserve">resulting </w:t>
      </w:r>
      <w:r w:rsidRPr="00CE126D">
        <w:rPr>
          <w:rFonts w:ascii="Times New Roman" w:hAnsi="Times New Roman" w:cs="Times New Roman"/>
          <w:sz w:val="24"/>
          <w:szCs w:val="24"/>
          <w:lang w:val="en-US"/>
        </w:rPr>
        <w:t xml:space="preserve">natural transmission-blocking immunity </w:t>
      </w:r>
      <w:r w:rsidR="0087508C" w:rsidRPr="00CE126D">
        <w:rPr>
          <w:rFonts w:ascii="Times New Roman" w:hAnsi="Times New Roman" w:cs="Times New Roman"/>
          <w:sz w:val="24"/>
          <w:szCs w:val="24"/>
          <w:lang w:val="en-US"/>
        </w:rPr>
        <w:t xml:space="preserve">is uneven </w:t>
      </w:r>
      <w:r w:rsidRPr="00CE126D">
        <w:rPr>
          <w:rFonts w:ascii="Times New Roman" w:hAnsi="Times New Roman" w:cs="Times New Roman"/>
          <w:sz w:val="24"/>
          <w:szCs w:val="24"/>
          <w:lang w:val="en-US"/>
        </w:rPr>
        <w:t xml:space="preserve">among </w:t>
      </w:r>
      <w:r w:rsidR="0087508C" w:rsidRPr="00CE126D">
        <w:rPr>
          <w:rFonts w:ascii="Times New Roman" w:hAnsi="Times New Roman" w:cs="Times New Roman"/>
          <w:sz w:val="24"/>
          <w:szCs w:val="24"/>
          <w:lang w:val="en-US"/>
        </w:rPr>
        <w:t>gametocyte carriers result</w:t>
      </w:r>
      <w:r w:rsidR="003F0250">
        <w:rPr>
          <w:rFonts w:ascii="Times New Roman" w:hAnsi="Times New Roman" w:cs="Times New Roman"/>
          <w:sz w:val="24"/>
          <w:szCs w:val="24"/>
          <w:lang w:val="en-US"/>
        </w:rPr>
        <w:t>ing</w:t>
      </w:r>
      <w:r w:rsidR="0087508C" w:rsidRPr="00CE126D">
        <w:rPr>
          <w:rFonts w:ascii="Times New Roman" w:hAnsi="Times New Roman" w:cs="Times New Roman"/>
          <w:sz w:val="24"/>
          <w:szCs w:val="24"/>
          <w:lang w:val="en-US"/>
        </w:rPr>
        <w:t xml:space="preserve"> in variable levels of infection in the mosquito</w:t>
      </w:r>
      <w:r w:rsidR="00663385">
        <w:rPr>
          <w:rFonts w:ascii="Times New Roman" w:hAnsi="Times New Roman" w:cs="Times New Roman"/>
          <w:sz w:val="24"/>
          <w:szCs w:val="24"/>
          <w:lang w:val="en-US"/>
        </w:rPr>
        <w:t xml:space="preserve"> </w:t>
      </w:r>
      <w:r w:rsidR="00663385">
        <w:rPr>
          <w:rFonts w:ascii="Times New Roman" w:hAnsi="Times New Roman" w:cs="Times New Roman"/>
          <w:sz w:val="24"/>
          <w:szCs w:val="24"/>
          <w:lang w:val="en-US"/>
        </w:rPr>
        <w:fldChar w:fldCharType="begin" w:fldLock="1"/>
      </w:r>
      <w:r w:rsidR="00663385">
        <w:rPr>
          <w:rFonts w:ascii="Times New Roman" w:hAnsi="Times New Roman" w:cs="Times New Roman"/>
          <w:sz w:val="24"/>
          <w:szCs w:val="24"/>
          <w:lang w:val="en-US"/>
        </w:rPr>
        <w:instrText>ADDIN CSL_CITATION {"citationItems":[{"id":"ITEM-1","itemData":{"DOI":"10.1111/j.1365-3156.2004.01300.x","ISBN":"1360-2276 (Print)\\n1360-2276 (Linking)","ISSN":"13602276","PMID":"15361106","abstract":"Quantitatively assessing the impact of naturally occurring transmission-blocking (TB) immunity on malaria parasite sporogonic development may provide a useful interpretation of the underlying mechnisms. Here, we compare the effects of plasma derived from 23 naturally infected gametocyte carriers (OWN) with plasma from donors without previous malaria exposure (AB) on the early sporogonic development of Plasmodium falciparum in Anopheles gambiae. Reduced parasite development efficiency was associated with mosquitoes taking a blood meal mixed with the gametocytes carriers' own plasma, whereas replacing autologous plasma with non-immune resulted in the highest level of parasite survival. Seven days after an infective blood meal, 39.1% of the gametocyte carriers' plasma tested showed TB activity as only a few macrogametocytes ingested along with immune plasma ended up as ookinetes but subsequent development was blocked in the presence of immune plasma. In other experiments (60.9%), the effective number of parasites declined dramatically from one developmental stage to the next, and resulted in an infection rate that was two-fold lower in OWN than in AB infection group. These findings are in agreement with those in other reports and go further by quantitatively examining at which transition stages TB immunity exerts its action. The transitions from macrogametocytes to gamete/zygote and from gamete/zygote to ookinete were identified as main targets. However, the net contribution of the host plasma factors to these interstage parasite reductions was low (5-20%), suggesting that irrespective of the host plasma factors, mosquito factors might also lower the survival level of parasites during the early sporogonic development.","author":[{"dropping-particle":"","family":"Gouagna","given":"L C","non-dropping-particle":"","parse-names":false,"suffix":""},{"dropping-particle":"","family":"Bonnet","given":"S","non-dropping-particle":"","parse-names":false,"suffix":""},{"dropping-particle":"","family":"Gounoue","given":"R","non-dropping-particle":"","parse-names":false,"suffix":""},{"dropping-particle":"","family":"Verhave","given":"J P","non-dropping-particle":"","parse-names":false,"suffix":""},{"dropping-particle":"","family":"Eling","given":"W","non-dropping-particle":"","parse-names":false,"suffix":""},{"dropping-particle":"","family":"Sauerwein","given":"R","non-dropping-particle":"","parse-names":false,"suffix":""},{"dropping-particle":"","family":"Boudin","given":"C","non-dropping-particle":"","parse-names":false,"suffix":""}],"container-title":"Tropical Medicine and International Health","id":"ITEM-1","issued":{"date-parts":[["2004"]]},"page":"937-948","title":"Stage-specific effects of host plasma factors on the early sporogony of autologous &lt;i&gt;Plasmodium falciparum&lt;/i&gt; isolates within &lt;i&gt;Anopheles gambiae&lt;/i&gt;","type":"article-journal","volume":"9"},"uris":["http://www.mendeley.com/documents/?uuid=d4b89c86-2e6a-4787-bc4a-b1b2ce6349d7"]},{"id":"ITEM-2","itemData":{"DOI":"10.1016/j.exppara.2014.12.010","ISSN":"0014-4894","author":[{"dropping-particle":"","family":"Da","given":"D F","non-dropping-particle":"","parse-names":false,"suffix":""},{"dropping-particle":"","family":"Churcher","given":"T S","non-dropping-particle":"","parse-names":false,"suffix":""},{"dropping-particle":"","family":"Yerbanga","given":"R S","non-dropping-particle":"","parse-names":false,"suffix":""},{"dropping-particle":"","family":"Yameogo","given":"B K","non-dropping-particle":"","parse-names":false,"suffix":""},{"dropping-particle":"","family":"Sangaré","given":"I","non-dropping-particle":"","parse-names":false,"suffix":""},{"dropping-particle":"","family":"Bosco","given":"J","non-dropping-particle":"","parse-names":false,"suffix":""},{"dropping-particle":"","family":"Sinden","given":"R E","non-dropping-particle":"","parse-names":false,"suffix":""},{"dropping-particle":"","family":"Blagborough","given":"A M","non-dropping-particle":"","parse-names":false,"suffix":""},{"dropping-particle":"","family":"Cohuet","given":"A","non-dropping-particle":"","parse-names":false,"suffix":""}],"container-title":"Experimental Parasitology","id":"ITEM-2","issued":{"date-parts":[["2015"]]},"page":"74-83","publisher":"The Authors","title":"Experimental study of the relationship between &lt;i&gt;Plasmodium&lt;/i&gt; gametocyte density and infection success in mosquitoes: implications for the evaluation of malaria transmission-reducing interventions","type":"article-journal","volume":"149"},"uris":["http://www.mendeley.com/documents/?uuid=eb917a2e-cf2d-43c2-b97e-566e9e0f7ad7"]},{"id":"ITEM-3","itemData":{"DOI":"10.1038/s41467-017-02646-2","ISSN":"20411723","abstract":"Infection with Plasmodium can elicit antibodies that inhibit parasite survival in the mosquito, when they are ingested in an infectious blood meal. Here, we determine the transmission-reducing activity (TRA) of naturally acquired antibodies from 648 malaria-exposed individuals using lab-based mosquito-feeding assays. Transmission inhibition is significantly associated with antibody responses to Pfs48/45, Pfs230, and to 43 novel gametocyte proteins assessed by protein microarray. In field-based mosquito-feeding assays the likelihood and rate of mosquito infection are significantly lower for individuals reactive to Pfs48/45, Pfs230 or to combinations of the novel TRA-associated proteins. We also show that naturally acquired purified antibodies against key transmission-blocking epitopes of Pfs48/45 and Pfs230 are mechanistically involved in TRA, whereas sera depleted of these antibodies retain high-level, complement-independent TRA. Our analysis demonstrates that host antibody responses to gametocyte proteins are associated with reduced malaria transmission efficiency from humans to mosquitoes.","author":[{"dropping-particle":"","family":"Stone","given":"Will J.R.","non-dropping-particle":"","parse-names":false,"suffix":""},{"dropping-particle":"","family":"Campo","given":"Joseph J.","non-dropping-particle":"","parse-names":false,"suffix":""},{"dropping-particle":"","family":"Ouédraogo","given":"André Lin","non-dropping-particle":"","parse-names":false,"suffix":""},{"dropping-particle":"","family":"Meerstein-Kessel","given":"Lisette","non-dropping-particle":"","parse-names":false,"suffix":""},{"dropping-particle":"","family":"Morlais","given":"Isabelle","non-dropping-particle":"","parse-names":false,"suffix":""},{"dropping-particle":"","family":"Da","given":"Dari","non-dropping-particle":"","parse-names":false,"suffix":""},{"dropping-particle":"","family":"Cohuet","given":"Anna","non-dropping-particle":"","parse-names":false,"suffix":""},{"dropping-particle":"","family":"Nsango","given":"Sandrine","non-dropping-particle":"","parse-names":false,"suffix":""},{"dropping-particle":"","family":"Sutherland","given":"Colin J.","non-dropping-particle":"","parse-names":false,"suffix":""},{"dropping-particle":"","family":"Vegte-Bolmer","given":"Marga","non-dropping-particle":"Van De","parse-names":false,"suffix":""},{"dropping-particle":"","family":"Siebelink-Stoter","given":"Rianne","non-dropping-particle":"","parse-names":false,"suffix":""},{"dropping-particle":"","family":"Gemert","given":"Geert Jan","non-dropping-particle":"Van","parse-names":false,"suffix":""},{"dropping-particle":"","family":"Graumans","given":"Wouter","non-dropping-particle":"","parse-names":false,"suffix":""},{"dropping-particle":"","family":"Lanke","given":"Kjerstin","non-dropping-particle":"","parse-names":false,"suffix":""},{"dropping-particle":"","family":"Shandling","given":"Adam D.","non-dropping-particle":"","parse-names":false,"suffix":""},{"dropping-particle":"V.","family":"Pablo","given":"Jozelyn","non-dropping-particle":"","parse-names":false,"suffix":""},{"dropping-particle":"","family":"Teng","given":"Andy A.","non-dropping-particle":"","parse-names":false,"suffix":""},{"dropping-particle":"","family":"Jones","given":"Sophie","non-dropping-particle":"","parse-names":false,"suffix":""},{"dropping-particle":"","family":"Jong","given":"Roos M.","non-dropping-particle":"De","parse-names":false,"suffix":""},{"dropping-particle":"","family":"Fabra-García","given":"Amanda","non-dropping-particle":"","parse-names":false,"suffix":""},{"dropping-particle":"","family":"Bradley","given":"John","non-dropping-particle":"","parse-names":false,"suffix":""},{"dropping-particle":"","family":"Roeffen","given":"Will","non-dropping-particle":"","parse-names":false,"suffix":""},{"dropping-particle":"","family":"Lasonder","given":"Edwin","non-dropping-particle":"","parse-names":false,"suffix":""},{"dropping-particle":"","family":"Gremo","given":"Giuliana","non-dropping-particle":"","parse-names":false,"suffix":""},{"dropping-particle":"","family":"Schwarzer","given":"Evelin","non-dropping-particle":"","parse-names":false,"suffix":""},{"dropping-particle":"","family":"Janse","given":"Chris J.","non-dropping-particle":"","parse-names":false,"suffix":""},{"dropping-particle":"","family":"Singh","given":"Susheel K.","non-dropping-particle":"","parse-names":false,"suffix":""},{"dropping-particle":"","family":"Theisen","given":"Michael","non-dropping-particle":"","parse-names":false,"suffix":""},{"dropping-particle":"","family":"Felgner","given":"Phil","non-dropping-particle":"","parse-names":false,"suffix":""},{"dropping-particle":"","family":"Marti","given":"Matthias","non-dropping-particle":"","parse-names":false,"suffix":""},{"dropping-particle":"","family":"Drakeley","given":"Chris","non-dropping-particle":"","parse-names":false,"suffix":""},{"dropping-particle":"","family":"Sauerwein","given":"Robert","non-dropping-particle":"","parse-names":false,"suffix":""},{"dropping-particle":"","family":"Bousema","given":"Teun","non-dropping-particle":"","parse-names":false,"suffix":""},{"dropping-particle":"","family":"Jore","given":"Matthijs M.","non-dropping-particle":"","parse-names":false,"suffix":""}],"container-title":"Nature Communications","id":"ITEM-3","issued":{"date-parts":[["2018"]]},"title":"Unravelling the immune signature of Plasmodium falciparum transmission-reducing immunity","type":"article-journal"},"uris":["http://www.mendeley.com/documents/?uuid=826bf28f-35f1-337a-8041-5eadd5883f8f"]}],"mendeley":{"formattedCitation":"(Gouagna &lt;i&gt;et al.&lt;/i&gt;, 2004; Da &lt;i&gt;et al.&lt;/i&gt;, 2015; Stone &lt;i&gt;et al.&lt;/i&gt;, 2018)","plainTextFormattedCitation":"(Gouagna et al., 2004; Da et al., 2015; Stone et al., 2018)","previouslyFormattedCitation":"(Gouagna &lt;i&gt;et al.&lt;/i&gt;, 2004; Da &lt;i&gt;et al.&lt;/i&gt;, 2015; Stone &lt;i&gt;et al.&lt;/i&gt;, 2018)"},"properties":{"noteIndex":0},"schema":"https://github.com/citation-style-language/schema/raw/master/csl-citation.json"}</w:instrText>
      </w:r>
      <w:r w:rsidR="00663385">
        <w:rPr>
          <w:rFonts w:ascii="Times New Roman" w:hAnsi="Times New Roman" w:cs="Times New Roman"/>
          <w:sz w:val="24"/>
          <w:szCs w:val="24"/>
          <w:lang w:val="en-US"/>
        </w:rPr>
        <w:fldChar w:fldCharType="separate"/>
      </w:r>
      <w:r w:rsidR="00663385" w:rsidRPr="00663385">
        <w:rPr>
          <w:rFonts w:ascii="Times New Roman" w:hAnsi="Times New Roman" w:cs="Times New Roman"/>
          <w:noProof/>
          <w:sz w:val="24"/>
          <w:szCs w:val="24"/>
          <w:lang w:val="en-US"/>
        </w:rPr>
        <w:t xml:space="preserve">(Gouagna </w:t>
      </w:r>
      <w:r w:rsidR="00663385" w:rsidRPr="00663385">
        <w:rPr>
          <w:rFonts w:ascii="Times New Roman" w:hAnsi="Times New Roman" w:cs="Times New Roman"/>
          <w:i/>
          <w:noProof/>
          <w:sz w:val="24"/>
          <w:szCs w:val="24"/>
          <w:lang w:val="en-US"/>
        </w:rPr>
        <w:t>et al.</w:t>
      </w:r>
      <w:r w:rsidR="00663385" w:rsidRPr="00663385">
        <w:rPr>
          <w:rFonts w:ascii="Times New Roman" w:hAnsi="Times New Roman" w:cs="Times New Roman"/>
          <w:noProof/>
          <w:sz w:val="24"/>
          <w:szCs w:val="24"/>
          <w:lang w:val="en-US"/>
        </w:rPr>
        <w:t xml:space="preserve">, 2004; Da </w:t>
      </w:r>
      <w:r w:rsidR="00663385" w:rsidRPr="00663385">
        <w:rPr>
          <w:rFonts w:ascii="Times New Roman" w:hAnsi="Times New Roman" w:cs="Times New Roman"/>
          <w:i/>
          <w:noProof/>
          <w:sz w:val="24"/>
          <w:szCs w:val="24"/>
          <w:lang w:val="en-US"/>
        </w:rPr>
        <w:t>et al.</w:t>
      </w:r>
      <w:r w:rsidR="00663385" w:rsidRPr="00663385">
        <w:rPr>
          <w:rFonts w:ascii="Times New Roman" w:hAnsi="Times New Roman" w:cs="Times New Roman"/>
          <w:noProof/>
          <w:sz w:val="24"/>
          <w:szCs w:val="24"/>
          <w:lang w:val="en-US"/>
        </w:rPr>
        <w:t xml:space="preserve">, 2015; Stone </w:t>
      </w:r>
      <w:r w:rsidR="00663385" w:rsidRPr="00663385">
        <w:rPr>
          <w:rFonts w:ascii="Times New Roman" w:hAnsi="Times New Roman" w:cs="Times New Roman"/>
          <w:i/>
          <w:noProof/>
          <w:sz w:val="24"/>
          <w:szCs w:val="24"/>
          <w:lang w:val="en-US"/>
        </w:rPr>
        <w:t>et al.</w:t>
      </w:r>
      <w:r w:rsidR="00663385" w:rsidRPr="00663385">
        <w:rPr>
          <w:rFonts w:ascii="Times New Roman" w:hAnsi="Times New Roman" w:cs="Times New Roman"/>
          <w:noProof/>
          <w:sz w:val="24"/>
          <w:szCs w:val="24"/>
          <w:lang w:val="en-US"/>
        </w:rPr>
        <w:t>, 2018)</w:t>
      </w:r>
      <w:r w:rsidR="00663385">
        <w:rPr>
          <w:rFonts w:ascii="Times New Roman" w:hAnsi="Times New Roman" w:cs="Times New Roman"/>
          <w:sz w:val="24"/>
          <w:szCs w:val="24"/>
          <w:lang w:val="en-US"/>
        </w:rPr>
        <w:fldChar w:fldCharType="end"/>
      </w:r>
      <w:r w:rsidR="00663385">
        <w:rPr>
          <w:rFonts w:ascii="Times New Roman" w:hAnsi="Times New Roman" w:cs="Times New Roman"/>
          <w:sz w:val="24"/>
          <w:szCs w:val="24"/>
          <w:lang w:val="en-US"/>
        </w:rPr>
        <w:t>.</w:t>
      </w:r>
    </w:p>
    <w:p w14:paraId="5354B56E" w14:textId="77777777" w:rsidR="008C0723" w:rsidRPr="00CE126D" w:rsidRDefault="0087508C" w:rsidP="004C43C4">
      <w:pPr>
        <w:spacing w:after="0" w:line="360" w:lineRule="auto"/>
        <w:ind w:firstLine="708"/>
        <w:jc w:val="both"/>
        <w:rPr>
          <w:rFonts w:ascii="Times New Roman" w:hAnsi="Times New Roman" w:cs="Times New Roman"/>
          <w:sz w:val="24"/>
          <w:szCs w:val="24"/>
          <w:lang w:val="en-US"/>
        </w:rPr>
      </w:pPr>
      <w:r w:rsidRPr="00CE126D">
        <w:rPr>
          <w:rFonts w:ascii="Times New Roman" w:hAnsi="Times New Roman" w:cs="Times New Roman"/>
          <w:sz w:val="24"/>
          <w:szCs w:val="24"/>
          <w:lang w:val="en-US"/>
        </w:rPr>
        <w:t>In our first set of experiment</w:t>
      </w:r>
      <w:r w:rsidR="005C434E" w:rsidRPr="00CE126D">
        <w:rPr>
          <w:rFonts w:ascii="Times New Roman" w:hAnsi="Times New Roman" w:cs="Times New Roman"/>
          <w:sz w:val="24"/>
          <w:szCs w:val="24"/>
          <w:lang w:val="en-US"/>
        </w:rPr>
        <w:t>s</w:t>
      </w:r>
      <w:r w:rsidRPr="00CE126D">
        <w:rPr>
          <w:rFonts w:ascii="Times New Roman" w:hAnsi="Times New Roman" w:cs="Times New Roman"/>
          <w:sz w:val="24"/>
          <w:szCs w:val="24"/>
          <w:lang w:val="en-US"/>
        </w:rPr>
        <w:t xml:space="preserve">, </w:t>
      </w:r>
      <w:r w:rsidR="0040716C" w:rsidRPr="00CE126D">
        <w:rPr>
          <w:rFonts w:ascii="Times New Roman" w:hAnsi="Times New Roman" w:cs="Times New Roman"/>
          <w:sz w:val="24"/>
          <w:szCs w:val="24"/>
          <w:lang w:val="en-US"/>
        </w:rPr>
        <w:t>we noticed that the effect of irradiation on mosquito infection strongly varied among parasite isolates</w:t>
      </w:r>
      <w:r w:rsidRPr="00CE126D">
        <w:rPr>
          <w:rFonts w:ascii="Times New Roman" w:hAnsi="Times New Roman" w:cs="Times New Roman"/>
          <w:sz w:val="24"/>
          <w:szCs w:val="24"/>
          <w:lang w:val="en-US"/>
        </w:rPr>
        <w:t xml:space="preserve"> (Figure 1). We</w:t>
      </w:r>
      <w:r w:rsidR="0040716C" w:rsidRPr="00CE126D">
        <w:rPr>
          <w:rFonts w:ascii="Times New Roman" w:hAnsi="Times New Roman" w:cs="Times New Roman"/>
          <w:sz w:val="24"/>
          <w:szCs w:val="24"/>
          <w:lang w:val="en-US"/>
        </w:rPr>
        <w:t xml:space="preserve"> </w:t>
      </w:r>
      <w:r w:rsidRPr="00CE126D">
        <w:rPr>
          <w:rFonts w:ascii="Times New Roman" w:hAnsi="Times New Roman" w:cs="Times New Roman"/>
          <w:sz w:val="24"/>
          <w:szCs w:val="24"/>
          <w:lang w:val="en-US"/>
        </w:rPr>
        <w:t xml:space="preserve">therefore </w:t>
      </w:r>
      <w:r w:rsidR="0040716C" w:rsidRPr="00CE126D">
        <w:rPr>
          <w:rFonts w:ascii="Times New Roman" w:hAnsi="Times New Roman" w:cs="Times New Roman"/>
          <w:sz w:val="24"/>
          <w:szCs w:val="24"/>
          <w:lang w:val="en-US"/>
        </w:rPr>
        <w:t xml:space="preserve">postulated that the natural blocking immunity of the human host could play a role. To test this possibility, the natural </w:t>
      </w:r>
      <w:r w:rsidR="00DA4858" w:rsidRPr="00CE126D">
        <w:rPr>
          <w:rFonts w:ascii="Times New Roman" w:hAnsi="Times New Roman" w:cs="Times New Roman"/>
          <w:sz w:val="24"/>
          <w:szCs w:val="24"/>
          <w:lang w:val="en-US"/>
        </w:rPr>
        <w:t>plasma</w:t>
      </w:r>
      <w:r w:rsidR="0040716C" w:rsidRPr="00CE126D">
        <w:rPr>
          <w:rFonts w:ascii="Times New Roman" w:hAnsi="Times New Roman" w:cs="Times New Roman"/>
          <w:sz w:val="24"/>
          <w:szCs w:val="24"/>
          <w:lang w:val="en-US"/>
        </w:rPr>
        <w:t xml:space="preserve"> of </w:t>
      </w:r>
      <w:r w:rsidR="005C434E" w:rsidRPr="00CE126D">
        <w:rPr>
          <w:rFonts w:ascii="Times New Roman" w:hAnsi="Times New Roman" w:cs="Times New Roman"/>
          <w:sz w:val="24"/>
          <w:szCs w:val="24"/>
          <w:lang w:val="en-US"/>
        </w:rPr>
        <w:t xml:space="preserve">some </w:t>
      </w:r>
      <w:r w:rsidR="0040716C" w:rsidRPr="00CE126D">
        <w:rPr>
          <w:rFonts w:ascii="Times New Roman" w:hAnsi="Times New Roman" w:cs="Times New Roman"/>
          <w:sz w:val="24"/>
          <w:szCs w:val="24"/>
          <w:lang w:val="en-US"/>
        </w:rPr>
        <w:t>isolates was replaced by naive AB serum</w:t>
      </w:r>
      <w:r w:rsidRPr="00CE126D">
        <w:rPr>
          <w:rFonts w:ascii="Times New Roman" w:hAnsi="Times New Roman" w:cs="Times New Roman"/>
          <w:sz w:val="24"/>
          <w:szCs w:val="24"/>
          <w:lang w:val="en-US"/>
        </w:rPr>
        <w:t xml:space="preserve"> following the methodology described in Da et al. 2015. Such replacement usually increases the infection prevalence and intensity in mosquitoes</w:t>
      </w:r>
      <w:r w:rsidR="00663385">
        <w:rPr>
          <w:rFonts w:ascii="Times New Roman" w:hAnsi="Times New Roman" w:cs="Times New Roman"/>
          <w:sz w:val="24"/>
          <w:szCs w:val="24"/>
          <w:lang w:val="en-US"/>
        </w:rPr>
        <w:t xml:space="preserve"> </w:t>
      </w:r>
      <w:r w:rsidR="00663385">
        <w:rPr>
          <w:rFonts w:ascii="Times New Roman" w:hAnsi="Times New Roman" w:cs="Times New Roman"/>
          <w:sz w:val="24"/>
          <w:szCs w:val="24"/>
          <w:lang w:val="en-US"/>
        </w:rPr>
        <w:fldChar w:fldCharType="begin" w:fldLock="1"/>
      </w:r>
      <w:r w:rsidR="00663385">
        <w:rPr>
          <w:rFonts w:ascii="Times New Roman" w:hAnsi="Times New Roman" w:cs="Times New Roman"/>
          <w:sz w:val="24"/>
          <w:szCs w:val="24"/>
          <w:lang w:val="en-US"/>
        </w:rPr>
        <w:instrText>ADDIN CSL_CITATION {"citationItems":[{"id":"ITEM-1","itemData":{"DOI":"10.1016/j.ijpara.2010.09.008","ISSN":"00207519","abstract":"Malaria-infected individuals can develop antibodies which reduce the infectiousness of Plasmodium gametocytes to biting Anopheles mosquitoes. When ingested in a bloodmeal together with gametocytes, these antibodies reduce or prevent subsequent parasite maturation in the insect host. This transmission-blocking immunity is usually measured in human sera by testing its effect on the infectivity of gametocytes grown in vitro. Here we evaluate evidence of transmission-blocking immunity in eight studies conducted in three African countries. Plasmodium falciparum gametocytes isolated from each individual were fed to mosquitoes in both autologous plasma collected with the parasites, and permissive serum from non-exposed donors. Evidence of transmission reducing effects of autologous plasma was found in all countries. Experiments involving 116 Gambian children (aged 0.5-15. years) were combined to determine which factors were associated with transmission reducing immune responses. The chances of infecting at least one mosquito and the average proportion of infected mosquitoes were negatively associated with recent exposure to gametocytes and sampling late in the season. These results suggest that effective malaria transmission-reducing antibodies do not commonly circulate in African children, and that recent gametocyte carriage is required to initiate and/or boost such responses. © 2010 Australian Society for Parasitology Inc.","author":[{"dropping-particle":"","family":"Bousema","given":"Teun","non-dropping-particle":"","parse-names":false,"suffix":""},{"dropping-particle":"","family":"Sutherland","given":"Colin J.","non-dropping-particle":"","parse-names":false,"suffix":""},{"dropping-particle":"","family":"Churcher","given":"Thomas S.","non-dropping-particle":"","parse-names":false,"suffix":""},{"dropping-particle":"","family":"Mulder","given":"Bert","non-dropping-particle":"","parse-names":false,"suffix":""},{"dropping-particle":"","family":"Gouagna","given":"Louis C.","non-dropping-particle":"","parse-names":false,"suffix":""},{"dropping-particle":"","family":"Riley","given":"Eleanor M.","non-dropping-particle":"","parse-names":false,"suffix":""},{"dropping-particle":"","family":"Targett","given":"Geoffrey A.T.","non-dropping-particle":"","parse-names":false,"suffix":""},{"dropping-particle":"","family":"Drakeley","given":"Chris J.","non-dropping-particle":"","parse-names":false,"suffix":""}],"container-title":"International Journal for Parasitology","id":"ITEM-1","issued":{"date-parts":[["2011"]]},"title":"Human immune responses that reduce the transmission of Plasmodium falciparum in African populations","type":"article-journal"},"uris":["http://www.mendeley.com/documents/?uuid=2f7503af-1373-35d6-a9cd-923cb6a9c074"]},{"id":"ITEM-2","itemData":{"DOI":"10.1016/j.exppara.2014.12.010","ISSN":"0014-4894","author":[{"dropping-particle":"","family":"Da","given":"D F","non-dropping-particle":"","parse-names":false,"suffix":""},{"dropping-particle":"","family":"Churcher","given":"T S","non-dropping-particle":"","parse-names":false,"suffix":""},{"dropping-particle":"","family":"Yerbanga","given":"R S","non-dropping-particle":"","parse-names":false,"suffix":""},{"dropping-particle":"","family":"Yameogo","given":"B K","non-dropping-particle":"","parse-names":false,"suffix":""},{"dropping-particle":"","family":"Sangaré","given":"I","non-dropping-particle":"","parse-names":false,"suffix":""},{"dropping-particle":"","family":"Bosco","given":"J","non-dropping-particle":"","parse-names":false,"suffix":""},{"dropping-particle":"","family":"Sinden","given":"R E","non-dropping-particle":"","parse-names":false,"suffix":""},{"dropping-particle":"","family":"Blagborough","given":"A M","non-dropping-particle":"","parse-names":false,"suffix":""},{"dropping-particle":"","family":"Cohuet","given":"A","non-dropping-particle":"","parse-names":false,"suffix":""}],"container-title":"Experimental Parasitology","id":"ITEM-2","issued":{"date-parts":[["2015"]]},"page":"74-83","publisher":"The Authors","title":"Experimental study of the relationship between &lt;i&gt;Plasmodium&lt;/i&gt; gametocyte density and infection success in mosquitoes: implications for the evaluation of malaria transmission-reducing interventions","type":"article-journal","volume":"149"},"uris":["http://www.mendeley.com/documents/?uuid=eb917a2e-cf2d-43c2-b97e-566e9e0f7ad7"]}],"mendeley":{"formattedCitation":"(Bousema &lt;i&gt;et al.&lt;/i&gt;, 2011; Da &lt;i&gt;et al.&lt;/i&gt;, 2015)","plainTextFormattedCitation":"(Bousema et al., 2011; Da et al., 2015)","previouslyFormattedCitation":"(Bousema &lt;i&gt;et al.&lt;/i&gt;, 2011; Da &lt;i&gt;et al.&lt;/i&gt;, 2015)"},"properties":{"noteIndex":0},"schema":"https://github.com/citation-style-language/schema/raw/master/csl-citation.json"}</w:instrText>
      </w:r>
      <w:r w:rsidR="00663385">
        <w:rPr>
          <w:rFonts w:ascii="Times New Roman" w:hAnsi="Times New Roman" w:cs="Times New Roman"/>
          <w:sz w:val="24"/>
          <w:szCs w:val="24"/>
          <w:lang w:val="en-US"/>
        </w:rPr>
        <w:fldChar w:fldCharType="separate"/>
      </w:r>
      <w:r w:rsidR="00663385" w:rsidRPr="00663385">
        <w:rPr>
          <w:rFonts w:ascii="Times New Roman" w:hAnsi="Times New Roman" w:cs="Times New Roman"/>
          <w:noProof/>
          <w:sz w:val="24"/>
          <w:szCs w:val="24"/>
          <w:lang w:val="en-US"/>
        </w:rPr>
        <w:t xml:space="preserve">(Bousema </w:t>
      </w:r>
      <w:r w:rsidR="00663385" w:rsidRPr="00663385">
        <w:rPr>
          <w:rFonts w:ascii="Times New Roman" w:hAnsi="Times New Roman" w:cs="Times New Roman"/>
          <w:i/>
          <w:noProof/>
          <w:sz w:val="24"/>
          <w:szCs w:val="24"/>
          <w:lang w:val="en-US"/>
        </w:rPr>
        <w:t>et al.</w:t>
      </w:r>
      <w:r w:rsidR="00663385" w:rsidRPr="00663385">
        <w:rPr>
          <w:rFonts w:ascii="Times New Roman" w:hAnsi="Times New Roman" w:cs="Times New Roman"/>
          <w:noProof/>
          <w:sz w:val="24"/>
          <w:szCs w:val="24"/>
          <w:lang w:val="en-US"/>
        </w:rPr>
        <w:t xml:space="preserve">, 2011; Da </w:t>
      </w:r>
      <w:r w:rsidR="00663385" w:rsidRPr="00663385">
        <w:rPr>
          <w:rFonts w:ascii="Times New Roman" w:hAnsi="Times New Roman" w:cs="Times New Roman"/>
          <w:i/>
          <w:noProof/>
          <w:sz w:val="24"/>
          <w:szCs w:val="24"/>
          <w:lang w:val="en-US"/>
        </w:rPr>
        <w:t>et al.</w:t>
      </w:r>
      <w:r w:rsidR="00663385" w:rsidRPr="00663385">
        <w:rPr>
          <w:rFonts w:ascii="Times New Roman" w:hAnsi="Times New Roman" w:cs="Times New Roman"/>
          <w:noProof/>
          <w:sz w:val="24"/>
          <w:szCs w:val="24"/>
          <w:lang w:val="en-US"/>
        </w:rPr>
        <w:t>, 2015)</w:t>
      </w:r>
      <w:r w:rsidR="00663385">
        <w:rPr>
          <w:rFonts w:ascii="Times New Roman" w:hAnsi="Times New Roman" w:cs="Times New Roman"/>
          <w:sz w:val="24"/>
          <w:szCs w:val="24"/>
          <w:lang w:val="en-US"/>
        </w:rPr>
        <w:fldChar w:fldCharType="end"/>
      </w:r>
      <w:r w:rsidRPr="00CE126D">
        <w:rPr>
          <w:rFonts w:ascii="Times New Roman" w:hAnsi="Times New Roman" w:cs="Times New Roman"/>
          <w:sz w:val="24"/>
          <w:szCs w:val="24"/>
          <w:lang w:val="en-US"/>
        </w:rPr>
        <w:t xml:space="preserve">. </w:t>
      </w:r>
      <w:r w:rsidR="005C434E" w:rsidRPr="00CE126D">
        <w:rPr>
          <w:rFonts w:ascii="Times New Roman" w:hAnsi="Times New Roman" w:cs="Times New Roman"/>
          <w:sz w:val="24"/>
          <w:szCs w:val="24"/>
          <w:lang w:val="en-US"/>
        </w:rPr>
        <w:t xml:space="preserve">As part of experiment 1 (see main text), the heads and thoraces of a total of 473 irradiated and 489 control females fed with blood from one of 10 gametocyte carriers (Table 1) were dissected, and the presence and quantity of sporozoites were determined using qPCR. Of these 10 parasite isolates, 4 had unchanged autologous </w:t>
      </w:r>
      <w:r w:rsidR="00DA4858" w:rsidRPr="00CE126D">
        <w:rPr>
          <w:rFonts w:ascii="Times New Roman" w:hAnsi="Times New Roman" w:cs="Times New Roman"/>
          <w:sz w:val="24"/>
          <w:szCs w:val="24"/>
          <w:lang w:val="en-US"/>
        </w:rPr>
        <w:t>plasma</w:t>
      </w:r>
      <w:r w:rsidR="005C434E" w:rsidRPr="00CE126D">
        <w:rPr>
          <w:rFonts w:ascii="Times New Roman" w:hAnsi="Times New Roman" w:cs="Times New Roman"/>
          <w:sz w:val="24"/>
          <w:szCs w:val="24"/>
          <w:lang w:val="en-US"/>
        </w:rPr>
        <w:t xml:space="preserve"> (isolates E, H, I, J) and 6 had replaced naïve AB</w:t>
      </w:r>
      <w:r w:rsidR="00DA4858" w:rsidRPr="00CE126D">
        <w:rPr>
          <w:rFonts w:ascii="Times New Roman" w:hAnsi="Times New Roman" w:cs="Times New Roman"/>
          <w:sz w:val="24"/>
          <w:szCs w:val="24"/>
          <w:lang w:val="en-US"/>
        </w:rPr>
        <w:t xml:space="preserve"> control</w:t>
      </w:r>
      <w:r w:rsidR="005C434E" w:rsidRPr="00CE126D">
        <w:rPr>
          <w:rFonts w:ascii="Times New Roman" w:hAnsi="Times New Roman" w:cs="Times New Roman"/>
          <w:sz w:val="24"/>
          <w:szCs w:val="24"/>
          <w:lang w:val="en-US"/>
        </w:rPr>
        <w:t xml:space="preserve"> serum (K, L, M, N, O, </w:t>
      </w:r>
      <w:r w:rsidR="003F0250" w:rsidRPr="00CE126D">
        <w:rPr>
          <w:rFonts w:ascii="Times New Roman" w:hAnsi="Times New Roman" w:cs="Times New Roman"/>
          <w:sz w:val="24"/>
          <w:szCs w:val="24"/>
          <w:lang w:val="en-US"/>
        </w:rPr>
        <w:t>and P</w:t>
      </w:r>
      <w:r w:rsidR="005C434E" w:rsidRPr="00CE126D">
        <w:rPr>
          <w:rFonts w:ascii="Times New Roman" w:hAnsi="Times New Roman" w:cs="Times New Roman"/>
          <w:sz w:val="24"/>
          <w:szCs w:val="24"/>
          <w:lang w:val="en-US"/>
        </w:rPr>
        <w:t>).</w:t>
      </w:r>
      <w:r w:rsidR="00DA4858" w:rsidRPr="00CE126D">
        <w:rPr>
          <w:rFonts w:ascii="Times New Roman" w:hAnsi="Times New Roman" w:cs="Times New Roman"/>
          <w:sz w:val="24"/>
          <w:szCs w:val="24"/>
          <w:lang w:val="en-US"/>
        </w:rPr>
        <w:t xml:space="preserve"> </w:t>
      </w:r>
      <w:r w:rsidR="00453C57" w:rsidRPr="00CE126D">
        <w:rPr>
          <w:rFonts w:ascii="Times New Roman" w:hAnsi="Times New Roman" w:cs="Times New Roman"/>
          <w:sz w:val="24"/>
          <w:szCs w:val="24"/>
          <w:lang w:val="en-US"/>
        </w:rPr>
        <w:t xml:space="preserve">Isolates </w:t>
      </w:r>
      <w:r w:rsidR="00DA4858" w:rsidRPr="00CE126D">
        <w:rPr>
          <w:rFonts w:ascii="Times New Roman" w:hAnsi="Times New Roman" w:cs="Times New Roman"/>
          <w:sz w:val="24"/>
          <w:szCs w:val="24"/>
          <w:lang w:val="en-US"/>
        </w:rPr>
        <w:t>E</w:t>
      </w:r>
      <w:r w:rsidR="00453C57" w:rsidRPr="00CE126D">
        <w:rPr>
          <w:rFonts w:ascii="Times New Roman" w:hAnsi="Times New Roman" w:cs="Times New Roman"/>
          <w:sz w:val="24"/>
          <w:szCs w:val="24"/>
          <w:lang w:val="en-US"/>
        </w:rPr>
        <w:t xml:space="preserve"> and J both had a gametocytemia </w:t>
      </w:r>
      <w:r w:rsidR="00931907">
        <w:rPr>
          <w:rFonts w:ascii="Times New Roman" w:hAnsi="Times New Roman" w:cs="Times New Roman"/>
          <w:sz w:val="24"/>
          <w:szCs w:val="24"/>
          <w:lang w:val="en-US"/>
        </w:rPr>
        <w:t>(</w:t>
      </w:r>
      <w:r w:rsidR="00931907" w:rsidRPr="00931907">
        <w:rPr>
          <w:rFonts w:ascii="Times New Roman" w:hAnsi="Times New Roman" w:cs="Times New Roman"/>
          <w:sz w:val="24"/>
          <w:szCs w:val="24"/>
          <w:lang w:val="en-US"/>
        </w:rPr>
        <w:t>number of gametocytes / ul of blood</w:t>
      </w:r>
      <w:r w:rsidR="00931907">
        <w:rPr>
          <w:rFonts w:ascii="Times New Roman" w:hAnsi="Times New Roman" w:cs="Times New Roman"/>
          <w:sz w:val="24"/>
          <w:szCs w:val="24"/>
          <w:lang w:val="en-US"/>
        </w:rPr>
        <w:t xml:space="preserve">) </w:t>
      </w:r>
      <w:r w:rsidR="00453C57" w:rsidRPr="00CE126D">
        <w:rPr>
          <w:rFonts w:ascii="Times New Roman" w:hAnsi="Times New Roman" w:cs="Times New Roman"/>
          <w:sz w:val="24"/>
          <w:szCs w:val="24"/>
          <w:lang w:val="en-US"/>
        </w:rPr>
        <w:t>of 32 gametocytes/ul of blood, H = 56, I = 48. Isolates K showed a gametocytemia of 72 gametocytes/ul of blood, L=168, M=32, N=136, and isolates O and P=96</w:t>
      </w:r>
      <w:r w:rsidR="00E13EE4" w:rsidRPr="00CE126D">
        <w:rPr>
          <w:rFonts w:ascii="Times New Roman" w:hAnsi="Times New Roman" w:cs="Times New Roman"/>
          <w:sz w:val="24"/>
          <w:szCs w:val="24"/>
          <w:lang w:val="en-US"/>
        </w:rPr>
        <w:t>.</w:t>
      </w:r>
    </w:p>
    <w:p w14:paraId="73C12BA1" w14:textId="77777777" w:rsidR="008C0723" w:rsidRPr="00CE126D" w:rsidRDefault="00DA4858" w:rsidP="004C43C4">
      <w:pPr>
        <w:spacing w:after="0" w:line="360" w:lineRule="auto"/>
        <w:ind w:firstLine="708"/>
        <w:jc w:val="both"/>
        <w:rPr>
          <w:rFonts w:ascii="Times New Roman" w:hAnsi="Times New Roman" w:cs="Times New Roman"/>
          <w:sz w:val="24"/>
          <w:szCs w:val="24"/>
          <w:lang w:val="en-US"/>
        </w:rPr>
      </w:pPr>
      <w:r w:rsidRPr="00CE126D">
        <w:rPr>
          <w:rFonts w:ascii="Times New Roman" w:hAnsi="Times New Roman" w:cs="Times New Roman"/>
          <w:sz w:val="24"/>
          <w:szCs w:val="24"/>
          <w:lang w:val="en-US"/>
        </w:rPr>
        <w:t>O</w:t>
      </w:r>
      <w:r w:rsidR="005C434E" w:rsidRPr="00CE126D">
        <w:rPr>
          <w:rFonts w:ascii="Times New Roman" w:hAnsi="Times New Roman" w:cs="Times New Roman"/>
          <w:sz w:val="24"/>
          <w:szCs w:val="24"/>
          <w:lang w:val="en-US"/>
        </w:rPr>
        <w:t>ur results</w:t>
      </w:r>
      <w:r w:rsidRPr="00CE126D">
        <w:rPr>
          <w:rFonts w:ascii="Times New Roman" w:hAnsi="Times New Roman" w:cs="Times New Roman"/>
          <w:sz w:val="24"/>
          <w:szCs w:val="24"/>
          <w:lang w:val="en-US"/>
        </w:rPr>
        <w:t xml:space="preserve"> </w:t>
      </w:r>
      <w:r w:rsidR="005C434E" w:rsidRPr="00CE126D">
        <w:rPr>
          <w:rFonts w:ascii="Times New Roman" w:hAnsi="Times New Roman" w:cs="Times New Roman"/>
          <w:sz w:val="24"/>
          <w:szCs w:val="24"/>
          <w:lang w:val="en-US"/>
        </w:rPr>
        <w:t>show that there was no significant positive relationship between gametocytemia and inf</w:t>
      </w:r>
      <w:r w:rsidR="00E13EE4" w:rsidRPr="00CE126D">
        <w:rPr>
          <w:rFonts w:ascii="Times New Roman" w:hAnsi="Times New Roman" w:cs="Times New Roman"/>
          <w:sz w:val="24"/>
          <w:szCs w:val="24"/>
          <w:lang w:val="en-US"/>
        </w:rPr>
        <w:t xml:space="preserve">ection prevalence or intensity (prevalence: </w:t>
      </w:r>
      <w:r w:rsidR="00E13EE4" w:rsidRPr="00CE126D">
        <w:rPr>
          <w:rFonts w:ascii="Times New Roman" w:hAnsi="Times New Roman" w:cs="Times New Roman"/>
          <w:i/>
          <w:sz w:val="24"/>
          <w:szCs w:val="24"/>
          <w:lang w:val="en-US"/>
        </w:rPr>
        <w:t>LRT</w:t>
      </w:r>
      <w:r w:rsidR="00E13EE4" w:rsidRPr="00CE126D">
        <w:rPr>
          <w:rFonts w:ascii="Times New Roman" w:hAnsi="Times New Roman" w:cs="Times New Roman"/>
          <w:i/>
          <w:iCs/>
          <w:sz w:val="24"/>
          <w:szCs w:val="24"/>
          <w:lang w:val="en-US"/>
        </w:rPr>
        <w:t xml:space="preserve"> X</w:t>
      </w:r>
      <w:r w:rsidR="00E13EE4" w:rsidRPr="00CE126D">
        <w:rPr>
          <w:rFonts w:ascii="Times New Roman" w:hAnsi="Times New Roman" w:cs="Times New Roman"/>
          <w:i/>
          <w:iCs/>
          <w:sz w:val="24"/>
          <w:szCs w:val="24"/>
          <w:vertAlign w:val="superscript"/>
          <w:lang w:val="en-US"/>
        </w:rPr>
        <w:t>2</w:t>
      </w:r>
      <w:r w:rsidR="00E13EE4" w:rsidRPr="00CE126D">
        <w:rPr>
          <w:rFonts w:ascii="Times New Roman" w:hAnsi="Times New Roman" w:cs="Times New Roman"/>
          <w:i/>
          <w:sz w:val="24"/>
          <w:szCs w:val="24"/>
          <w:vertAlign w:val="subscript"/>
          <w:lang w:val="en-US"/>
        </w:rPr>
        <w:t>1</w:t>
      </w:r>
      <w:r w:rsidR="00E13EE4" w:rsidRPr="00CE126D">
        <w:rPr>
          <w:rFonts w:ascii="Times New Roman" w:hAnsi="Times New Roman" w:cs="Times New Roman"/>
          <w:sz w:val="24"/>
          <w:szCs w:val="24"/>
          <w:lang w:val="en-US"/>
        </w:rPr>
        <w:t xml:space="preserve"> = 0.</w:t>
      </w:r>
      <w:r w:rsidR="00044EB6" w:rsidRPr="00CE126D">
        <w:rPr>
          <w:rFonts w:ascii="Times New Roman" w:hAnsi="Times New Roman" w:cs="Times New Roman"/>
          <w:sz w:val="24"/>
          <w:szCs w:val="24"/>
          <w:lang w:val="en-US"/>
        </w:rPr>
        <w:t>35,</w:t>
      </w:r>
      <w:r w:rsidR="00E13EE4" w:rsidRPr="00CE126D">
        <w:rPr>
          <w:rFonts w:ascii="Times New Roman" w:hAnsi="Times New Roman" w:cs="Times New Roman"/>
          <w:sz w:val="24"/>
          <w:szCs w:val="24"/>
          <w:lang w:val="en-US"/>
        </w:rPr>
        <w:t xml:space="preserve"> P = 0.5</w:t>
      </w:r>
      <w:r w:rsidR="00044EB6" w:rsidRPr="00CE126D">
        <w:rPr>
          <w:rFonts w:ascii="Times New Roman" w:hAnsi="Times New Roman" w:cs="Times New Roman"/>
          <w:sz w:val="24"/>
          <w:szCs w:val="24"/>
          <w:lang w:val="en-US"/>
        </w:rPr>
        <w:t>5, Figure S1A</w:t>
      </w:r>
      <w:r w:rsidR="00E13EE4" w:rsidRPr="00CE126D">
        <w:rPr>
          <w:rFonts w:ascii="Times New Roman" w:hAnsi="Times New Roman" w:cs="Times New Roman"/>
          <w:sz w:val="24"/>
          <w:szCs w:val="24"/>
          <w:lang w:val="en-US"/>
        </w:rPr>
        <w:t>; intensity:</w:t>
      </w:r>
      <w:r w:rsidR="00044EB6" w:rsidRPr="00CE126D">
        <w:rPr>
          <w:rFonts w:ascii="Times New Roman" w:hAnsi="Times New Roman" w:cs="Times New Roman"/>
          <w:sz w:val="24"/>
          <w:szCs w:val="24"/>
          <w:lang w:val="en-US"/>
        </w:rPr>
        <w:t xml:space="preserve"> </w:t>
      </w:r>
      <w:r w:rsidR="00044EB6" w:rsidRPr="00CE126D">
        <w:rPr>
          <w:rFonts w:ascii="Times New Roman" w:hAnsi="Times New Roman" w:cs="Times New Roman"/>
          <w:i/>
          <w:sz w:val="24"/>
          <w:szCs w:val="24"/>
          <w:lang w:val="en-US"/>
        </w:rPr>
        <w:t>LRT</w:t>
      </w:r>
      <w:r w:rsidR="00044EB6" w:rsidRPr="00CE126D">
        <w:rPr>
          <w:rFonts w:ascii="Times New Roman" w:hAnsi="Times New Roman" w:cs="Times New Roman"/>
          <w:i/>
          <w:iCs/>
          <w:sz w:val="24"/>
          <w:szCs w:val="24"/>
          <w:lang w:val="en-US"/>
        </w:rPr>
        <w:t xml:space="preserve"> X</w:t>
      </w:r>
      <w:r w:rsidR="00044EB6" w:rsidRPr="00CE126D">
        <w:rPr>
          <w:rFonts w:ascii="Times New Roman" w:hAnsi="Times New Roman" w:cs="Times New Roman"/>
          <w:i/>
          <w:iCs/>
          <w:sz w:val="24"/>
          <w:szCs w:val="24"/>
          <w:vertAlign w:val="superscript"/>
          <w:lang w:val="en-US"/>
        </w:rPr>
        <w:t>2</w:t>
      </w:r>
      <w:r w:rsidR="00044EB6" w:rsidRPr="00CE126D">
        <w:rPr>
          <w:rFonts w:ascii="Times New Roman" w:hAnsi="Times New Roman" w:cs="Times New Roman"/>
          <w:i/>
          <w:sz w:val="24"/>
          <w:szCs w:val="24"/>
          <w:vertAlign w:val="subscript"/>
          <w:lang w:val="en-US"/>
        </w:rPr>
        <w:t>1</w:t>
      </w:r>
      <w:r w:rsidR="00044EB6" w:rsidRPr="00CE126D">
        <w:rPr>
          <w:rFonts w:ascii="Times New Roman" w:hAnsi="Times New Roman" w:cs="Times New Roman"/>
          <w:sz w:val="24"/>
          <w:szCs w:val="24"/>
          <w:lang w:val="en-US"/>
        </w:rPr>
        <w:t xml:space="preserve"> = 3, P = 0.08, FigS1B) </w:t>
      </w:r>
      <w:r w:rsidR="00E13EE4" w:rsidRPr="00CE126D">
        <w:rPr>
          <w:rFonts w:ascii="Times New Roman" w:hAnsi="Times New Roman" w:cs="Times New Roman"/>
          <w:sz w:val="24"/>
          <w:szCs w:val="24"/>
          <w:lang w:val="en-US"/>
        </w:rPr>
        <w:t xml:space="preserve">and no significant interaction </w:t>
      </w:r>
      <w:r w:rsidR="00044EB6" w:rsidRPr="00CE126D">
        <w:rPr>
          <w:rFonts w:ascii="Times New Roman" w:hAnsi="Times New Roman" w:cs="Times New Roman"/>
          <w:sz w:val="24"/>
          <w:szCs w:val="24"/>
          <w:lang w:val="en-US"/>
        </w:rPr>
        <w:t>with the</w:t>
      </w:r>
      <w:r w:rsidR="00E13EE4" w:rsidRPr="00CE126D">
        <w:rPr>
          <w:rFonts w:ascii="Times New Roman" w:hAnsi="Times New Roman" w:cs="Times New Roman"/>
          <w:sz w:val="24"/>
          <w:szCs w:val="24"/>
          <w:lang w:val="en-US"/>
        </w:rPr>
        <w:t xml:space="preserve"> type of serum </w:t>
      </w:r>
      <w:r w:rsidR="00044EB6" w:rsidRPr="00CE126D">
        <w:rPr>
          <w:rFonts w:ascii="Times New Roman" w:hAnsi="Times New Roman" w:cs="Times New Roman"/>
          <w:sz w:val="24"/>
          <w:szCs w:val="24"/>
          <w:lang w:val="en-US"/>
        </w:rPr>
        <w:t xml:space="preserve">(prevalence: </w:t>
      </w:r>
      <w:r w:rsidR="00044EB6" w:rsidRPr="00CE126D">
        <w:rPr>
          <w:rFonts w:ascii="Times New Roman" w:hAnsi="Times New Roman" w:cs="Times New Roman"/>
          <w:i/>
          <w:sz w:val="24"/>
          <w:szCs w:val="24"/>
          <w:lang w:val="en-US"/>
        </w:rPr>
        <w:t>LRT</w:t>
      </w:r>
      <w:r w:rsidR="00044EB6" w:rsidRPr="00CE126D">
        <w:rPr>
          <w:rFonts w:ascii="Times New Roman" w:hAnsi="Times New Roman" w:cs="Times New Roman"/>
          <w:i/>
          <w:iCs/>
          <w:sz w:val="24"/>
          <w:szCs w:val="24"/>
          <w:lang w:val="en-US"/>
        </w:rPr>
        <w:t xml:space="preserve"> X</w:t>
      </w:r>
      <w:r w:rsidR="00044EB6" w:rsidRPr="00CE126D">
        <w:rPr>
          <w:rFonts w:ascii="Times New Roman" w:hAnsi="Times New Roman" w:cs="Times New Roman"/>
          <w:i/>
          <w:iCs/>
          <w:sz w:val="24"/>
          <w:szCs w:val="24"/>
          <w:vertAlign w:val="superscript"/>
          <w:lang w:val="en-US"/>
        </w:rPr>
        <w:t>2</w:t>
      </w:r>
      <w:r w:rsidR="00044EB6" w:rsidRPr="00CE126D">
        <w:rPr>
          <w:rFonts w:ascii="Times New Roman" w:hAnsi="Times New Roman" w:cs="Times New Roman"/>
          <w:i/>
          <w:sz w:val="24"/>
          <w:szCs w:val="24"/>
          <w:vertAlign w:val="subscript"/>
          <w:lang w:val="en-US"/>
        </w:rPr>
        <w:t>1</w:t>
      </w:r>
      <w:r w:rsidR="00044EB6" w:rsidRPr="00CE126D">
        <w:rPr>
          <w:rFonts w:ascii="Times New Roman" w:hAnsi="Times New Roman" w:cs="Times New Roman"/>
          <w:sz w:val="24"/>
          <w:szCs w:val="24"/>
          <w:lang w:val="en-US"/>
        </w:rPr>
        <w:t xml:space="preserve"> = 1.2, P = 0.28, FigS1A; intensity: </w:t>
      </w:r>
      <w:r w:rsidR="00044EB6" w:rsidRPr="00CE126D">
        <w:rPr>
          <w:rFonts w:ascii="Times New Roman" w:hAnsi="Times New Roman" w:cs="Times New Roman"/>
          <w:i/>
          <w:sz w:val="24"/>
          <w:szCs w:val="24"/>
          <w:lang w:val="en-US"/>
        </w:rPr>
        <w:t>LRT</w:t>
      </w:r>
      <w:r w:rsidR="00044EB6" w:rsidRPr="00CE126D">
        <w:rPr>
          <w:rFonts w:ascii="Times New Roman" w:hAnsi="Times New Roman" w:cs="Times New Roman"/>
          <w:i/>
          <w:iCs/>
          <w:sz w:val="24"/>
          <w:szCs w:val="24"/>
          <w:lang w:val="en-US"/>
        </w:rPr>
        <w:t xml:space="preserve"> X</w:t>
      </w:r>
      <w:r w:rsidR="00044EB6" w:rsidRPr="00CE126D">
        <w:rPr>
          <w:rFonts w:ascii="Times New Roman" w:hAnsi="Times New Roman" w:cs="Times New Roman"/>
          <w:i/>
          <w:iCs/>
          <w:sz w:val="24"/>
          <w:szCs w:val="24"/>
          <w:vertAlign w:val="superscript"/>
          <w:lang w:val="en-US"/>
        </w:rPr>
        <w:t>2</w:t>
      </w:r>
      <w:r w:rsidR="00044EB6" w:rsidRPr="00CE126D">
        <w:rPr>
          <w:rFonts w:ascii="Times New Roman" w:hAnsi="Times New Roman" w:cs="Times New Roman"/>
          <w:i/>
          <w:sz w:val="24"/>
          <w:szCs w:val="24"/>
          <w:vertAlign w:val="subscript"/>
          <w:lang w:val="en-US"/>
        </w:rPr>
        <w:t>1</w:t>
      </w:r>
      <w:r w:rsidR="00044EB6" w:rsidRPr="00CE126D">
        <w:rPr>
          <w:rFonts w:ascii="Times New Roman" w:hAnsi="Times New Roman" w:cs="Times New Roman"/>
          <w:sz w:val="24"/>
          <w:szCs w:val="24"/>
          <w:lang w:val="en-US"/>
        </w:rPr>
        <w:t xml:space="preserve"> = 0.002, P = 0.97, FigS1B)</w:t>
      </w:r>
      <w:r w:rsidR="008C0723" w:rsidRPr="00CE126D">
        <w:rPr>
          <w:rFonts w:ascii="Times New Roman" w:hAnsi="Times New Roman" w:cs="Times New Roman"/>
          <w:sz w:val="24"/>
          <w:szCs w:val="24"/>
          <w:lang w:val="en-US"/>
        </w:rPr>
        <w:t xml:space="preserve">. </w:t>
      </w:r>
      <w:r w:rsidR="003F0250">
        <w:rPr>
          <w:rFonts w:ascii="Times New Roman" w:hAnsi="Times New Roman" w:cs="Times New Roman"/>
          <w:sz w:val="24"/>
          <w:szCs w:val="24"/>
          <w:lang w:val="en-US"/>
        </w:rPr>
        <w:t xml:space="preserve">Why higher gametocytemiae do not produce higher levels of infection may first seem unexpected </w:t>
      </w:r>
      <w:r w:rsidR="008C0723" w:rsidRPr="00CE126D">
        <w:rPr>
          <w:rFonts w:ascii="Times New Roman" w:hAnsi="Times New Roman" w:cs="Times New Roman"/>
          <w:sz w:val="24"/>
          <w:szCs w:val="24"/>
          <w:lang w:val="en-US"/>
        </w:rPr>
        <w:t>(Da et al. 2015)</w:t>
      </w:r>
      <w:r w:rsidR="00CE126D">
        <w:rPr>
          <w:rFonts w:ascii="Times New Roman" w:hAnsi="Times New Roman" w:cs="Times New Roman"/>
          <w:sz w:val="24"/>
          <w:szCs w:val="24"/>
          <w:lang w:val="en-US"/>
        </w:rPr>
        <w:t>. However</w:t>
      </w:r>
      <w:r w:rsidR="003F0250">
        <w:rPr>
          <w:rFonts w:ascii="Times New Roman" w:hAnsi="Times New Roman" w:cs="Times New Roman"/>
          <w:sz w:val="24"/>
          <w:szCs w:val="24"/>
          <w:lang w:val="en-US"/>
        </w:rPr>
        <w:t>,</w:t>
      </w:r>
      <w:r w:rsidR="00CE126D">
        <w:rPr>
          <w:rFonts w:ascii="Times New Roman" w:hAnsi="Times New Roman" w:cs="Times New Roman"/>
          <w:sz w:val="24"/>
          <w:szCs w:val="24"/>
          <w:lang w:val="en-US"/>
        </w:rPr>
        <w:t xml:space="preserve"> previous work showed that the lack of significant positive correlation is usually obs</w:t>
      </w:r>
      <w:r w:rsidR="003F0250">
        <w:rPr>
          <w:rFonts w:ascii="Times New Roman" w:hAnsi="Times New Roman" w:cs="Times New Roman"/>
          <w:sz w:val="24"/>
          <w:szCs w:val="24"/>
          <w:lang w:val="en-US"/>
        </w:rPr>
        <w:t>erved for gametocytem</w:t>
      </w:r>
      <w:r w:rsidR="00CE126D">
        <w:rPr>
          <w:rFonts w:ascii="Times New Roman" w:hAnsi="Times New Roman" w:cs="Times New Roman"/>
          <w:sz w:val="24"/>
          <w:szCs w:val="24"/>
          <w:lang w:val="en-US"/>
        </w:rPr>
        <w:t>ia &lt; 200</w:t>
      </w:r>
      <w:r w:rsidR="00663385">
        <w:rPr>
          <w:rFonts w:ascii="Times New Roman" w:hAnsi="Times New Roman" w:cs="Times New Roman"/>
          <w:sz w:val="24"/>
          <w:szCs w:val="24"/>
          <w:lang w:val="en-US"/>
        </w:rPr>
        <w:t xml:space="preserve"> </w:t>
      </w:r>
      <w:r w:rsidR="00CE126D">
        <w:rPr>
          <w:rFonts w:ascii="Times New Roman" w:hAnsi="Times New Roman" w:cs="Times New Roman"/>
          <w:sz w:val="24"/>
          <w:szCs w:val="24"/>
          <w:lang w:val="en-US"/>
        </w:rPr>
        <w:t xml:space="preserve"> </w:t>
      </w:r>
      <w:r w:rsidR="00663385">
        <w:rPr>
          <w:rFonts w:ascii="Times New Roman" w:hAnsi="Times New Roman" w:cs="Times New Roman"/>
          <w:sz w:val="24"/>
          <w:szCs w:val="24"/>
          <w:lang w:val="en-US"/>
        </w:rPr>
        <w:fldChar w:fldCharType="begin" w:fldLock="1"/>
      </w:r>
      <w:r w:rsidR="00663385">
        <w:rPr>
          <w:rFonts w:ascii="Times New Roman" w:hAnsi="Times New Roman" w:cs="Times New Roman"/>
          <w:sz w:val="24"/>
          <w:szCs w:val="24"/>
          <w:lang w:val="en-US"/>
        </w:rPr>
        <w:instrText>ADDIN CSL_CITATION {"citationItems":[{"id":"ITEM-1","itemData":{"DOI":"10.7554/eLife.00626","ISSN":"2050084X","abstract":"Transmission reduction is a key component of global efforts to control and eliminate malaria; yet, it is unclear how the density of transmission stages (gametocytes) influences infection (proportion of mosquitoes infected). Human to mosquito transmission was assessed using 171 direct mosquito feeding assays conducted in Burkina Faso and Kenya. Plasmodium falciparum infects Anopheles gambiae efficiently at low densities (4% mosquitoes at 1/μl blood), although substantially more (&gt;200/μl) are required to increase infection further. In a site in Burkina Faso, children harbour more gametocytes than adults though the non-linear relationship between gametocyte density and mosquito infection means that (per person) they only contribute slightly more to transmission. This method can be used to determine the reservoir of infection in different endemic settings. Interventions reducing gametocyte density need to be highly effective in order to halt human-mosquito transmission, although their use can be optimised by targeting those contributing the most to transmission. © Churcher et al.","author":[{"dropping-particle":"","family":"Churcher","given":"Thomas S.","non-dropping-particle":"","parse-names":false,"suffix":""},{"dropping-particle":"","family":"Bousema","given":"Teun","non-dropping-particle":"","parse-names":false,"suffix":""},{"dropping-particle":"","family":"Walker","given":"Martin","non-dropping-particle":"","parse-names":false,"suffix":""},{"dropping-particle":"","family":"Drakeley","given":"Chris","non-dropping-particle":"","parse-names":false,"suffix":""},{"dropping-particle":"","family":"Schneider","given":"Petra","non-dropping-particle":"","parse-names":false,"suffix":""},{"dropping-particle":"","family":"Ouédraogo","given":"André Lin","non-dropping-particle":"","parse-names":false,"suffix":""},{"dropping-particle":"","family":"Basáñez","given":"María Gloria","non-dropping-particle":"","parse-names":false,"suffix":""}],"container-title":"eLife","id":"ITEM-1","issued":{"date-parts":[["2013"]]},"title":"Predicting mosquito infection from Plasmodium falciparum gametocyte density and estimating the reservoir of infection","type":"article-journal"},"uris":["http://www.mendeley.com/documents/?uuid=3edb786f-0897-3d7c-8a5a-c600b6cb77dd"]}],"mendeley":{"formattedCitation":"(Churcher &lt;i&gt;et al.&lt;/i&gt;, 2013)","plainTextFormattedCitation":"(Churcher et al., 2013)","previouslyFormattedCitation":"(Churcher &lt;i&gt;et al.&lt;/i&gt;, 2013)"},"properties":{"noteIndex":0},"schema":"https://github.com/citation-style-language/schema/raw/master/csl-citation.json"}</w:instrText>
      </w:r>
      <w:r w:rsidR="00663385">
        <w:rPr>
          <w:rFonts w:ascii="Times New Roman" w:hAnsi="Times New Roman" w:cs="Times New Roman"/>
          <w:sz w:val="24"/>
          <w:szCs w:val="24"/>
          <w:lang w:val="en-US"/>
        </w:rPr>
        <w:fldChar w:fldCharType="separate"/>
      </w:r>
      <w:r w:rsidR="00663385" w:rsidRPr="00663385">
        <w:rPr>
          <w:rFonts w:ascii="Times New Roman" w:hAnsi="Times New Roman" w:cs="Times New Roman"/>
          <w:noProof/>
          <w:sz w:val="24"/>
          <w:szCs w:val="24"/>
          <w:lang w:val="en-US"/>
        </w:rPr>
        <w:t xml:space="preserve">(Churcher </w:t>
      </w:r>
      <w:r w:rsidR="00663385" w:rsidRPr="00663385">
        <w:rPr>
          <w:rFonts w:ascii="Times New Roman" w:hAnsi="Times New Roman" w:cs="Times New Roman"/>
          <w:i/>
          <w:noProof/>
          <w:sz w:val="24"/>
          <w:szCs w:val="24"/>
          <w:lang w:val="en-US"/>
        </w:rPr>
        <w:t>et al.</w:t>
      </w:r>
      <w:r w:rsidR="00663385" w:rsidRPr="00663385">
        <w:rPr>
          <w:rFonts w:ascii="Times New Roman" w:hAnsi="Times New Roman" w:cs="Times New Roman"/>
          <w:noProof/>
          <w:sz w:val="24"/>
          <w:szCs w:val="24"/>
          <w:lang w:val="en-US"/>
        </w:rPr>
        <w:t>, 2013)</w:t>
      </w:r>
      <w:r w:rsidR="00663385">
        <w:rPr>
          <w:rFonts w:ascii="Times New Roman" w:hAnsi="Times New Roman" w:cs="Times New Roman"/>
          <w:sz w:val="24"/>
          <w:szCs w:val="24"/>
          <w:lang w:val="en-US"/>
        </w:rPr>
        <w:fldChar w:fldCharType="end"/>
      </w:r>
      <w:r w:rsidR="00CE126D">
        <w:rPr>
          <w:rFonts w:ascii="Times New Roman" w:hAnsi="Times New Roman" w:cs="Times New Roman"/>
          <w:sz w:val="24"/>
          <w:szCs w:val="24"/>
          <w:lang w:val="en-US"/>
        </w:rPr>
        <w:t xml:space="preserve">. </w:t>
      </w:r>
    </w:p>
    <w:p w14:paraId="54B3BB32" w14:textId="77777777" w:rsidR="005C434E" w:rsidRPr="00CE126D" w:rsidRDefault="00044EB6" w:rsidP="004C43C4">
      <w:pPr>
        <w:spacing w:after="0" w:line="360" w:lineRule="auto"/>
        <w:ind w:firstLine="708"/>
        <w:jc w:val="both"/>
        <w:rPr>
          <w:rFonts w:ascii="Times New Roman" w:hAnsi="Times New Roman" w:cs="Times New Roman"/>
          <w:sz w:val="24"/>
          <w:szCs w:val="24"/>
          <w:lang w:val="en-US"/>
        </w:rPr>
      </w:pPr>
      <w:r w:rsidRPr="00CE126D">
        <w:rPr>
          <w:rFonts w:ascii="Times New Roman" w:hAnsi="Times New Roman" w:cs="Times New Roman"/>
          <w:sz w:val="24"/>
          <w:szCs w:val="24"/>
          <w:lang w:val="en-US"/>
        </w:rPr>
        <w:t>Second, s</w:t>
      </w:r>
      <w:r w:rsidR="0040716C" w:rsidRPr="00CE126D">
        <w:rPr>
          <w:rFonts w:ascii="Times New Roman" w:hAnsi="Times New Roman" w:cs="Times New Roman"/>
          <w:sz w:val="24"/>
          <w:szCs w:val="24"/>
          <w:lang w:val="en-US"/>
        </w:rPr>
        <w:t>imilar to assays using unchanged natural serum (isolates A to J), assays with serum replacement showed either increased (L,</w:t>
      </w:r>
      <w:r w:rsidR="00CE126D">
        <w:rPr>
          <w:rFonts w:ascii="Times New Roman" w:hAnsi="Times New Roman" w:cs="Times New Roman"/>
          <w:sz w:val="24"/>
          <w:szCs w:val="24"/>
          <w:lang w:val="en-US"/>
        </w:rPr>
        <w:t xml:space="preserve"> </w:t>
      </w:r>
      <w:r w:rsidR="0040716C" w:rsidRPr="00CE126D">
        <w:rPr>
          <w:rFonts w:ascii="Times New Roman" w:hAnsi="Times New Roman" w:cs="Times New Roman"/>
          <w:sz w:val="24"/>
          <w:szCs w:val="24"/>
          <w:lang w:val="en-US"/>
        </w:rPr>
        <w:t>N,</w:t>
      </w:r>
      <w:r w:rsidR="00CE126D">
        <w:rPr>
          <w:rFonts w:ascii="Times New Roman" w:hAnsi="Times New Roman" w:cs="Times New Roman"/>
          <w:sz w:val="24"/>
          <w:szCs w:val="24"/>
          <w:lang w:val="en-US"/>
        </w:rPr>
        <w:t xml:space="preserve"> </w:t>
      </w:r>
      <w:r w:rsidR="0040716C" w:rsidRPr="00CE126D">
        <w:rPr>
          <w:rFonts w:ascii="Times New Roman" w:hAnsi="Times New Roman" w:cs="Times New Roman"/>
          <w:sz w:val="24"/>
          <w:szCs w:val="24"/>
          <w:lang w:val="en-US"/>
        </w:rPr>
        <w:t>O,</w:t>
      </w:r>
      <w:r w:rsidR="00CE126D">
        <w:rPr>
          <w:rFonts w:ascii="Times New Roman" w:hAnsi="Times New Roman" w:cs="Times New Roman"/>
          <w:sz w:val="24"/>
          <w:szCs w:val="24"/>
          <w:lang w:val="en-US"/>
        </w:rPr>
        <w:t xml:space="preserve"> </w:t>
      </w:r>
      <w:r w:rsidR="0040716C" w:rsidRPr="00CE126D">
        <w:rPr>
          <w:rFonts w:ascii="Times New Roman" w:hAnsi="Times New Roman" w:cs="Times New Roman"/>
          <w:sz w:val="24"/>
          <w:szCs w:val="24"/>
          <w:lang w:val="en-US"/>
        </w:rPr>
        <w:t>P) or decreased (K,</w:t>
      </w:r>
      <w:r w:rsidR="00CE126D">
        <w:rPr>
          <w:rFonts w:ascii="Times New Roman" w:hAnsi="Times New Roman" w:cs="Times New Roman"/>
          <w:sz w:val="24"/>
          <w:szCs w:val="24"/>
          <w:lang w:val="en-US"/>
        </w:rPr>
        <w:t xml:space="preserve"> </w:t>
      </w:r>
      <w:r w:rsidR="0040716C" w:rsidRPr="00CE126D">
        <w:rPr>
          <w:rFonts w:ascii="Times New Roman" w:hAnsi="Times New Roman" w:cs="Times New Roman"/>
          <w:sz w:val="24"/>
          <w:szCs w:val="24"/>
          <w:lang w:val="en-US"/>
        </w:rPr>
        <w:t>M) infection in irradiated mosquitoes</w:t>
      </w:r>
      <w:r w:rsidRPr="00CE126D">
        <w:rPr>
          <w:rFonts w:ascii="Times New Roman" w:hAnsi="Times New Roman" w:cs="Times New Roman"/>
          <w:sz w:val="24"/>
          <w:szCs w:val="24"/>
          <w:lang w:val="en-US"/>
        </w:rPr>
        <w:t>. This suggests that natural transmission-blocking immunity is not a likely explanation for the observed inconstancies in the effect of irradiation on mosquito infection.</w:t>
      </w:r>
    </w:p>
    <w:p w14:paraId="0E2142CF" w14:textId="77777777" w:rsidR="008C0723" w:rsidRPr="00CE126D" w:rsidRDefault="008C0723" w:rsidP="004C43C4">
      <w:pPr>
        <w:spacing w:after="0" w:line="360" w:lineRule="auto"/>
        <w:ind w:firstLine="708"/>
        <w:jc w:val="both"/>
        <w:rPr>
          <w:rFonts w:ascii="Times New Roman" w:hAnsi="Times New Roman" w:cs="Times New Roman"/>
          <w:sz w:val="24"/>
          <w:szCs w:val="24"/>
          <w:lang w:val="en-US"/>
        </w:rPr>
      </w:pPr>
    </w:p>
    <w:p w14:paraId="2D0CCA47" w14:textId="77777777" w:rsidR="008C0723" w:rsidRDefault="008C0723" w:rsidP="004C43C4">
      <w:pPr>
        <w:spacing w:after="0" w:line="360" w:lineRule="auto"/>
        <w:jc w:val="both"/>
        <w:rPr>
          <w:rFonts w:ascii="Times New Roman" w:hAnsi="Times New Roman" w:cs="Times New Roman"/>
          <w:sz w:val="24"/>
          <w:szCs w:val="24"/>
          <w:lang w:val="en-US"/>
        </w:rPr>
      </w:pPr>
    </w:p>
    <w:p w14:paraId="5EB8DFC8" w14:textId="15CBA0CB" w:rsidR="001B40DB" w:rsidRPr="00CE126D" w:rsidRDefault="00447DC0" w:rsidP="004C43C4">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eastAsia="fr-FR"/>
        </w:rPr>
        <w:lastRenderedPageBreak/>
        <w:drawing>
          <wp:inline distT="0" distB="0" distL="0" distR="0" wp14:anchorId="55117B4D" wp14:editId="405847EA">
            <wp:extent cx="5760720" cy="326263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4.png"/>
                    <pic:cNvPicPr/>
                  </pic:nvPicPr>
                  <pic:blipFill>
                    <a:blip r:embed="rId6">
                      <a:extLst>
                        <a:ext uri="{28A0092B-C50C-407E-A947-70E740481C1C}">
                          <a14:useLocalDpi xmlns:a14="http://schemas.microsoft.com/office/drawing/2010/main" val="0"/>
                        </a:ext>
                      </a:extLst>
                    </a:blip>
                    <a:stretch>
                      <a:fillRect/>
                    </a:stretch>
                  </pic:blipFill>
                  <pic:spPr>
                    <a:xfrm>
                      <a:off x="0" y="0"/>
                      <a:ext cx="5760720" cy="3262630"/>
                    </a:xfrm>
                    <a:prstGeom prst="rect">
                      <a:avLst/>
                    </a:prstGeom>
                  </pic:spPr>
                </pic:pic>
              </a:graphicData>
            </a:graphic>
          </wp:inline>
        </w:drawing>
      </w:r>
    </w:p>
    <w:p w14:paraId="0F9ECA3F" w14:textId="419DD294" w:rsidR="0040716C" w:rsidRPr="00CE126D" w:rsidRDefault="008C0723" w:rsidP="004C43C4">
      <w:pPr>
        <w:spacing w:after="0" w:line="360" w:lineRule="auto"/>
        <w:jc w:val="both"/>
        <w:rPr>
          <w:rFonts w:ascii="Times New Roman" w:hAnsi="Times New Roman" w:cs="Times New Roman"/>
          <w:sz w:val="24"/>
          <w:szCs w:val="24"/>
          <w:lang w:val="en-US"/>
        </w:rPr>
      </w:pPr>
      <w:r w:rsidRPr="00C3244A">
        <w:rPr>
          <w:rFonts w:ascii="Times New Roman" w:hAnsi="Times New Roman" w:cs="Times New Roman"/>
          <w:b/>
          <w:sz w:val="24"/>
          <w:szCs w:val="24"/>
          <w:lang w:val="en-US"/>
        </w:rPr>
        <w:t>Figure S1:</w:t>
      </w:r>
      <w:r w:rsidRPr="00CE126D">
        <w:rPr>
          <w:rFonts w:ascii="Times New Roman" w:hAnsi="Times New Roman" w:cs="Times New Roman"/>
          <w:sz w:val="24"/>
          <w:szCs w:val="24"/>
          <w:lang w:val="en-US"/>
        </w:rPr>
        <w:t xml:space="preserve"> Relationship between Sporozoite prevalence and gametocytemia </w:t>
      </w:r>
      <w:r w:rsidR="00CF3CA4">
        <w:rPr>
          <w:rFonts w:ascii="Times New Roman" w:hAnsi="Times New Roman" w:cs="Times New Roman"/>
          <w:sz w:val="24"/>
          <w:szCs w:val="24"/>
          <w:lang w:val="en-US"/>
        </w:rPr>
        <w:t xml:space="preserve">or </w:t>
      </w:r>
      <w:r w:rsidR="00CF3CA4" w:rsidRPr="00CF3CA4">
        <w:rPr>
          <w:rFonts w:ascii="Times New Roman" w:hAnsi="Times New Roman" w:cs="Times New Roman"/>
          <w:sz w:val="24"/>
          <w:szCs w:val="24"/>
          <w:lang w:val="en-US"/>
        </w:rPr>
        <w:t xml:space="preserve">number of gametocytes / ul of blood </w:t>
      </w:r>
      <w:r w:rsidRPr="00CE126D">
        <w:rPr>
          <w:rFonts w:ascii="Times New Roman" w:hAnsi="Times New Roman" w:cs="Times New Roman"/>
          <w:sz w:val="24"/>
          <w:szCs w:val="24"/>
          <w:lang w:val="en-US"/>
        </w:rPr>
        <w:t>(</w:t>
      </w:r>
      <w:r w:rsidR="00447DC0">
        <w:rPr>
          <w:rFonts w:ascii="Times New Roman" w:hAnsi="Times New Roman" w:cs="Times New Roman"/>
          <w:sz w:val="24"/>
          <w:szCs w:val="24"/>
          <w:lang w:val="en-US"/>
        </w:rPr>
        <w:t>a</w:t>
      </w:r>
      <w:r w:rsidRPr="00CE126D">
        <w:rPr>
          <w:rFonts w:ascii="Times New Roman" w:hAnsi="Times New Roman" w:cs="Times New Roman"/>
          <w:sz w:val="24"/>
          <w:szCs w:val="24"/>
          <w:lang w:val="en-US"/>
        </w:rPr>
        <w:t>) and between C</w:t>
      </w:r>
      <w:r w:rsidR="00E71421">
        <w:rPr>
          <w:rFonts w:ascii="Times New Roman" w:hAnsi="Times New Roman" w:cs="Times New Roman"/>
          <w:sz w:val="24"/>
          <w:szCs w:val="24"/>
          <w:lang w:val="en-US"/>
        </w:rPr>
        <w:t>q</w:t>
      </w:r>
      <w:r w:rsidRPr="00CE126D">
        <w:rPr>
          <w:rFonts w:ascii="Times New Roman" w:hAnsi="Times New Roman" w:cs="Times New Roman"/>
          <w:sz w:val="24"/>
          <w:szCs w:val="24"/>
          <w:lang w:val="en-US"/>
        </w:rPr>
        <w:t xml:space="preserve"> and gametocytemia </w:t>
      </w:r>
      <w:r w:rsidR="00CF3CA4">
        <w:rPr>
          <w:rFonts w:ascii="Times New Roman" w:hAnsi="Times New Roman" w:cs="Times New Roman"/>
          <w:sz w:val="24"/>
          <w:szCs w:val="24"/>
          <w:lang w:val="en-US"/>
        </w:rPr>
        <w:t xml:space="preserve">or </w:t>
      </w:r>
      <w:r w:rsidR="00CF3CA4" w:rsidRPr="00CF3CA4">
        <w:rPr>
          <w:rFonts w:ascii="Times New Roman" w:hAnsi="Times New Roman" w:cs="Times New Roman"/>
          <w:sz w:val="24"/>
          <w:szCs w:val="24"/>
          <w:lang w:val="en-US"/>
        </w:rPr>
        <w:t xml:space="preserve">number of gametocytes / ul of blood </w:t>
      </w:r>
      <w:r w:rsidRPr="00CE126D">
        <w:rPr>
          <w:rFonts w:ascii="Times New Roman" w:hAnsi="Times New Roman" w:cs="Times New Roman"/>
          <w:sz w:val="24"/>
          <w:szCs w:val="24"/>
          <w:lang w:val="en-US"/>
        </w:rPr>
        <w:t>(</w:t>
      </w:r>
      <w:r w:rsidR="00447DC0">
        <w:rPr>
          <w:rFonts w:ascii="Times New Roman" w:hAnsi="Times New Roman" w:cs="Times New Roman"/>
          <w:sz w:val="24"/>
          <w:szCs w:val="24"/>
          <w:lang w:val="en-US"/>
        </w:rPr>
        <w:t>b</w:t>
      </w:r>
      <w:r w:rsidRPr="00CE126D">
        <w:rPr>
          <w:rFonts w:ascii="Times New Roman" w:hAnsi="Times New Roman" w:cs="Times New Roman"/>
          <w:sz w:val="24"/>
          <w:szCs w:val="24"/>
          <w:lang w:val="en-US"/>
        </w:rPr>
        <w:t xml:space="preserve">). </w:t>
      </w:r>
      <w:r w:rsidR="00CE126D">
        <w:rPr>
          <w:rFonts w:ascii="Times New Roman" w:hAnsi="Times New Roman" w:cs="Times New Roman"/>
          <w:sz w:val="24"/>
          <w:szCs w:val="24"/>
          <w:lang w:val="en-US"/>
        </w:rPr>
        <w:t>Blue lines indicates isolates for which the plasma was kept unchanged and black lines isolates with naïve AB serum.</w:t>
      </w:r>
    </w:p>
    <w:p w14:paraId="59C19E90" w14:textId="781EBAB1" w:rsidR="008C0723" w:rsidRPr="00CE126D" w:rsidRDefault="00447DC0" w:rsidP="004C43C4">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eastAsia="fr-FR"/>
        </w:rPr>
        <w:drawing>
          <wp:inline distT="0" distB="0" distL="0" distR="0" wp14:anchorId="4DECFD61" wp14:editId="303CFBB7">
            <wp:extent cx="5760720" cy="367538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3.png"/>
                    <pic:cNvPicPr/>
                  </pic:nvPicPr>
                  <pic:blipFill>
                    <a:blip r:embed="rId7">
                      <a:extLst>
                        <a:ext uri="{28A0092B-C50C-407E-A947-70E740481C1C}">
                          <a14:useLocalDpi xmlns:a14="http://schemas.microsoft.com/office/drawing/2010/main" val="0"/>
                        </a:ext>
                      </a:extLst>
                    </a:blip>
                    <a:stretch>
                      <a:fillRect/>
                    </a:stretch>
                  </pic:blipFill>
                  <pic:spPr>
                    <a:xfrm>
                      <a:off x="0" y="0"/>
                      <a:ext cx="5760720" cy="3675380"/>
                    </a:xfrm>
                    <a:prstGeom prst="rect">
                      <a:avLst/>
                    </a:prstGeom>
                  </pic:spPr>
                </pic:pic>
              </a:graphicData>
            </a:graphic>
          </wp:inline>
        </w:drawing>
      </w:r>
    </w:p>
    <w:p w14:paraId="73ECE5AF" w14:textId="77777777" w:rsidR="008C0723" w:rsidRPr="00CE126D" w:rsidRDefault="008C0723" w:rsidP="004C43C4">
      <w:pPr>
        <w:spacing w:after="0" w:line="360" w:lineRule="auto"/>
        <w:jc w:val="both"/>
        <w:rPr>
          <w:rFonts w:ascii="Times New Roman" w:hAnsi="Times New Roman" w:cs="Times New Roman"/>
          <w:sz w:val="24"/>
          <w:szCs w:val="24"/>
          <w:lang w:val="en-US"/>
        </w:rPr>
      </w:pPr>
    </w:p>
    <w:p w14:paraId="62344F93" w14:textId="42597D0C" w:rsidR="00CE126D" w:rsidRPr="00656362" w:rsidRDefault="00CE126D" w:rsidP="004C43C4">
      <w:pPr>
        <w:spacing w:after="0" w:line="360" w:lineRule="auto"/>
        <w:jc w:val="both"/>
        <w:rPr>
          <w:rFonts w:ascii="Times New Roman" w:hAnsi="Times New Roman" w:cs="Times New Roman"/>
          <w:sz w:val="24"/>
          <w:szCs w:val="24"/>
          <w:lang w:val="en-US"/>
        </w:rPr>
      </w:pPr>
      <w:r w:rsidRPr="00656362">
        <w:rPr>
          <w:rFonts w:ascii="Times New Roman" w:hAnsi="Times New Roman" w:cs="Times New Roman"/>
          <w:b/>
          <w:sz w:val="24"/>
          <w:szCs w:val="24"/>
          <w:lang w:val="en-US"/>
        </w:rPr>
        <w:t xml:space="preserve">Figure </w:t>
      </w:r>
      <w:r>
        <w:rPr>
          <w:rFonts w:ascii="Times New Roman" w:hAnsi="Times New Roman" w:cs="Times New Roman"/>
          <w:b/>
          <w:sz w:val="24"/>
          <w:szCs w:val="24"/>
          <w:lang w:val="en-US"/>
        </w:rPr>
        <w:t>S2</w:t>
      </w:r>
      <w:r w:rsidRPr="00656362">
        <w:rPr>
          <w:rFonts w:ascii="Times New Roman" w:hAnsi="Times New Roman" w:cs="Times New Roman"/>
          <w:b/>
          <w:sz w:val="24"/>
          <w:szCs w:val="24"/>
          <w:lang w:val="en-US"/>
        </w:rPr>
        <w:t xml:space="preserve">: </w:t>
      </w:r>
      <w:r w:rsidRPr="00CE126D">
        <w:rPr>
          <w:rFonts w:ascii="Times New Roman" w:hAnsi="Times New Roman" w:cs="Times New Roman"/>
          <w:sz w:val="24"/>
          <w:szCs w:val="24"/>
          <w:lang w:val="en-US"/>
        </w:rPr>
        <w:t xml:space="preserve">Effect of irradiation on </w:t>
      </w:r>
      <w:r>
        <w:rPr>
          <w:rFonts w:ascii="Times New Roman" w:hAnsi="Times New Roman" w:cs="Times New Roman"/>
          <w:sz w:val="24"/>
          <w:szCs w:val="24"/>
          <w:lang w:val="en-US"/>
        </w:rPr>
        <w:t>s</w:t>
      </w:r>
      <w:r w:rsidRPr="00CE126D">
        <w:rPr>
          <w:rFonts w:ascii="Times New Roman" w:hAnsi="Times New Roman" w:cs="Times New Roman"/>
          <w:sz w:val="24"/>
          <w:szCs w:val="24"/>
          <w:lang w:val="en-US"/>
        </w:rPr>
        <w:t>porozoite</w:t>
      </w:r>
      <w:r w:rsidRPr="00656362">
        <w:rPr>
          <w:rFonts w:ascii="Times New Roman" w:hAnsi="Times New Roman" w:cs="Times New Roman"/>
          <w:sz w:val="24"/>
          <w:szCs w:val="24"/>
          <w:lang w:val="en-US"/>
        </w:rPr>
        <w:t xml:space="preserve"> prevalence (± 95</w:t>
      </w:r>
      <w:r>
        <w:rPr>
          <w:rFonts w:ascii="Times New Roman" w:hAnsi="Times New Roman" w:cs="Times New Roman"/>
          <w:sz w:val="24"/>
          <w:szCs w:val="24"/>
          <w:lang w:val="en-US"/>
        </w:rPr>
        <w:t xml:space="preserve"> % CI) at </w:t>
      </w:r>
      <w:r w:rsidRPr="00656362">
        <w:rPr>
          <w:rFonts w:ascii="Times New Roman" w:hAnsi="Times New Roman" w:cs="Times New Roman"/>
          <w:sz w:val="24"/>
          <w:szCs w:val="24"/>
          <w:lang w:val="en-US"/>
        </w:rPr>
        <w:t xml:space="preserve">14 </w:t>
      </w:r>
      <w:r>
        <w:rPr>
          <w:rFonts w:ascii="Times New Roman" w:hAnsi="Times New Roman" w:cs="Times New Roman"/>
          <w:sz w:val="24"/>
          <w:szCs w:val="24"/>
          <w:lang w:val="en-US"/>
        </w:rPr>
        <w:t>dpbm (</w:t>
      </w:r>
      <w:r w:rsidR="00447DC0">
        <w:rPr>
          <w:rFonts w:ascii="Times New Roman" w:hAnsi="Times New Roman" w:cs="Times New Roman"/>
          <w:sz w:val="24"/>
          <w:szCs w:val="24"/>
          <w:lang w:val="en-US"/>
        </w:rPr>
        <w:t>a</w:t>
      </w:r>
      <w:r>
        <w:rPr>
          <w:rFonts w:ascii="Times New Roman" w:hAnsi="Times New Roman" w:cs="Times New Roman"/>
          <w:sz w:val="24"/>
          <w:szCs w:val="24"/>
          <w:lang w:val="en-US"/>
        </w:rPr>
        <w:t>)</w:t>
      </w:r>
      <w:r w:rsidRPr="00656362">
        <w:rPr>
          <w:rFonts w:ascii="Times New Roman" w:hAnsi="Times New Roman" w:cs="Times New Roman"/>
          <w:b/>
          <w:sz w:val="24"/>
          <w:szCs w:val="24"/>
          <w:lang w:val="en-US"/>
        </w:rPr>
        <w:t>,</w:t>
      </w:r>
      <w:r w:rsidRPr="00656362">
        <w:rPr>
          <w:rFonts w:ascii="Times New Roman" w:hAnsi="Times New Roman" w:cs="Times New Roman"/>
          <w:sz w:val="24"/>
          <w:szCs w:val="24"/>
          <w:lang w:val="en-US"/>
        </w:rPr>
        <w:t xml:space="preserve"> expressed as the number of mosquito head/thoraces detected positive to </w:t>
      </w:r>
      <w:r w:rsidRPr="00656362">
        <w:rPr>
          <w:rFonts w:ascii="Times New Roman" w:hAnsi="Times New Roman" w:cs="Times New Roman"/>
          <w:i/>
          <w:sz w:val="24"/>
          <w:szCs w:val="24"/>
          <w:lang w:val="en-US"/>
        </w:rPr>
        <w:t>Plasmodium falciparum</w:t>
      </w:r>
      <w:r w:rsidRPr="00656362">
        <w:rPr>
          <w:rFonts w:ascii="Times New Roman" w:hAnsi="Times New Roman" w:cs="Times New Roman"/>
          <w:sz w:val="24"/>
          <w:szCs w:val="24"/>
          <w:lang w:val="en-US"/>
        </w:rPr>
        <w:t xml:space="preserve"> using </w:t>
      </w:r>
      <w:r w:rsidRPr="00656362">
        <w:rPr>
          <w:rFonts w:ascii="Times New Roman" w:hAnsi="Times New Roman" w:cs="Times New Roman"/>
          <w:sz w:val="24"/>
          <w:szCs w:val="24"/>
          <w:lang w:val="en-US"/>
        </w:rPr>
        <w:lastRenderedPageBreak/>
        <w:t>qPCR out of the total number of dissected head/thoraces, for each treatmen</w:t>
      </w:r>
      <w:r>
        <w:rPr>
          <w:rFonts w:ascii="Times New Roman" w:hAnsi="Times New Roman" w:cs="Times New Roman"/>
          <w:sz w:val="24"/>
          <w:szCs w:val="24"/>
          <w:lang w:val="en-US"/>
        </w:rPr>
        <w:t>t and for 10 parasite isolates; and on s</w:t>
      </w:r>
      <w:r w:rsidRPr="00656362">
        <w:rPr>
          <w:rFonts w:ascii="Times New Roman" w:hAnsi="Times New Roman" w:cs="Times New Roman"/>
          <w:sz w:val="24"/>
          <w:szCs w:val="24"/>
          <w:lang w:val="en-US"/>
        </w:rPr>
        <w:t xml:space="preserve">porozoite intensity </w:t>
      </w:r>
      <w:r>
        <w:rPr>
          <w:rFonts w:ascii="Times New Roman" w:hAnsi="Times New Roman" w:cs="Times New Roman"/>
          <w:sz w:val="24"/>
          <w:szCs w:val="24"/>
          <w:lang w:val="en-US"/>
        </w:rPr>
        <w:t>at</w:t>
      </w:r>
      <w:r w:rsidRPr="00656362">
        <w:rPr>
          <w:rFonts w:ascii="Times New Roman" w:hAnsi="Times New Roman" w:cs="Times New Roman"/>
          <w:sz w:val="24"/>
          <w:szCs w:val="24"/>
          <w:lang w:val="en-US"/>
        </w:rPr>
        <w:t xml:space="preserve"> 14 </w:t>
      </w:r>
      <w:r>
        <w:rPr>
          <w:rFonts w:ascii="Times New Roman" w:hAnsi="Times New Roman" w:cs="Times New Roman"/>
          <w:sz w:val="24"/>
          <w:szCs w:val="24"/>
          <w:lang w:val="en-US"/>
        </w:rPr>
        <w:t>dpbm (</w:t>
      </w:r>
      <w:r w:rsidR="00447DC0">
        <w:rPr>
          <w:rFonts w:ascii="Times New Roman" w:hAnsi="Times New Roman" w:cs="Times New Roman"/>
          <w:sz w:val="24"/>
          <w:szCs w:val="24"/>
          <w:lang w:val="en-US"/>
        </w:rPr>
        <w:t>b</w:t>
      </w:r>
      <w:r>
        <w:rPr>
          <w:rFonts w:ascii="Times New Roman" w:hAnsi="Times New Roman" w:cs="Times New Roman"/>
          <w:sz w:val="24"/>
          <w:szCs w:val="24"/>
          <w:lang w:val="en-US"/>
        </w:rPr>
        <w:t>)</w:t>
      </w:r>
      <w:r w:rsidRPr="00656362">
        <w:rPr>
          <w:rFonts w:ascii="Times New Roman" w:hAnsi="Times New Roman" w:cs="Times New Roman"/>
          <w:sz w:val="24"/>
          <w:szCs w:val="24"/>
          <w:lang w:val="en-US"/>
        </w:rPr>
        <w:t>, expressed as t</w:t>
      </w:r>
      <w:r w:rsidRPr="00656362">
        <w:rPr>
          <w:rFonts w:ascii="Times New Roman" w:hAnsi="Times New Roman" w:cs="Times New Roman"/>
          <w:color w:val="000000"/>
          <w:sz w:val="24"/>
          <w:szCs w:val="24"/>
          <w:lang w:val="en-US"/>
        </w:rPr>
        <w:t xml:space="preserve">he mean number </w:t>
      </w:r>
      <w:r w:rsidRPr="00656362">
        <w:rPr>
          <w:rFonts w:ascii="Times New Roman" w:hAnsi="Times New Roman" w:cs="Times New Roman"/>
          <w:sz w:val="24"/>
          <w:szCs w:val="24"/>
          <w:lang w:val="en-US"/>
        </w:rPr>
        <w:t>(± se</w:t>
      </w:r>
      <w:r w:rsidRPr="00656362">
        <w:rPr>
          <w:rFonts w:ascii="Times New Roman" w:hAnsi="Times New Roman" w:cs="Times New Roman"/>
          <w:color w:val="000000" w:themeColor="text1"/>
          <w:kern w:val="24"/>
          <w:sz w:val="24"/>
          <w:szCs w:val="24"/>
          <w:lang w:val="en-US"/>
        </w:rPr>
        <w:t>) of amplification cycle during qPCR (the lower the C</w:t>
      </w:r>
      <w:r w:rsidR="00813E7C">
        <w:rPr>
          <w:rFonts w:ascii="Times New Roman" w:hAnsi="Times New Roman" w:cs="Times New Roman"/>
          <w:color w:val="000000" w:themeColor="text1"/>
          <w:kern w:val="24"/>
          <w:sz w:val="24"/>
          <w:szCs w:val="24"/>
          <w:lang w:val="en-US"/>
        </w:rPr>
        <w:t>q</w:t>
      </w:r>
      <w:r w:rsidRPr="00656362">
        <w:rPr>
          <w:rFonts w:ascii="Times New Roman" w:hAnsi="Times New Roman" w:cs="Times New Roman"/>
          <w:color w:val="000000" w:themeColor="text1"/>
          <w:kern w:val="24"/>
          <w:sz w:val="24"/>
          <w:szCs w:val="24"/>
          <w:lang w:val="en-US"/>
        </w:rPr>
        <w:t xml:space="preserve">, the higher the sporozoite intensity) </w:t>
      </w:r>
      <w:r w:rsidRPr="00656362">
        <w:rPr>
          <w:rFonts w:ascii="Times New Roman" w:hAnsi="Times New Roman" w:cs="Times New Roman"/>
          <w:sz w:val="24"/>
          <w:szCs w:val="24"/>
          <w:lang w:val="en-US"/>
        </w:rPr>
        <w:t xml:space="preserve">for each treatment and for 10 parasite isolates. </w:t>
      </w:r>
      <w:r>
        <w:rPr>
          <w:rFonts w:ascii="Times New Roman" w:hAnsi="Times New Roman" w:cs="Times New Roman"/>
          <w:sz w:val="24"/>
          <w:szCs w:val="24"/>
          <w:lang w:val="en-US"/>
        </w:rPr>
        <w:t xml:space="preserve">* denotes statistically significant difference (P value: 0.01&lt; * &lt; 0.05); NS: not significant. </w:t>
      </w:r>
    </w:p>
    <w:p w14:paraId="0BDDB4EA" w14:textId="77777777" w:rsidR="008C0723" w:rsidRDefault="008C0723" w:rsidP="004C43C4">
      <w:pPr>
        <w:spacing w:after="0" w:line="360" w:lineRule="auto"/>
        <w:jc w:val="both"/>
        <w:rPr>
          <w:rFonts w:ascii="Times New Roman" w:hAnsi="Times New Roman" w:cs="Times New Roman"/>
          <w:sz w:val="24"/>
          <w:szCs w:val="24"/>
          <w:lang w:val="en-US"/>
        </w:rPr>
      </w:pPr>
    </w:p>
    <w:p w14:paraId="537227CF" w14:textId="77777777" w:rsidR="00CE126D" w:rsidRPr="00CE126D" w:rsidRDefault="00CE126D" w:rsidP="004C43C4">
      <w:pPr>
        <w:spacing w:after="0" w:line="360" w:lineRule="auto"/>
        <w:jc w:val="both"/>
        <w:rPr>
          <w:rFonts w:ascii="Times New Roman" w:hAnsi="Times New Roman" w:cs="Times New Roman"/>
          <w:b/>
          <w:sz w:val="24"/>
          <w:szCs w:val="24"/>
          <w:lang w:val="en-US"/>
        </w:rPr>
      </w:pPr>
      <w:r w:rsidRPr="00CE126D">
        <w:rPr>
          <w:rFonts w:ascii="Times New Roman" w:hAnsi="Times New Roman" w:cs="Times New Roman"/>
          <w:b/>
          <w:sz w:val="24"/>
          <w:szCs w:val="24"/>
          <w:lang w:val="en-US"/>
        </w:rPr>
        <w:t>References</w:t>
      </w:r>
    </w:p>
    <w:p w14:paraId="5D6E0FE2" w14:textId="77777777" w:rsidR="00663385" w:rsidRPr="001B40DB" w:rsidRDefault="00663385" w:rsidP="004C43C4">
      <w:pPr>
        <w:widowControl w:val="0"/>
        <w:autoSpaceDE w:val="0"/>
        <w:autoSpaceDN w:val="0"/>
        <w:adjustRightInd w:val="0"/>
        <w:spacing w:after="0" w:line="360" w:lineRule="auto"/>
        <w:rPr>
          <w:rFonts w:ascii="Times New Roman" w:hAnsi="Times New Roman" w:cs="Times New Roman"/>
          <w:noProof/>
          <w:sz w:val="24"/>
          <w:szCs w:val="24"/>
          <w:lang w:val="en-US"/>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1B40DB">
        <w:rPr>
          <w:rFonts w:ascii="Times New Roman" w:hAnsi="Times New Roman" w:cs="Times New Roman"/>
          <w:noProof/>
          <w:sz w:val="24"/>
          <w:szCs w:val="24"/>
          <w:lang w:val="en-US"/>
        </w:rPr>
        <w:t xml:space="preserve">Bousema, T. </w:t>
      </w:r>
      <w:r w:rsidRPr="001B40DB">
        <w:rPr>
          <w:rFonts w:ascii="Times New Roman" w:hAnsi="Times New Roman" w:cs="Times New Roman"/>
          <w:i/>
          <w:iCs/>
          <w:noProof/>
          <w:sz w:val="24"/>
          <w:szCs w:val="24"/>
          <w:lang w:val="en-US"/>
        </w:rPr>
        <w:t>et al.</w:t>
      </w:r>
      <w:r w:rsidRPr="001B40DB">
        <w:rPr>
          <w:rFonts w:ascii="Times New Roman" w:hAnsi="Times New Roman" w:cs="Times New Roman"/>
          <w:noProof/>
          <w:sz w:val="24"/>
          <w:szCs w:val="24"/>
          <w:lang w:val="en-US"/>
        </w:rPr>
        <w:t xml:space="preserve"> (2011) ‘Human immune responses that reduce the transmission of Plasmodium falciparum in African populations’, </w:t>
      </w:r>
      <w:r w:rsidRPr="001B40DB">
        <w:rPr>
          <w:rFonts w:ascii="Times New Roman" w:hAnsi="Times New Roman" w:cs="Times New Roman"/>
          <w:i/>
          <w:iCs/>
          <w:noProof/>
          <w:sz w:val="24"/>
          <w:szCs w:val="24"/>
          <w:lang w:val="en-US"/>
        </w:rPr>
        <w:t>International Journal for Parasitology</w:t>
      </w:r>
      <w:r w:rsidRPr="001B40DB">
        <w:rPr>
          <w:rFonts w:ascii="Times New Roman" w:hAnsi="Times New Roman" w:cs="Times New Roman"/>
          <w:noProof/>
          <w:sz w:val="24"/>
          <w:szCs w:val="24"/>
          <w:lang w:val="en-US"/>
        </w:rPr>
        <w:t>. doi: 10.1016/j.ijpara.2010.09.008.</w:t>
      </w:r>
    </w:p>
    <w:p w14:paraId="62642937" w14:textId="77777777" w:rsidR="00663385" w:rsidRPr="001B40DB" w:rsidRDefault="00663385" w:rsidP="004C43C4">
      <w:pPr>
        <w:widowControl w:val="0"/>
        <w:autoSpaceDE w:val="0"/>
        <w:autoSpaceDN w:val="0"/>
        <w:adjustRightInd w:val="0"/>
        <w:spacing w:after="0" w:line="360" w:lineRule="auto"/>
        <w:rPr>
          <w:rFonts w:ascii="Times New Roman" w:hAnsi="Times New Roman" w:cs="Times New Roman"/>
          <w:noProof/>
          <w:sz w:val="24"/>
          <w:szCs w:val="24"/>
          <w:lang w:val="en-US"/>
        </w:rPr>
      </w:pPr>
      <w:r w:rsidRPr="00663385">
        <w:rPr>
          <w:rFonts w:ascii="Times New Roman" w:hAnsi="Times New Roman" w:cs="Times New Roman"/>
          <w:noProof/>
          <w:sz w:val="24"/>
          <w:szCs w:val="24"/>
        </w:rPr>
        <w:t xml:space="preserve">Churcher, T. S. </w:t>
      </w:r>
      <w:r w:rsidRPr="00663385">
        <w:rPr>
          <w:rFonts w:ascii="Times New Roman" w:hAnsi="Times New Roman" w:cs="Times New Roman"/>
          <w:i/>
          <w:iCs/>
          <w:noProof/>
          <w:sz w:val="24"/>
          <w:szCs w:val="24"/>
        </w:rPr>
        <w:t>et al.</w:t>
      </w:r>
      <w:r w:rsidRPr="00663385">
        <w:rPr>
          <w:rFonts w:ascii="Times New Roman" w:hAnsi="Times New Roman" w:cs="Times New Roman"/>
          <w:noProof/>
          <w:sz w:val="24"/>
          <w:szCs w:val="24"/>
        </w:rPr>
        <w:t xml:space="preserve"> </w:t>
      </w:r>
      <w:r w:rsidRPr="001B40DB">
        <w:rPr>
          <w:rFonts w:ascii="Times New Roman" w:hAnsi="Times New Roman" w:cs="Times New Roman"/>
          <w:noProof/>
          <w:sz w:val="24"/>
          <w:szCs w:val="24"/>
          <w:lang w:val="en-US"/>
        </w:rPr>
        <w:t xml:space="preserve">(2013) ‘Predicting mosquito infection from Plasmodium falciparum gametocyte density and estimating the reservoir of infection’, </w:t>
      </w:r>
      <w:r w:rsidRPr="001B40DB">
        <w:rPr>
          <w:rFonts w:ascii="Times New Roman" w:hAnsi="Times New Roman" w:cs="Times New Roman"/>
          <w:i/>
          <w:iCs/>
          <w:noProof/>
          <w:sz w:val="24"/>
          <w:szCs w:val="24"/>
          <w:lang w:val="en-US"/>
        </w:rPr>
        <w:t>eLife</w:t>
      </w:r>
      <w:r w:rsidRPr="001B40DB">
        <w:rPr>
          <w:rFonts w:ascii="Times New Roman" w:hAnsi="Times New Roman" w:cs="Times New Roman"/>
          <w:noProof/>
          <w:sz w:val="24"/>
          <w:szCs w:val="24"/>
          <w:lang w:val="en-US"/>
        </w:rPr>
        <w:t>. doi: 10.7554/eLife.00626.</w:t>
      </w:r>
    </w:p>
    <w:p w14:paraId="378E1433" w14:textId="77777777" w:rsidR="00663385" w:rsidRPr="00663385" w:rsidRDefault="00663385" w:rsidP="004C43C4">
      <w:pPr>
        <w:widowControl w:val="0"/>
        <w:autoSpaceDE w:val="0"/>
        <w:autoSpaceDN w:val="0"/>
        <w:adjustRightInd w:val="0"/>
        <w:spacing w:after="0" w:line="360" w:lineRule="auto"/>
        <w:rPr>
          <w:rFonts w:ascii="Times New Roman" w:hAnsi="Times New Roman" w:cs="Times New Roman"/>
          <w:noProof/>
          <w:sz w:val="24"/>
          <w:szCs w:val="24"/>
        </w:rPr>
      </w:pPr>
      <w:r w:rsidRPr="001B40DB">
        <w:rPr>
          <w:rFonts w:ascii="Times New Roman" w:hAnsi="Times New Roman" w:cs="Times New Roman"/>
          <w:noProof/>
          <w:sz w:val="24"/>
          <w:szCs w:val="24"/>
          <w:lang w:val="en-US"/>
        </w:rPr>
        <w:t xml:space="preserve">Da, D. F. </w:t>
      </w:r>
      <w:r w:rsidRPr="001B40DB">
        <w:rPr>
          <w:rFonts w:ascii="Times New Roman" w:hAnsi="Times New Roman" w:cs="Times New Roman"/>
          <w:i/>
          <w:iCs/>
          <w:noProof/>
          <w:sz w:val="24"/>
          <w:szCs w:val="24"/>
          <w:lang w:val="en-US"/>
        </w:rPr>
        <w:t>et al.</w:t>
      </w:r>
      <w:r w:rsidRPr="001B40DB">
        <w:rPr>
          <w:rFonts w:ascii="Times New Roman" w:hAnsi="Times New Roman" w:cs="Times New Roman"/>
          <w:noProof/>
          <w:sz w:val="24"/>
          <w:szCs w:val="24"/>
          <w:lang w:val="en-US"/>
        </w:rPr>
        <w:t xml:space="preserve"> (2015) ‘Experimental study of the relationship between </w:t>
      </w:r>
      <w:r w:rsidRPr="001B40DB">
        <w:rPr>
          <w:rFonts w:ascii="Times New Roman" w:hAnsi="Times New Roman" w:cs="Times New Roman"/>
          <w:i/>
          <w:iCs/>
          <w:noProof/>
          <w:sz w:val="24"/>
          <w:szCs w:val="24"/>
          <w:lang w:val="en-US"/>
        </w:rPr>
        <w:t>Plasmodium</w:t>
      </w:r>
      <w:r w:rsidRPr="001B40DB">
        <w:rPr>
          <w:rFonts w:ascii="Times New Roman" w:hAnsi="Times New Roman" w:cs="Times New Roman"/>
          <w:noProof/>
          <w:sz w:val="24"/>
          <w:szCs w:val="24"/>
          <w:lang w:val="en-US"/>
        </w:rPr>
        <w:t xml:space="preserve"> gametocyte density and infection success in mosquitoes: implications for the evaluation of malaria transmission-reducing interventions’, </w:t>
      </w:r>
      <w:r w:rsidRPr="001B40DB">
        <w:rPr>
          <w:rFonts w:ascii="Times New Roman" w:hAnsi="Times New Roman" w:cs="Times New Roman"/>
          <w:i/>
          <w:iCs/>
          <w:noProof/>
          <w:sz w:val="24"/>
          <w:szCs w:val="24"/>
          <w:lang w:val="en-US"/>
        </w:rPr>
        <w:t>Experimental Parasitology</w:t>
      </w:r>
      <w:r w:rsidRPr="001B40DB">
        <w:rPr>
          <w:rFonts w:ascii="Times New Roman" w:hAnsi="Times New Roman" w:cs="Times New Roman"/>
          <w:noProof/>
          <w:sz w:val="24"/>
          <w:szCs w:val="24"/>
          <w:lang w:val="en-US"/>
        </w:rPr>
        <w:t xml:space="preserve">. </w:t>
      </w:r>
      <w:r w:rsidRPr="00663385">
        <w:rPr>
          <w:rFonts w:ascii="Times New Roman" w:hAnsi="Times New Roman" w:cs="Times New Roman"/>
          <w:noProof/>
          <w:sz w:val="24"/>
          <w:szCs w:val="24"/>
        </w:rPr>
        <w:t>The Authors, 149, pp. 74–83. doi: 10.1016/j.exppara.2014.12.010.</w:t>
      </w:r>
    </w:p>
    <w:p w14:paraId="60A9AD9C" w14:textId="77777777" w:rsidR="00663385" w:rsidRPr="001B40DB" w:rsidRDefault="00663385" w:rsidP="004C43C4">
      <w:pPr>
        <w:widowControl w:val="0"/>
        <w:autoSpaceDE w:val="0"/>
        <w:autoSpaceDN w:val="0"/>
        <w:adjustRightInd w:val="0"/>
        <w:spacing w:after="0" w:line="360" w:lineRule="auto"/>
        <w:rPr>
          <w:rFonts w:ascii="Times New Roman" w:hAnsi="Times New Roman" w:cs="Times New Roman"/>
          <w:noProof/>
          <w:sz w:val="24"/>
          <w:szCs w:val="24"/>
          <w:lang w:val="en-US"/>
        </w:rPr>
      </w:pPr>
      <w:r w:rsidRPr="00663385">
        <w:rPr>
          <w:rFonts w:ascii="Times New Roman" w:hAnsi="Times New Roman" w:cs="Times New Roman"/>
          <w:noProof/>
          <w:sz w:val="24"/>
          <w:szCs w:val="24"/>
        </w:rPr>
        <w:t xml:space="preserve">Gouagna, L. C. </w:t>
      </w:r>
      <w:r w:rsidRPr="00663385">
        <w:rPr>
          <w:rFonts w:ascii="Times New Roman" w:hAnsi="Times New Roman" w:cs="Times New Roman"/>
          <w:i/>
          <w:iCs/>
          <w:noProof/>
          <w:sz w:val="24"/>
          <w:szCs w:val="24"/>
        </w:rPr>
        <w:t>et al.</w:t>
      </w:r>
      <w:r w:rsidRPr="00663385">
        <w:rPr>
          <w:rFonts w:ascii="Times New Roman" w:hAnsi="Times New Roman" w:cs="Times New Roman"/>
          <w:noProof/>
          <w:sz w:val="24"/>
          <w:szCs w:val="24"/>
        </w:rPr>
        <w:t xml:space="preserve"> </w:t>
      </w:r>
      <w:r w:rsidRPr="001B40DB">
        <w:rPr>
          <w:rFonts w:ascii="Times New Roman" w:hAnsi="Times New Roman" w:cs="Times New Roman"/>
          <w:noProof/>
          <w:sz w:val="24"/>
          <w:szCs w:val="24"/>
          <w:lang w:val="en-US"/>
        </w:rPr>
        <w:t xml:space="preserve">(2004) ‘Stage-specific effects of host plasma factors on the early sporogony of autologous </w:t>
      </w:r>
      <w:r w:rsidRPr="001B40DB">
        <w:rPr>
          <w:rFonts w:ascii="Times New Roman" w:hAnsi="Times New Roman" w:cs="Times New Roman"/>
          <w:i/>
          <w:iCs/>
          <w:noProof/>
          <w:sz w:val="24"/>
          <w:szCs w:val="24"/>
          <w:lang w:val="en-US"/>
        </w:rPr>
        <w:t>Plasmodium falciparum</w:t>
      </w:r>
      <w:r w:rsidRPr="001B40DB">
        <w:rPr>
          <w:rFonts w:ascii="Times New Roman" w:hAnsi="Times New Roman" w:cs="Times New Roman"/>
          <w:noProof/>
          <w:sz w:val="24"/>
          <w:szCs w:val="24"/>
          <w:lang w:val="en-US"/>
        </w:rPr>
        <w:t xml:space="preserve"> isolates within </w:t>
      </w:r>
      <w:r w:rsidRPr="001B40DB">
        <w:rPr>
          <w:rFonts w:ascii="Times New Roman" w:hAnsi="Times New Roman" w:cs="Times New Roman"/>
          <w:i/>
          <w:iCs/>
          <w:noProof/>
          <w:sz w:val="24"/>
          <w:szCs w:val="24"/>
          <w:lang w:val="en-US"/>
        </w:rPr>
        <w:t>Anopheles gambiae</w:t>
      </w:r>
      <w:r w:rsidRPr="001B40DB">
        <w:rPr>
          <w:rFonts w:ascii="Times New Roman" w:hAnsi="Times New Roman" w:cs="Times New Roman"/>
          <w:noProof/>
          <w:sz w:val="24"/>
          <w:szCs w:val="24"/>
          <w:lang w:val="en-US"/>
        </w:rPr>
        <w:t xml:space="preserve">’, </w:t>
      </w:r>
      <w:r w:rsidRPr="001B40DB">
        <w:rPr>
          <w:rFonts w:ascii="Times New Roman" w:hAnsi="Times New Roman" w:cs="Times New Roman"/>
          <w:i/>
          <w:iCs/>
          <w:noProof/>
          <w:sz w:val="24"/>
          <w:szCs w:val="24"/>
          <w:lang w:val="en-US"/>
        </w:rPr>
        <w:t>Tropical Medicine and International Health</w:t>
      </w:r>
      <w:r w:rsidRPr="001B40DB">
        <w:rPr>
          <w:rFonts w:ascii="Times New Roman" w:hAnsi="Times New Roman" w:cs="Times New Roman"/>
          <w:noProof/>
          <w:sz w:val="24"/>
          <w:szCs w:val="24"/>
          <w:lang w:val="en-US"/>
        </w:rPr>
        <w:t>, 9, pp. 937–948. doi: 10.1111/j.1365-3156.2004.01300.x.</w:t>
      </w:r>
    </w:p>
    <w:p w14:paraId="687625A4" w14:textId="77777777" w:rsidR="00663385" w:rsidRPr="001B40DB" w:rsidRDefault="00663385" w:rsidP="004C43C4">
      <w:pPr>
        <w:widowControl w:val="0"/>
        <w:autoSpaceDE w:val="0"/>
        <w:autoSpaceDN w:val="0"/>
        <w:adjustRightInd w:val="0"/>
        <w:spacing w:after="0" w:line="360" w:lineRule="auto"/>
        <w:rPr>
          <w:rFonts w:ascii="Times New Roman" w:hAnsi="Times New Roman" w:cs="Times New Roman"/>
          <w:noProof/>
          <w:sz w:val="24"/>
          <w:lang w:val="en-US"/>
        </w:rPr>
      </w:pPr>
      <w:r w:rsidRPr="00663385">
        <w:rPr>
          <w:rFonts w:ascii="Times New Roman" w:hAnsi="Times New Roman" w:cs="Times New Roman"/>
          <w:noProof/>
          <w:sz w:val="24"/>
          <w:szCs w:val="24"/>
        </w:rPr>
        <w:t xml:space="preserve">Stone, W. J. R. </w:t>
      </w:r>
      <w:r w:rsidRPr="00663385">
        <w:rPr>
          <w:rFonts w:ascii="Times New Roman" w:hAnsi="Times New Roman" w:cs="Times New Roman"/>
          <w:i/>
          <w:iCs/>
          <w:noProof/>
          <w:sz w:val="24"/>
          <w:szCs w:val="24"/>
        </w:rPr>
        <w:t>et al.</w:t>
      </w:r>
      <w:r w:rsidRPr="00663385">
        <w:rPr>
          <w:rFonts w:ascii="Times New Roman" w:hAnsi="Times New Roman" w:cs="Times New Roman"/>
          <w:noProof/>
          <w:sz w:val="24"/>
          <w:szCs w:val="24"/>
        </w:rPr>
        <w:t xml:space="preserve"> </w:t>
      </w:r>
      <w:r w:rsidRPr="001B40DB">
        <w:rPr>
          <w:rFonts w:ascii="Times New Roman" w:hAnsi="Times New Roman" w:cs="Times New Roman"/>
          <w:noProof/>
          <w:sz w:val="24"/>
          <w:szCs w:val="24"/>
          <w:lang w:val="en-US"/>
        </w:rPr>
        <w:t xml:space="preserve">(2018) ‘Unravelling the immune signature of Plasmodium falciparum transmission-reducing immunity’, </w:t>
      </w:r>
      <w:r w:rsidRPr="001B40DB">
        <w:rPr>
          <w:rFonts w:ascii="Times New Roman" w:hAnsi="Times New Roman" w:cs="Times New Roman"/>
          <w:i/>
          <w:iCs/>
          <w:noProof/>
          <w:sz w:val="24"/>
          <w:szCs w:val="24"/>
          <w:lang w:val="en-US"/>
        </w:rPr>
        <w:t>Nature Communications</w:t>
      </w:r>
      <w:r w:rsidRPr="001B40DB">
        <w:rPr>
          <w:rFonts w:ascii="Times New Roman" w:hAnsi="Times New Roman" w:cs="Times New Roman"/>
          <w:noProof/>
          <w:sz w:val="24"/>
          <w:szCs w:val="24"/>
          <w:lang w:val="en-US"/>
        </w:rPr>
        <w:t>. doi: 10.1038/s41467-017-02646-2.</w:t>
      </w:r>
    </w:p>
    <w:p w14:paraId="178EFAF8" w14:textId="77777777" w:rsidR="00CE126D" w:rsidRPr="00CE126D" w:rsidRDefault="00663385" w:rsidP="004C43C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bookmarkStart w:id="0" w:name="_GoBack"/>
      <w:bookmarkEnd w:id="0"/>
    </w:p>
    <w:sectPr w:rsidR="00CE126D" w:rsidRPr="00CE126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AB789" w14:textId="77777777" w:rsidR="002E5E8A" w:rsidRDefault="002E5E8A" w:rsidP="00663385">
      <w:pPr>
        <w:spacing w:after="0" w:line="240" w:lineRule="auto"/>
      </w:pPr>
      <w:r>
        <w:separator/>
      </w:r>
    </w:p>
  </w:endnote>
  <w:endnote w:type="continuationSeparator" w:id="0">
    <w:p w14:paraId="147B0B8E" w14:textId="77777777" w:rsidR="002E5E8A" w:rsidRDefault="002E5E8A" w:rsidP="00663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71BA1" w14:textId="77777777" w:rsidR="002E5E8A" w:rsidRDefault="002E5E8A" w:rsidP="00663385">
      <w:pPr>
        <w:spacing w:after="0" w:line="240" w:lineRule="auto"/>
      </w:pPr>
      <w:r>
        <w:separator/>
      </w:r>
    </w:p>
  </w:footnote>
  <w:footnote w:type="continuationSeparator" w:id="0">
    <w:p w14:paraId="5135B7BC" w14:textId="77777777" w:rsidR="002E5E8A" w:rsidRDefault="002E5E8A" w:rsidP="006633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16C"/>
    <w:rsid w:val="00030F30"/>
    <w:rsid w:val="00044EB6"/>
    <w:rsid w:val="0009322D"/>
    <w:rsid w:val="001B40DB"/>
    <w:rsid w:val="00211C4C"/>
    <w:rsid w:val="002E5E8A"/>
    <w:rsid w:val="003471B1"/>
    <w:rsid w:val="003F0250"/>
    <w:rsid w:val="0040716C"/>
    <w:rsid w:val="00447DC0"/>
    <w:rsid w:val="00453C57"/>
    <w:rsid w:val="0048319F"/>
    <w:rsid w:val="004C43C4"/>
    <w:rsid w:val="005179D6"/>
    <w:rsid w:val="005468B1"/>
    <w:rsid w:val="00551685"/>
    <w:rsid w:val="005711D3"/>
    <w:rsid w:val="005C434E"/>
    <w:rsid w:val="00602F29"/>
    <w:rsid w:val="00625F51"/>
    <w:rsid w:val="00663385"/>
    <w:rsid w:val="00736D2F"/>
    <w:rsid w:val="00763EF1"/>
    <w:rsid w:val="007757B0"/>
    <w:rsid w:val="00813E7C"/>
    <w:rsid w:val="00833538"/>
    <w:rsid w:val="0087508C"/>
    <w:rsid w:val="008C0723"/>
    <w:rsid w:val="00931907"/>
    <w:rsid w:val="00936288"/>
    <w:rsid w:val="00985E03"/>
    <w:rsid w:val="00A00E11"/>
    <w:rsid w:val="00A14475"/>
    <w:rsid w:val="00A42F27"/>
    <w:rsid w:val="00C3244A"/>
    <w:rsid w:val="00CA70FD"/>
    <w:rsid w:val="00CE126D"/>
    <w:rsid w:val="00CF3CA4"/>
    <w:rsid w:val="00DA4858"/>
    <w:rsid w:val="00DD1B84"/>
    <w:rsid w:val="00E13EE4"/>
    <w:rsid w:val="00E71421"/>
    <w:rsid w:val="00EB4145"/>
    <w:rsid w:val="00F27189"/>
    <w:rsid w:val="00F736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5C0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40716C"/>
    <w:rPr>
      <w:sz w:val="16"/>
      <w:szCs w:val="16"/>
    </w:rPr>
  </w:style>
  <w:style w:type="paragraph" w:styleId="Commentaire">
    <w:name w:val="annotation text"/>
    <w:basedOn w:val="Normal"/>
    <w:link w:val="CommentaireCar"/>
    <w:uiPriority w:val="99"/>
    <w:unhideWhenUsed/>
    <w:rsid w:val="0040716C"/>
    <w:pPr>
      <w:spacing w:line="240" w:lineRule="auto"/>
    </w:pPr>
    <w:rPr>
      <w:sz w:val="20"/>
      <w:szCs w:val="20"/>
      <w:lang w:val="en-US"/>
    </w:rPr>
  </w:style>
  <w:style w:type="character" w:customStyle="1" w:styleId="CommentaireCar">
    <w:name w:val="Commentaire Car"/>
    <w:basedOn w:val="Policepardfaut"/>
    <w:link w:val="Commentaire"/>
    <w:uiPriority w:val="99"/>
    <w:rsid w:val="0040716C"/>
    <w:rPr>
      <w:sz w:val="20"/>
      <w:szCs w:val="20"/>
      <w:lang w:val="en-US"/>
    </w:rPr>
  </w:style>
  <w:style w:type="paragraph" w:styleId="Textedebulles">
    <w:name w:val="Balloon Text"/>
    <w:basedOn w:val="Normal"/>
    <w:link w:val="TextedebullesCar"/>
    <w:uiPriority w:val="99"/>
    <w:semiHidden/>
    <w:unhideWhenUsed/>
    <w:rsid w:val="0040716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0716C"/>
    <w:rPr>
      <w:rFonts w:ascii="Segoe UI" w:hAnsi="Segoe UI" w:cs="Segoe UI"/>
      <w:sz w:val="18"/>
      <w:szCs w:val="18"/>
    </w:rPr>
  </w:style>
  <w:style w:type="paragraph" w:styleId="Notedebasdepage">
    <w:name w:val="footnote text"/>
    <w:basedOn w:val="Normal"/>
    <w:link w:val="NotedebasdepageCar"/>
    <w:uiPriority w:val="99"/>
    <w:semiHidden/>
    <w:unhideWhenUsed/>
    <w:rsid w:val="0066338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63385"/>
    <w:rPr>
      <w:sz w:val="20"/>
      <w:szCs w:val="20"/>
    </w:rPr>
  </w:style>
  <w:style w:type="character" w:styleId="Appelnotedebasdep">
    <w:name w:val="footnote reference"/>
    <w:basedOn w:val="Policepardfaut"/>
    <w:uiPriority w:val="99"/>
    <w:semiHidden/>
    <w:unhideWhenUsed/>
    <w:rsid w:val="00663385"/>
    <w:rPr>
      <w:vertAlign w:val="superscript"/>
    </w:rPr>
  </w:style>
  <w:style w:type="paragraph" w:styleId="En-tte">
    <w:name w:val="header"/>
    <w:basedOn w:val="Normal"/>
    <w:link w:val="En-tteCar"/>
    <w:uiPriority w:val="99"/>
    <w:unhideWhenUsed/>
    <w:rsid w:val="00C3244A"/>
    <w:pPr>
      <w:tabs>
        <w:tab w:val="center" w:pos="4536"/>
        <w:tab w:val="right" w:pos="9072"/>
      </w:tabs>
      <w:spacing w:after="0" w:line="240" w:lineRule="auto"/>
    </w:pPr>
  </w:style>
  <w:style w:type="character" w:customStyle="1" w:styleId="En-tteCar">
    <w:name w:val="En-tête Car"/>
    <w:basedOn w:val="Policepardfaut"/>
    <w:link w:val="En-tte"/>
    <w:uiPriority w:val="99"/>
    <w:rsid w:val="00C3244A"/>
  </w:style>
  <w:style w:type="paragraph" w:styleId="Pieddepage">
    <w:name w:val="footer"/>
    <w:basedOn w:val="Normal"/>
    <w:link w:val="PieddepageCar"/>
    <w:uiPriority w:val="99"/>
    <w:unhideWhenUsed/>
    <w:rsid w:val="00C3244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32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3574</Words>
  <Characters>19659</Characters>
  <Application>Microsoft Office Word</Application>
  <DocSecurity>0</DocSecurity>
  <Lines>163</Lines>
  <Paragraphs>46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2020-05-02T07:00:00Z</dcterms:created>
  <dcterms:modified xsi:type="dcterms:W3CDTF">2020-05-07T13:02:00Z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2dbe034c-f140-37d0-9d52-58e26fdd307a</vt:lpwstr>
  </property>
  <property fmtid="{D5CDD505-2E9C-101B-9397-08002B2CF9AE}" pid="4" name="Mendeley Citation Style_1">
    <vt:lpwstr>http://www.zotero.org/styles/harvard1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