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9B923" w14:textId="75F43A5B" w:rsidR="0012021A" w:rsidRPr="009614C4" w:rsidRDefault="00700F88" w:rsidP="009614C4">
      <w:pPr>
        <w:pStyle w:val="Heading1"/>
        <w:spacing w:line="36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Hlk27681907"/>
      <w:bookmarkEnd w:id="0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Additional file 1</w:t>
      </w:r>
    </w:p>
    <w:p w14:paraId="4019F798" w14:textId="77777777" w:rsidR="00C2036B" w:rsidRPr="009614C4" w:rsidRDefault="00C2036B" w:rsidP="009614C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3C4684" w14:textId="5E36ED95" w:rsidR="0082542F" w:rsidRPr="009614C4" w:rsidRDefault="009614C4" w:rsidP="009614C4">
      <w:pPr>
        <w:pStyle w:val="Heading2"/>
        <w:spacing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614C4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Ascaris: </w:t>
      </w:r>
      <w:r w:rsidR="0082542F" w:rsidRPr="009614C4">
        <w:rPr>
          <w:rFonts w:ascii="Times New Roman" w:hAnsi="Times New Roman" w:cs="Times New Roman"/>
          <w:b/>
          <w:bCs/>
          <w:color w:val="auto"/>
          <w:sz w:val="24"/>
          <w:szCs w:val="24"/>
        </w:rPr>
        <w:t>Observations from stochastic simulations</w:t>
      </w:r>
    </w:p>
    <w:p w14:paraId="4C6A1C61" w14:textId="356F993D" w:rsidR="0082542F" w:rsidRPr="009614C4" w:rsidRDefault="0082542F" w:rsidP="009614C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4C4">
        <w:rPr>
          <w:rFonts w:ascii="Times New Roman" w:hAnsi="Times New Roman" w:cs="Times New Roman"/>
          <w:sz w:val="24"/>
          <w:szCs w:val="24"/>
        </w:rPr>
        <w:t>At equilibrium, prevalence was a little over 30% in all villages for all compliance scenarios. After the cessation of treatment, village prevalence either recovered to equilibrium levels or decreased to zero, depending on whether the breakpoint in transmission wa</w:t>
      </w:r>
      <w:r w:rsidR="00F8236D" w:rsidRPr="009614C4">
        <w:rPr>
          <w:rFonts w:ascii="Times New Roman" w:hAnsi="Times New Roman" w:cs="Times New Roman"/>
          <w:sz w:val="24"/>
          <w:szCs w:val="24"/>
        </w:rPr>
        <w:t>s crossed</w:t>
      </w:r>
      <w:r w:rsidR="00081460" w:rsidRPr="009614C4">
        <w:rPr>
          <w:rFonts w:ascii="Times New Roman" w:hAnsi="Times New Roman" w:cs="Times New Roman"/>
          <w:sz w:val="24"/>
          <w:szCs w:val="24"/>
        </w:rPr>
        <w:t xml:space="preserve"> (= the unstable equilibrium).</w:t>
      </w:r>
      <w:r w:rsidRPr="009614C4">
        <w:rPr>
          <w:rFonts w:ascii="Times New Roman" w:hAnsi="Times New Roman" w:cs="Times New Roman"/>
          <w:sz w:val="24"/>
          <w:szCs w:val="24"/>
        </w:rPr>
        <w:t xml:space="preserve"> The proportion of villages achieving elimination was </w:t>
      </w:r>
      <w:r w:rsidR="00BB5CBA" w:rsidRPr="009614C4">
        <w:rPr>
          <w:rFonts w:ascii="Times New Roman" w:hAnsi="Times New Roman" w:cs="Times New Roman"/>
          <w:sz w:val="24"/>
          <w:szCs w:val="24"/>
        </w:rPr>
        <w:t>75.6</w:t>
      </w:r>
      <w:r w:rsidRPr="009614C4">
        <w:rPr>
          <w:rFonts w:ascii="Times New Roman" w:hAnsi="Times New Roman" w:cs="Times New Roman"/>
          <w:sz w:val="24"/>
          <w:szCs w:val="24"/>
        </w:rPr>
        <w:t xml:space="preserve">% under random compliance, </w:t>
      </w:r>
      <w:r w:rsidR="00BB5CBA" w:rsidRPr="009614C4">
        <w:rPr>
          <w:rFonts w:ascii="Times New Roman" w:hAnsi="Times New Roman" w:cs="Times New Roman"/>
          <w:sz w:val="24"/>
          <w:szCs w:val="24"/>
        </w:rPr>
        <w:t>65.7</w:t>
      </w:r>
      <w:r w:rsidRPr="009614C4">
        <w:rPr>
          <w:rFonts w:ascii="Times New Roman" w:hAnsi="Times New Roman" w:cs="Times New Roman"/>
          <w:sz w:val="24"/>
          <w:szCs w:val="24"/>
        </w:rPr>
        <w:t xml:space="preserve">% for semi-systematic, and </w:t>
      </w:r>
      <w:r w:rsidR="00BB5CBA" w:rsidRPr="009614C4">
        <w:rPr>
          <w:rFonts w:ascii="Times New Roman" w:hAnsi="Times New Roman" w:cs="Times New Roman"/>
          <w:sz w:val="24"/>
          <w:szCs w:val="24"/>
        </w:rPr>
        <w:t>43.2</w:t>
      </w:r>
      <w:r w:rsidRPr="009614C4">
        <w:rPr>
          <w:rFonts w:ascii="Times New Roman" w:hAnsi="Times New Roman" w:cs="Times New Roman"/>
          <w:sz w:val="24"/>
          <w:szCs w:val="24"/>
        </w:rPr>
        <w:t xml:space="preserve">% for systematic compliance </w:t>
      </w:r>
      <w:r w:rsidRPr="009614C4">
        <w:rPr>
          <w:rFonts w:ascii="Times New Roman" w:hAnsi="Times New Roman" w:cs="Times New Roman"/>
          <w:b/>
          <w:sz w:val="24"/>
          <w:szCs w:val="24"/>
        </w:rPr>
        <w:t xml:space="preserve">[Figures </w:t>
      </w:r>
      <w:r w:rsidR="00920A5E" w:rsidRPr="009614C4">
        <w:rPr>
          <w:rFonts w:ascii="Times New Roman" w:hAnsi="Times New Roman" w:cs="Times New Roman"/>
          <w:b/>
          <w:sz w:val="24"/>
          <w:szCs w:val="24"/>
        </w:rPr>
        <w:t>S</w:t>
      </w:r>
      <w:r w:rsidRPr="009614C4">
        <w:rPr>
          <w:rFonts w:ascii="Times New Roman" w:hAnsi="Times New Roman" w:cs="Times New Roman"/>
          <w:b/>
          <w:sz w:val="24"/>
          <w:szCs w:val="24"/>
        </w:rPr>
        <w:t>1</w:t>
      </w:r>
      <w:r w:rsidR="006944DB" w:rsidRPr="009614C4">
        <w:rPr>
          <w:rFonts w:ascii="Times New Roman" w:hAnsi="Times New Roman" w:cs="Times New Roman"/>
          <w:b/>
          <w:sz w:val="24"/>
          <w:szCs w:val="24"/>
        </w:rPr>
        <w:t>a-c</w:t>
      </w:r>
      <w:r w:rsidRPr="009614C4">
        <w:rPr>
          <w:rFonts w:ascii="Times New Roman" w:hAnsi="Times New Roman" w:cs="Times New Roman"/>
          <w:b/>
          <w:sz w:val="24"/>
          <w:szCs w:val="24"/>
        </w:rPr>
        <w:t>].</w:t>
      </w:r>
      <w:r w:rsidR="006944DB" w:rsidRPr="009614C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EE4189C" w14:textId="15568D75" w:rsidR="006944DB" w:rsidRPr="009614C4" w:rsidRDefault="006944DB" w:rsidP="009614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4C4">
        <w:rPr>
          <w:rFonts w:ascii="Times New Roman" w:hAnsi="Times New Roman" w:cs="Times New Roman"/>
          <w:sz w:val="24"/>
          <w:szCs w:val="24"/>
        </w:rPr>
        <w:t xml:space="preserve">Under random compliance, </w:t>
      </w:r>
      <w:r w:rsidRPr="009614C4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143089B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4.25pt" o:ole="">
            <v:imagedata r:id="rId8" o:title=""/>
          </v:shape>
          <o:OLEObject Type="Embed" ProgID="Equation.DSMT4" ShapeID="_x0000_i1025" DrawAspect="Content" ObjectID="_1651693262" r:id="rId9"/>
        </w:object>
      </w:r>
      <w:r w:rsidRPr="009614C4">
        <w:rPr>
          <w:rFonts w:ascii="Times New Roman" w:hAnsi="Times New Roman" w:cs="Times New Roman"/>
          <w:sz w:val="24"/>
          <w:szCs w:val="24"/>
        </w:rPr>
        <w:t xml:space="preserve"> decreased sharply to between</w:t>
      </w:r>
      <w:r w:rsidR="006E0EF0" w:rsidRPr="009614C4">
        <w:rPr>
          <w:rFonts w:ascii="Times New Roman" w:hAnsi="Times New Roman" w:cs="Times New Roman"/>
          <w:sz w:val="24"/>
          <w:szCs w:val="24"/>
        </w:rPr>
        <w:t xml:space="preserve"> 0.048</w:t>
      </w:r>
      <w:r w:rsidRPr="009614C4">
        <w:rPr>
          <w:rFonts w:ascii="Times New Roman" w:hAnsi="Times New Roman" w:cs="Times New Roman"/>
          <w:sz w:val="24"/>
          <w:szCs w:val="24"/>
        </w:rPr>
        <w:t xml:space="preserve"> and</w:t>
      </w:r>
      <w:r w:rsidR="006E0EF0" w:rsidRPr="009614C4">
        <w:rPr>
          <w:rFonts w:ascii="Times New Roman" w:hAnsi="Times New Roman" w:cs="Times New Roman"/>
          <w:sz w:val="24"/>
          <w:szCs w:val="24"/>
        </w:rPr>
        <w:t xml:space="preserve"> 0.099</w:t>
      </w:r>
      <w:r w:rsidRPr="009614C4">
        <w:rPr>
          <w:rFonts w:ascii="Times New Roman" w:hAnsi="Times New Roman" w:cs="Times New Roman"/>
          <w:sz w:val="24"/>
          <w:szCs w:val="24"/>
        </w:rPr>
        <w:t xml:space="preserve"> directly following each round of treatment, before returning to near-equilibrium levels almost immediately. Similar patters were also observed in both the systematic (range: </w:t>
      </w:r>
      <w:r w:rsidR="00C042E9" w:rsidRPr="009614C4">
        <w:rPr>
          <w:rFonts w:ascii="Times New Roman" w:hAnsi="Times New Roman" w:cs="Times New Roman"/>
          <w:sz w:val="24"/>
          <w:szCs w:val="24"/>
        </w:rPr>
        <w:t>0.048</w:t>
      </w:r>
      <w:r w:rsidRPr="009614C4">
        <w:rPr>
          <w:rFonts w:ascii="Times New Roman" w:hAnsi="Times New Roman" w:cs="Times New Roman"/>
          <w:sz w:val="24"/>
          <w:szCs w:val="24"/>
        </w:rPr>
        <w:t>-</w:t>
      </w:r>
      <w:r w:rsidR="00C042E9" w:rsidRPr="009614C4">
        <w:rPr>
          <w:rFonts w:ascii="Times New Roman" w:hAnsi="Times New Roman" w:cs="Times New Roman"/>
          <w:sz w:val="24"/>
          <w:szCs w:val="24"/>
        </w:rPr>
        <w:t xml:space="preserve"> 0.092</w:t>
      </w:r>
      <w:r w:rsidRPr="009614C4">
        <w:rPr>
          <w:rFonts w:ascii="Times New Roman" w:hAnsi="Times New Roman" w:cs="Times New Roman"/>
          <w:sz w:val="24"/>
          <w:szCs w:val="24"/>
        </w:rPr>
        <w:t xml:space="preserve">) and semi-systematic (range: </w:t>
      </w:r>
      <w:r w:rsidR="00C042E9" w:rsidRPr="009614C4">
        <w:rPr>
          <w:rFonts w:ascii="Times New Roman" w:hAnsi="Times New Roman" w:cs="Times New Roman"/>
          <w:sz w:val="24"/>
          <w:szCs w:val="24"/>
        </w:rPr>
        <w:t>0.051</w:t>
      </w:r>
      <w:r w:rsidRPr="009614C4">
        <w:rPr>
          <w:rFonts w:ascii="Times New Roman" w:hAnsi="Times New Roman" w:cs="Times New Roman"/>
          <w:sz w:val="24"/>
          <w:szCs w:val="24"/>
        </w:rPr>
        <w:t>-0.0</w:t>
      </w:r>
      <w:r w:rsidR="00C042E9" w:rsidRPr="009614C4">
        <w:rPr>
          <w:rFonts w:ascii="Times New Roman" w:hAnsi="Times New Roman" w:cs="Times New Roman"/>
          <w:sz w:val="24"/>
          <w:szCs w:val="24"/>
        </w:rPr>
        <w:t>92</w:t>
      </w:r>
      <w:r w:rsidRPr="009614C4">
        <w:rPr>
          <w:rFonts w:ascii="Times New Roman" w:hAnsi="Times New Roman" w:cs="Times New Roman"/>
          <w:sz w:val="24"/>
          <w:szCs w:val="24"/>
        </w:rPr>
        <w:t xml:space="preserve">) non-compliance scenarios. In all cases, the range in </w:t>
      </w:r>
      <w:r w:rsidRPr="009614C4">
        <w:rPr>
          <w:rFonts w:ascii="Times New Roman" w:hAnsi="Times New Roman" w:cs="Times New Roman"/>
          <w:i/>
          <w:sz w:val="24"/>
          <w:szCs w:val="24"/>
        </w:rPr>
        <w:t>k</w:t>
      </w:r>
      <w:r w:rsidRPr="009614C4">
        <w:rPr>
          <w:rFonts w:ascii="Times New Roman" w:hAnsi="Times New Roman" w:cs="Times New Roman"/>
          <w:sz w:val="24"/>
          <w:szCs w:val="24"/>
        </w:rPr>
        <w:t xml:space="preserve"> values increased slightly after each successive round of treatment. In villages where elimination of transmission was successful (the “breakpoint” in transmission was crossed), and prevalence declined towards zero, </w:t>
      </w:r>
      <w:r w:rsidRPr="009614C4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25203C40">
          <v:shape id="_x0000_i1026" type="#_x0000_t75" style="width:9.75pt;height:14.25pt" o:ole="">
            <v:imagedata r:id="rId10" o:title=""/>
          </v:shape>
          <o:OLEObject Type="Embed" ProgID="Equation.DSMT4" ShapeID="_x0000_i1026" DrawAspect="Content" ObjectID="_1651693263" r:id="rId11"/>
        </w:object>
      </w:r>
      <w:r w:rsidRPr="009614C4">
        <w:rPr>
          <w:rFonts w:ascii="Times New Roman" w:hAnsi="Times New Roman" w:cs="Times New Roman"/>
          <w:sz w:val="24"/>
          <w:szCs w:val="24"/>
        </w:rPr>
        <w:t xml:space="preserve"> tended to zero. In those villages which failed to reach elimination and suffered bounce-back in infection to pre-treatment equilibrium levels, </w:t>
      </w:r>
      <w:r w:rsidRPr="009614C4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60B42602">
          <v:shape id="_x0000_i1027" type="#_x0000_t75" style="width:9.75pt;height:14.25pt" o:ole="">
            <v:imagedata r:id="rId12" o:title=""/>
          </v:shape>
          <o:OLEObject Type="Embed" ProgID="Equation.DSMT4" ShapeID="_x0000_i1027" DrawAspect="Content" ObjectID="_1651693264" r:id="rId13"/>
        </w:object>
      </w:r>
      <w:r w:rsidRPr="009614C4">
        <w:rPr>
          <w:rFonts w:ascii="Times New Roman" w:hAnsi="Times New Roman" w:cs="Times New Roman"/>
          <w:sz w:val="24"/>
          <w:szCs w:val="24"/>
        </w:rPr>
        <w:t xml:space="preserve"> was observed to do the same. No significant difference between compliance schema with regards the duration of time required for </w:t>
      </w:r>
      <w:r w:rsidRPr="009614C4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7A2314DB">
          <v:shape id="_x0000_i1028" type="#_x0000_t75" style="width:9.75pt;height:14.25pt" o:ole="">
            <v:imagedata r:id="rId14" o:title=""/>
          </v:shape>
          <o:OLEObject Type="Embed" ProgID="Equation.DSMT4" ShapeID="_x0000_i1028" DrawAspect="Content" ObjectID="_1651693265" r:id="rId15"/>
        </w:object>
      </w:r>
      <w:r w:rsidRPr="009614C4">
        <w:rPr>
          <w:rFonts w:ascii="Times New Roman" w:hAnsi="Times New Roman" w:cs="Times New Roman"/>
          <w:sz w:val="24"/>
          <w:szCs w:val="24"/>
        </w:rPr>
        <w:t xml:space="preserve"> to return to pre-treatment equilibrium levels was observed </w:t>
      </w:r>
      <w:r w:rsidRPr="009614C4">
        <w:rPr>
          <w:rFonts w:ascii="Times New Roman" w:hAnsi="Times New Roman" w:cs="Times New Roman"/>
          <w:b/>
          <w:sz w:val="24"/>
          <w:szCs w:val="24"/>
        </w:rPr>
        <w:t>[Figures S</w:t>
      </w:r>
      <w:r w:rsidR="00D77E69" w:rsidRPr="009614C4">
        <w:rPr>
          <w:rFonts w:ascii="Times New Roman" w:hAnsi="Times New Roman" w:cs="Times New Roman"/>
          <w:b/>
          <w:sz w:val="24"/>
          <w:szCs w:val="24"/>
        </w:rPr>
        <w:t>1d-f</w:t>
      </w:r>
      <w:r w:rsidRPr="009614C4">
        <w:rPr>
          <w:rFonts w:ascii="Times New Roman" w:hAnsi="Times New Roman" w:cs="Times New Roman"/>
          <w:b/>
          <w:sz w:val="24"/>
          <w:szCs w:val="24"/>
        </w:rPr>
        <w:t>]</w:t>
      </w:r>
      <w:r w:rsidRPr="009614C4">
        <w:rPr>
          <w:rFonts w:ascii="Times New Roman" w:hAnsi="Times New Roman" w:cs="Times New Roman"/>
          <w:sz w:val="24"/>
          <w:szCs w:val="24"/>
        </w:rPr>
        <w:t>.</w:t>
      </w:r>
    </w:p>
    <w:p w14:paraId="1CB2D8B6" w14:textId="77777777" w:rsidR="006944DB" w:rsidRPr="009614C4" w:rsidRDefault="006944DB" w:rsidP="009614C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F59BA4" w14:textId="47B35E58" w:rsidR="00F84885" w:rsidRPr="009614C4" w:rsidRDefault="00CB3969" w:rsidP="009614C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4C4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473741CA" wp14:editId="78C88840">
            <wp:extent cx="5731510" cy="429895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0ABEC" w14:textId="347D823E" w:rsidR="00B15D40" w:rsidRPr="009614C4" w:rsidRDefault="00B15D40" w:rsidP="00C60F2C">
      <w:pPr>
        <w:pStyle w:val="Caption"/>
        <w:keepNext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4C4">
        <w:rPr>
          <w:rFonts w:ascii="Times New Roman" w:hAnsi="Times New Roman" w:cs="Times New Roman"/>
          <w:b/>
          <w:color w:val="auto"/>
          <w:sz w:val="24"/>
          <w:szCs w:val="24"/>
        </w:rPr>
        <w:t xml:space="preserve">Figure S1. </w:t>
      </w:r>
      <w:r w:rsidRPr="0029135B">
        <w:rPr>
          <w:rFonts w:ascii="Times New Roman" w:hAnsi="Times New Roman" w:cs="Times New Roman"/>
          <w:b/>
          <w:iCs w:val="0"/>
          <w:color w:val="auto"/>
          <w:sz w:val="24"/>
          <w:szCs w:val="24"/>
        </w:rPr>
        <w:t>A. lumbricoides</w:t>
      </w:r>
      <w:r w:rsidRPr="009614C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</w:t>
      </w:r>
      <w:r w:rsidRPr="009614C4">
        <w:rPr>
          <w:rFonts w:ascii="Times New Roman" w:hAnsi="Times New Roman" w:cs="Times New Roman"/>
          <w:b/>
          <w:color w:val="auto"/>
          <w:sz w:val="24"/>
          <w:szCs w:val="24"/>
        </w:rPr>
        <w:t>prevalence over time (a-c) and aggregation (parameter k) over time (d-f), in this plot we show 500 out of 1,000 simulated villages. a and d: Random non-compliance; b and e: Semi-systematic non-compliance; c and f: Fully systematic non-compliance.</w:t>
      </w:r>
    </w:p>
    <w:p w14:paraId="1DCF9AB2" w14:textId="18A6EB99" w:rsidR="0082542F" w:rsidRPr="009614C4" w:rsidRDefault="0082542F" w:rsidP="009614C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14C4">
        <w:rPr>
          <w:rFonts w:ascii="Times New Roman" w:hAnsi="Times New Roman" w:cs="Times New Roman"/>
          <w:sz w:val="24"/>
          <w:szCs w:val="24"/>
        </w:rPr>
        <w:t>The short- and long-term impact of treatment can also be observed in the age-prevalence surface plots. At equilibrium, prevalence was generally higher in pre-SAC and SAC than in adults. Treatment resulted in a decrease in prevalence amongst all age groups, with the greatest decrease observed in pre-SAC and SAC, in line with the coverage levels implemented in the models. In villages which did not reach elimination, and witnessed bounce-back to equilibrium prevalence levels, the expected age-prevalence profiles were observed, with prevalence amongst pre-SAC and SAC being higher than that for adults</w:t>
      </w:r>
      <w:r w:rsidR="00C45F50" w:rsidRPr="009614C4">
        <w:rPr>
          <w:rFonts w:ascii="Times New Roman" w:hAnsi="Times New Roman" w:cs="Times New Roman"/>
          <w:sz w:val="24"/>
          <w:szCs w:val="24"/>
        </w:rPr>
        <w:t xml:space="preserve"> </w:t>
      </w:r>
      <w:r w:rsidRPr="009614C4">
        <w:rPr>
          <w:rFonts w:ascii="Times New Roman" w:hAnsi="Times New Roman" w:cs="Times New Roman"/>
          <w:b/>
          <w:sz w:val="24"/>
          <w:szCs w:val="24"/>
        </w:rPr>
        <w:t xml:space="preserve">[Figures </w:t>
      </w:r>
      <w:r w:rsidR="00920A5E" w:rsidRPr="009614C4">
        <w:rPr>
          <w:rFonts w:ascii="Times New Roman" w:hAnsi="Times New Roman" w:cs="Times New Roman"/>
          <w:b/>
          <w:sz w:val="24"/>
          <w:szCs w:val="24"/>
        </w:rPr>
        <w:t>S2</w:t>
      </w:r>
      <w:r w:rsidRPr="009614C4">
        <w:rPr>
          <w:rFonts w:ascii="Times New Roman" w:hAnsi="Times New Roman" w:cs="Times New Roman"/>
          <w:b/>
          <w:sz w:val="24"/>
          <w:szCs w:val="24"/>
        </w:rPr>
        <w:t xml:space="preserve">]. </w:t>
      </w:r>
    </w:p>
    <w:p w14:paraId="0EAA74CF" w14:textId="111C9C8A" w:rsidR="00BF154D" w:rsidRPr="009614C4" w:rsidRDefault="00BF154D" w:rsidP="009614C4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614C4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5571B165" wp14:editId="0597744B">
            <wp:extent cx="4567339" cy="6524625"/>
            <wp:effectExtent l="0" t="0" r="508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059" cy="6525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333CD" w14:textId="11995891" w:rsidR="00782A3D" w:rsidRPr="00125258" w:rsidRDefault="006944DB" w:rsidP="009614C4">
      <w:pPr>
        <w:spacing w:line="36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12525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Figure S2. </w:t>
      </w:r>
      <w:r w:rsidR="00BF154D" w:rsidRPr="0012525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Age-prevalence over time for a selected village in which elimination of </w:t>
      </w:r>
      <w:r w:rsidR="00457C7B" w:rsidRPr="00457C7B">
        <w:rPr>
          <w:rFonts w:ascii="Times New Roman" w:hAnsi="Times New Roman" w:cs="Times New Roman"/>
          <w:b/>
          <w:i/>
          <w:iCs/>
          <w:sz w:val="24"/>
          <w:szCs w:val="24"/>
        </w:rPr>
        <w:t>A. lumbricoides</w:t>
      </w:r>
      <w:r w:rsidR="00BF154D" w:rsidRPr="0012525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infection was not achieved before mass drug administration was implemented</w:t>
      </w:r>
      <w:r w:rsidR="00700F8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BF154D" w:rsidRPr="00125258">
        <w:rPr>
          <w:rFonts w:ascii="Times New Roman" w:hAnsi="Times New Roman" w:cs="Times New Roman"/>
          <w:b/>
          <w:i/>
          <w:iCs/>
          <w:sz w:val="24"/>
          <w:szCs w:val="24"/>
        </w:rPr>
        <w:t>(</w:t>
      </w:r>
      <w:r w:rsidR="00700F88">
        <w:rPr>
          <w:rFonts w:ascii="Times New Roman" w:hAnsi="Times New Roman" w:cs="Times New Roman"/>
          <w:b/>
          <w:i/>
          <w:iCs/>
          <w:sz w:val="24"/>
          <w:szCs w:val="24"/>
        </w:rPr>
        <w:t>a</w:t>
      </w:r>
      <w:r w:rsidR="00BF154D" w:rsidRPr="00125258">
        <w:rPr>
          <w:rFonts w:ascii="Times New Roman" w:hAnsi="Times New Roman" w:cs="Times New Roman"/>
          <w:b/>
          <w:i/>
          <w:iCs/>
          <w:sz w:val="24"/>
          <w:szCs w:val="24"/>
        </w:rPr>
        <w:t>) and post-MDA and one in which elimination was not achieved (</w:t>
      </w:r>
      <w:r w:rsidR="00700F88">
        <w:rPr>
          <w:rFonts w:ascii="Times New Roman" w:hAnsi="Times New Roman" w:cs="Times New Roman"/>
          <w:b/>
          <w:i/>
          <w:iCs/>
          <w:sz w:val="24"/>
          <w:szCs w:val="24"/>
        </w:rPr>
        <w:t>b</w:t>
      </w:r>
      <w:r w:rsidR="00BF154D" w:rsidRPr="00125258">
        <w:rPr>
          <w:rFonts w:ascii="Times New Roman" w:hAnsi="Times New Roman" w:cs="Times New Roman"/>
          <w:b/>
          <w:i/>
          <w:iCs/>
          <w:sz w:val="24"/>
          <w:szCs w:val="24"/>
        </w:rPr>
        <w:t>). Age groups (years): “1”: 0-5; “2”: 6-10; “3”: 11-15; “4”: 16-30; “5”: 31-50; “6”: 51+.</w:t>
      </w:r>
    </w:p>
    <w:p w14:paraId="0ECBC81A" w14:textId="7F3877ED" w:rsidR="006944DB" w:rsidRPr="009614C4" w:rsidRDefault="00782A3D" w:rsidP="009614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4C4">
        <w:rPr>
          <w:rFonts w:ascii="Times New Roman" w:hAnsi="Times New Roman" w:cs="Times New Roman"/>
          <w:b/>
          <w:sz w:val="24"/>
          <w:szCs w:val="24"/>
        </w:rPr>
        <w:br w:type="column"/>
      </w:r>
      <w:r w:rsidR="00E93F0A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39A6432C" wp14:editId="48BDF09B">
            <wp:extent cx="5903921" cy="3013911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381" cy="3040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44E4CC" w14:textId="39C43ADB" w:rsidR="006944DB" w:rsidRPr="009614C4" w:rsidRDefault="002C5C35" w:rsidP="009614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4C4">
        <w:rPr>
          <w:rFonts w:ascii="Times New Roman" w:hAnsi="Times New Roman" w:cs="Times New Roman"/>
          <w:b/>
          <w:i/>
          <w:iCs/>
          <w:sz w:val="24"/>
          <w:szCs w:val="24"/>
        </w:rPr>
        <w:t>Figure S3</w:t>
      </w:r>
      <w:r w:rsidR="00FA3EA5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  <w:r w:rsidRPr="009614C4">
        <w:rPr>
          <w:rFonts w:ascii="Times New Roman" w:hAnsi="Times New Roman" w:cs="Times New Roman"/>
          <w:sz w:val="24"/>
          <w:szCs w:val="24"/>
        </w:rPr>
        <w:t xml:space="preserve"> </w:t>
      </w:r>
      <w:r w:rsidR="00E93F0A" w:rsidRPr="00E93F0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The proportion of individuals who still harbour worms, either hookworm (a) or A. lumbricoides (b) after each round of mass drug administration (T1-5) for random compliance, semi-systematic </w:t>
      </w:r>
      <w:proofErr w:type="gramStart"/>
      <w:r w:rsidR="00E93F0A" w:rsidRPr="00E93F0A">
        <w:rPr>
          <w:rFonts w:ascii="Times New Roman" w:hAnsi="Times New Roman" w:cs="Times New Roman"/>
          <w:b/>
          <w:i/>
          <w:iCs/>
          <w:sz w:val="24"/>
          <w:szCs w:val="24"/>
        </w:rPr>
        <w:t>compliance</w:t>
      </w:r>
      <w:proofErr w:type="gramEnd"/>
      <w:r w:rsidR="00E93F0A" w:rsidRPr="00E93F0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and systematic compliance.</w:t>
      </w:r>
    </w:p>
    <w:p w14:paraId="7E5D3521" w14:textId="0CC7D0E1" w:rsidR="005D1A84" w:rsidRPr="009614C4" w:rsidRDefault="00A3604D" w:rsidP="009614C4">
      <w:pPr>
        <w:spacing w:line="360" w:lineRule="auto"/>
        <w:rPr>
          <w:rFonts w:ascii="Times New Roman" w:hAnsi="Times New Roman" w:cs="Times New Roman"/>
          <w:noProof/>
          <w:color w:val="FF0000"/>
          <w:sz w:val="24"/>
          <w:szCs w:val="24"/>
        </w:rPr>
      </w:pPr>
      <w:r w:rsidRPr="009614C4">
        <w:rPr>
          <w:rFonts w:ascii="Times New Roman" w:hAnsi="Times New Roman" w:cs="Times New Roman"/>
          <w:noProof/>
          <w:color w:val="FF0000"/>
          <w:sz w:val="24"/>
          <w:szCs w:val="24"/>
        </w:rPr>
        <w:br w:type="column"/>
      </w:r>
    </w:p>
    <w:p w14:paraId="2154C387" w14:textId="598A462A" w:rsidR="00A3604D" w:rsidRPr="009614C4" w:rsidRDefault="00907446" w:rsidP="009614C4">
      <w:pPr>
        <w:spacing w:line="360" w:lineRule="auto"/>
        <w:rPr>
          <w:rFonts w:ascii="Times New Roman" w:hAnsi="Times New Roman" w:cs="Times New Roman"/>
          <w:noProof/>
          <w:color w:val="FF0000"/>
          <w:sz w:val="24"/>
          <w:szCs w:val="24"/>
        </w:rPr>
      </w:pPr>
      <w:r w:rsidRPr="009614C4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8B2AFB9" wp14:editId="5EEED410">
            <wp:extent cx="5731510" cy="229235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567F9" w14:textId="3197FA53" w:rsidR="00907446" w:rsidRPr="009614C4" w:rsidRDefault="00907446" w:rsidP="009614C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614C4">
        <w:rPr>
          <w:rFonts w:ascii="Times New Roman" w:hAnsi="Times New Roman" w:cs="Times New Roman"/>
          <w:b/>
          <w:sz w:val="24"/>
          <w:szCs w:val="24"/>
        </w:rPr>
        <w:t>Figure S4. The proportion of i</w:t>
      </w:r>
      <w:r w:rsidRPr="001867DD">
        <w:rPr>
          <w:rFonts w:ascii="Times New Roman" w:hAnsi="Times New Roman" w:cs="Times New Roman"/>
          <w:b/>
          <w:sz w:val="24"/>
          <w:szCs w:val="24"/>
        </w:rPr>
        <w:t>ndividuals who harbour both male and female worms</w:t>
      </w:r>
      <w:r w:rsidR="001867DD" w:rsidRPr="001867DD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867DD" w:rsidRPr="001867DD">
        <w:rPr>
          <w:rFonts w:ascii="Times New Roman" w:hAnsi="Times New Roman" w:cs="Times New Roman"/>
          <w:b/>
          <w:i/>
          <w:sz w:val="24"/>
          <w:szCs w:val="24"/>
        </w:rPr>
        <w:t>A. lumbricoides</w:t>
      </w:r>
      <w:r w:rsidR="001867DD" w:rsidRPr="001867DD">
        <w:rPr>
          <w:rFonts w:ascii="Times New Roman" w:hAnsi="Times New Roman" w:cs="Times New Roman"/>
          <w:b/>
          <w:sz w:val="24"/>
          <w:szCs w:val="24"/>
        </w:rPr>
        <w:t>)</w:t>
      </w:r>
      <w:r w:rsidRPr="001867DD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Pr="009614C4">
        <w:rPr>
          <w:rFonts w:ascii="Times New Roman" w:hAnsi="Times New Roman" w:cs="Times New Roman"/>
          <w:b/>
          <w:sz w:val="24"/>
          <w:szCs w:val="24"/>
        </w:rPr>
        <w:t xml:space="preserve">produce fertile eggs (grey shaded </w:t>
      </w:r>
      <w:proofErr w:type="spellStart"/>
      <w:r w:rsidRPr="009614C4">
        <w:rPr>
          <w:rFonts w:ascii="Times New Roman" w:hAnsi="Times New Roman" w:cs="Times New Roman"/>
          <w:b/>
          <w:sz w:val="24"/>
          <w:szCs w:val="24"/>
        </w:rPr>
        <w:t>color</w:t>
      </w:r>
      <w:proofErr w:type="spellEnd"/>
      <w:r w:rsidRPr="009614C4">
        <w:rPr>
          <w:rFonts w:ascii="Times New Roman" w:hAnsi="Times New Roman" w:cs="Times New Roman"/>
          <w:b/>
          <w:sz w:val="24"/>
          <w:szCs w:val="24"/>
        </w:rPr>
        <w:t xml:space="preserve">) and the proportion of individuals who harbour either only male or only females worms and produce no fertile eggs (orange shaded </w:t>
      </w:r>
      <w:proofErr w:type="spellStart"/>
      <w:r w:rsidRPr="009614C4">
        <w:rPr>
          <w:rFonts w:ascii="Times New Roman" w:hAnsi="Times New Roman" w:cs="Times New Roman"/>
          <w:b/>
          <w:sz w:val="24"/>
          <w:szCs w:val="24"/>
        </w:rPr>
        <w:t>color</w:t>
      </w:r>
      <w:proofErr w:type="spellEnd"/>
      <w:r w:rsidRPr="009614C4">
        <w:rPr>
          <w:rFonts w:ascii="Times New Roman" w:hAnsi="Times New Roman" w:cs="Times New Roman"/>
          <w:b/>
          <w:sz w:val="24"/>
          <w:szCs w:val="24"/>
        </w:rPr>
        <w:t>) for random compliance (a), semi-systematic compliance (b) and systematic compliance (c).</w:t>
      </w:r>
    </w:p>
    <w:p w14:paraId="1B13D5C2" w14:textId="62FC4539" w:rsidR="00A3604D" w:rsidRPr="009614C4" w:rsidRDefault="00A3604D" w:rsidP="009614C4">
      <w:pPr>
        <w:spacing w:line="360" w:lineRule="auto"/>
        <w:rPr>
          <w:rFonts w:ascii="Times New Roman" w:hAnsi="Times New Roman" w:cs="Times New Roman"/>
          <w:noProof/>
          <w:color w:val="FF0000"/>
          <w:sz w:val="24"/>
          <w:szCs w:val="24"/>
        </w:rPr>
      </w:pPr>
    </w:p>
    <w:p w14:paraId="0CFB06CF" w14:textId="77777777" w:rsidR="00907446" w:rsidRPr="0029135B" w:rsidRDefault="00907446" w:rsidP="009614C4">
      <w:pPr>
        <w:pStyle w:val="Heading2"/>
        <w:spacing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9135B">
        <w:rPr>
          <w:rFonts w:ascii="Times New Roman" w:hAnsi="Times New Roman" w:cs="Times New Roman"/>
          <w:b/>
          <w:bCs/>
          <w:color w:val="auto"/>
          <w:sz w:val="24"/>
          <w:szCs w:val="24"/>
        </w:rPr>
        <w:t>Theory applied to stochastic simulations</w:t>
      </w:r>
    </w:p>
    <w:p w14:paraId="1540DC56" w14:textId="455B421A" w:rsidR="00907446" w:rsidRPr="009614C4" w:rsidRDefault="00907446" w:rsidP="009614C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4C4">
        <w:rPr>
          <w:rFonts w:ascii="Times New Roman" w:hAnsi="Times New Roman" w:cs="Times New Roman"/>
          <w:sz w:val="24"/>
          <w:szCs w:val="24"/>
        </w:rPr>
        <w:t xml:space="preserve">The impact of MDA on the degree of aggregation was found to be described well by a simple probability model (see S1). A strong association was seen between the mean worm burden, variance in worm numbers, and </w:t>
      </w:r>
      <w:r w:rsidRPr="009614C4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4418F851">
          <v:shape id="_x0000_i1029" type="#_x0000_t75" style="width:9.75pt;height:14.25pt" o:ole="">
            <v:imagedata r:id="rId20" o:title=""/>
          </v:shape>
          <o:OLEObject Type="Embed" ProgID="Equation.DSMT4" ShapeID="_x0000_i1029" DrawAspect="Content" ObjectID="_1651693266" r:id="rId21"/>
        </w:object>
      </w:r>
      <w:r w:rsidRPr="009614C4">
        <w:rPr>
          <w:rFonts w:ascii="Times New Roman" w:hAnsi="Times New Roman" w:cs="Times New Roman"/>
          <w:sz w:val="24"/>
          <w:szCs w:val="24"/>
        </w:rPr>
        <w:t xml:space="preserve"> values observed from the stochastic simulations immediately post-treatment and those expected under the equations defined in the SI material</w:t>
      </w:r>
      <w:r w:rsidR="00DF260E" w:rsidRPr="009614C4">
        <w:rPr>
          <w:rFonts w:ascii="Times New Roman" w:hAnsi="Times New Roman" w:cs="Times New Roman"/>
          <w:sz w:val="24"/>
          <w:szCs w:val="24"/>
        </w:rPr>
        <w:t xml:space="preserve"> [Figure S2.6]</w:t>
      </w:r>
      <w:r w:rsidRPr="009614C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F87C12" w14:textId="3F2A954D" w:rsidR="00A3604D" w:rsidRPr="009614C4" w:rsidRDefault="004A4FE1" w:rsidP="009614C4">
      <w:pPr>
        <w:spacing w:line="360" w:lineRule="auto"/>
        <w:rPr>
          <w:rFonts w:ascii="Times New Roman" w:hAnsi="Times New Roman" w:cs="Times New Roman"/>
          <w:noProof/>
          <w:color w:val="FF0000"/>
          <w:sz w:val="24"/>
          <w:szCs w:val="24"/>
        </w:rPr>
      </w:pPr>
      <w:r w:rsidRPr="009614C4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76C557D5" wp14:editId="400ABEF7">
            <wp:extent cx="5731510" cy="28657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412D7" w14:textId="0EA76097" w:rsidR="00247589" w:rsidRPr="00A50CA3" w:rsidRDefault="00C50149" w:rsidP="00A50CA3">
      <w:pPr>
        <w:pStyle w:val="Caption"/>
        <w:spacing w:line="360" w:lineRule="auto"/>
        <w:rPr>
          <w:rFonts w:ascii="Times New Roman" w:hAnsi="Times New Roman" w:cs="Times New Roman"/>
          <w:b/>
          <w:noProof/>
          <w:color w:val="auto"/>
          <w:sz w:val="24"/>
          <w:szCs w:val="24"/>
        </w:rPr>
      </w:pPr>
      <w:r w:rsidRPr="009614C4">
        <w:rPr>
          <w:rFonts w:ascii="Times New Roman" w:hAnsi="Times New Roman" w:cs="Times New Roman"/>
          <w:b/>
          <w:color w:val="auto"/>
          <w:sz w:val="24"/>
          <w:szCs w:val="24"/>
        </w:rPr>
        <w:t>Figure S</w:t>
      </w:r>
      <w:r w:rsidR="00F521E0" w:rsidRPr="009614C4">
        <w:rPr>
          <w:rFonts w:ascii="Times New Roman" w:hAnsi="Times New Roman" w:cs="Times New Roman"/>
          <w:b/>
          <w:color w:val="auto"/>
          <w:sz w:val="24"/>
          <w:szCs w:val="24"/>
        </w:rPr>
        <w:t>5</w:t>
      </w:r>
      <w:r w:rsidRPr="009614C4">
        <w:rPr>
          <w:rFonts w:ascii="Times New Roman" w:hAnsi="Times New Roman" w:cs="Times New Roman"/>
          <w:b/>
          <w:color w:val="auto"/>
          <w:sz w:val="24"/>
          <w:szCs w:val="24"/>
        </w:rPr>
        <w:fldChar w:fldCharType="begin"/>
      </w:r>
      <w:r w:rsidRPr="009614C4">
        <w:rPr>
          <w:rFonts w:ascii="Times New Roman" w:hAnsi="Times New Roman" w:cs="Times New Roman"/>
          <w:b/>
          <w:color w:val="auto"/>
          <w:sz w:val="24"/>
          <w:szCs w:val="24"/>
        </w:rPr>
        <w:instrText xml:space="preserve"> SEQ Figure \* ARABIC </w:instrText>
      </w:r>
      <w:r w:rsidRPr="009614C4">
        <w:rPr>
          <w:rFonts w:ascii="Times New Roman" w:hAnsi="Times New Roman" w:cs="Times New Roman"/>
          <w:b/>
          <w:color w:val="auto"/>
          <w:sz w:val="24"/>
          <w:szCs w:val="24"/>
        </w:rPr>
        <w:fldChar w:fldCharType="end"/>
      </w:r>
      <w:r w:rsidRPr="009614C4">
        <w:rPr>
          <w:rFonts w:ascii="Times New Roman" w:hAnsi="Times New Roman" w:cs="Times New Roman"/>
          <w:b/>
          <w:color w:val="auto"/>
          <w:sz w:val="24"/>
          <w:szCs w:val="24"/>
        </w:rPr>
        <w:t xml:space="preserve">. Results from analytical approach for predicting change in aggregation after treatment under semi-systematic non-compliance. </w:t>
      </w:r>
      <w:r w:rsidR="00700F88">
        <w:rPr>
          <w:rFonts w:ascii="Times New Roman" w:hAnsi="Times New Roman" w:cs="Times New Roman"/>
          <w:b/>
          <w:color w:val="auto"/>
          <w:sz w:val="24"/>
          <w:szCs w:val="24"/>
        </w:rPr>
        <w:t>a</w:t>
      </w:r>
      <w:r w:rsidRPr="009614C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Comparison of mean worm burden observed from the stochastic model immediately post-treatment and that expected from the simple probability model. </w:t>
      </w:r>
      <w:r w:rsidR="00700F88">
        <w:rPr>
          <w:rFonts w:ascii="Times New Roman" w:hAnsi="Times New Roman" w:cs="Times New Roman"/>
          <w:b/>
          <w:color w:val="auto"/>
          <w:sz w:val="24"/>
          <w:szCs w:val="24"/>
        </w:rPr>
        <w:t>b</w:t>
      </w:r>
      <w:r w:rsidRPr="009614C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Comparison of k observed from the stochastic model and that expected from the simple probability model</w:t>
      </w:r>
      <w:r w:rsidR="00892BC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892BCF" w:rsidRPr="009614C4">
        <w:rPr>
          <w:rFonts w:ascii="Times New Roman" w:hAnsi="Times New Roman" w:cs="Times New Roman"/>
          <w:b/>
          <w:color w:val="auto"/>
          <w:sz w:val="24"/>
          <w:szCs w:val="24"/>
        </w:rPr>
        <w:t>immediately post-treatment</w:t>
      </w:r>
      <w:r w:rsidRPr="009614C4">
        <w:rPr>
          <w:rFonts w:ascii="Times New Roman" w:hAnsi="Times New Roman" w:cs="Times New Roman"/>
          <w:b/>
          <w:color w:val="auto"/>
          <w:sz w:val="24"/>
          <w:szCs w:val="24"/>
        </w:rPr>
        <w:t xml:space="preserve">. NB: For </w:t>
      </w:r>
      <w:r w:rsidR="00700F88">
        <w:rPr>
          <w:rFonts w:ascii="Times New Roman" w:hAnsi="Times New Roman" w:cs="Times New Roman"/>
          <w:b/>
          <w:color w:val="auto"/>
          <w:sz w:val="24"/>
          <w:szCs w:val="24"/>
        </w:rPr>
        <w:t>a</w:t>
      </w:r>
      <w:r w:rsidRPr="009614C4">
        <w:rPr>
          <w:rFonts w:ascii="Times New Roman" w:hAnsi="Times New Roman" w:cs="Times New Roman"/>
          <w:b/>
          <w:color w:val="auto"/>
          <w:sz w:val="24"/>
          <w:szCs w:val="24"/>
        </w:rPr>
        <w:t xml:space="preserve">, the </w:t>
      </w:r>
      <w:proofErr w:type="spellStart"/>
      <w:r w:rsidR="00E7506E" w:rsidRPr="009614C4">
        <w:rPr>
          <w:rFonts w:ascii="Times New Roman" w:hAnsi="Times New Roman" w:cs="Times New Roman"/>
          <w:b/>
          <w:color w:val="auto"/>
          <w:sz w:val="24"/>
          <w:szCs w:val="24"/>
        </w:rPr>
        <w:t>gray</w:t>
      </w:r>
      <w:proofErr w:type="spellEnd"/>
      <w:r w:rsidRPr="009614C4">
        <w:rPr>
          <w:rFonts w:ascii="Times New Roman" w:hAnsi="Times New Roman" w:cs="Times New Roman"/>
          <w:b/>
          <w:color w:val="auto"/>
          <w:sz w:val="24"/>
          <w:szCs w:val="24"/>
        </w:rPr>
        <w:t xml:space="preserve"> line represents the equation x = y (perfect agreement)</w:t>
      </w:r>
      <w:r w:rsidR="00E7506E" w:rsidRPr="009614C4">
        <w:rPr>
          <w:rFonts w:ascii="Times New Roman" w:hAnsi="Times New Roman" w:cs="Times New Roman"/>
          <w:b/>
          <w:color w:val="auto"/>
          <w:sz w:val="24"/>
          <w:szCs w:val="24"/>
        </w:rPr>
        <w:t>.</w:t>
      </w:r>
    </w:p>
    <w:sectPr w:rsidR="00247589" w:rsidRPr="00A50CA3">
      <w:footerReference w:type="default" r:id="rId2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F7AF40" w14:textId="77777777" w:rsidR="00E33BD6" w:rsidRDefault="00E33BD6" w:rsidP="00F34BB4">
      <w:pPr>
        <w:spacing w:after="0" w:line="240" w:lineRule="auto"/>
      </w:pPr>
      <w:r>
        <w:separator/>
      </w:r>
    </w:p>
  </w:endnote>
  <w:endnote w:type="continuationSeparator" w:id="0">
    <w:p w14:paraId="70BF8B7B" w14:textId="77777777" w:rsidR="00E33BD6" w:rsidRDefault="00E33BD6" w:rsidP="00F3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148964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675187" w14:textId="58107616" w:rsidR="00F34BB4" w:rsidRDefault="00F34B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29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BF7013" w14:textId="77777777" w:rsidR="00F34BB4" w:rsidRDefault="00F34B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07EBB5" w14:textId="77777777" w:rsidR="00E33BD6" w:rsidRDefault="00E33BD6" w:rsidP="00F34BB4">
      <w:pPr>
        <w:spacing w:after="0" w:line="240" w:lineRule="auto"/>
      </w:pPr>
      <w:r>
        <w:separator/>
      </w:r>
    </w:p>
  </w:footnote>
  <w:footnote w:type="continuationSeparator" w:id="0">
    <w:p w14:paraId="100AFFC4" w14:textId="77777777" w:rsidR="00E33BD6" w:rsidRDefault="00E33BD6" w:rsidP="00F3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420924"/>
    <w:multiLevelType w:val="hybridMultilevel"/>
    <w:tmpl w:val="5B94A1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IyMbI0tTQzMTYzsTBQ0lEKTi0uzszPAykwqQUA+LzYPSwAAAA="/>
  </w:docVars>
  <w:rsids>
    <w:rsidRoot w:val="0012021A"/>
    <w:rsid w:val="000052B2"/>
    <w:rsid w:val="000117BE"/>
    <w:rsid w:val="00061059"/>
    <w:rsid w:val="00081460"/>
    <w:rsid w:val="000D2C07"/>
    <w:rsid w:val="001140D2"/>
    <w:rsid w:val="0012021A"/>
    <w:rsid w:val="00121E36"/>
    <w:rsid w:val="00125258"/>
    <w:rsid w:val="001311C5"/>
    <w:rsid w:val="00137BF3"/>
    <w:rsid w:val="0015374C"/>
    <w:rsid w:val="00185DB2"/>
    <w:rsid w:val="001867DD"/>
    <w:rsid w:val="001A0E19"/>
    <w:rsid w:val="001C07FD"/>
    <w:rsid w:val="001E600D"/>
    <w:rsid w:val="001F209C"/>
    <w:rsid w:val="00201CCC"/>
    <w:rsid w:val="00206A9C"/>
    <w:rsid w:val="00245B95"/>
    <w:rsid w:val="00247589"/>
    <w:rsid w:val="0029135B"/>
    <w:rsid w:val="00296698"/>
    <w:rsid w:val="002C5C35"/>
    <w:rsid w:val="003048BF"/>
    <w:rsid w:val="00336E53"/>
    <w:rsid w:val="0035426F"/>
    <w:rsid w:val="00355CCC"/>
    <w:rsid w:val="003A2FEE"/>
    <w:rsid w:val="00416907"/>
    <w:rsid w:val="00452F24"/>
    <w:rsid w:val="00457C7B"/>
    <w:rsid w:val="00471844"/>
    <w:rsid w:val="004A4FE1"/>
    <w:rsid w:val="004C4039"/>
    <w:rsid w:val="004E5F42"/>
    <w:rsid w:val="005234C4"/>
    <w:rsid w:val="005562F1"/>
    <w:rsid w:val="00564142"/>
    <w:rsid w:val="00586ACE"/>
    <w:rsid w:val="00590BC6"/>
    <w:rsid w:val="005A2B78"/>
    <w:rsid w:val="005B39EC"/>
    <w:rsid w:val="005B7E58"/>
    <w:rsid w:val="005D1A84"/>
    <w:rsid w:val="005E279B"/>
    <w:rsid w:val="00603BA1"/>
    <w:rsid w:val="00664174"/>
    <w:rsid w:val="00680E97"/>
    <w:rsid w:val="006944DB"/>
    <w:rsid w:val="006E0EF0"/>
    <w:rsid w:val="007006AA"/>
    <w:rsid w:val="00700F88"/>
    <w:rsid w:val="00751BDE"/>
    <w:rsid w:val="0076136F"/>
    <w:rsid w:val="00782A3D"/>
    <w:rsid w:val="007A7D64"/>
    <w:rsid w:val="007C4C09"/>
    <w:rsid w:val="007D2660"/>
    <w:rsid w:val="0082542F"/>
    <w:rsid w:val="00892BCF"/>
    <w:rsid w:val="0089309B"/>
    <w:rsid w:val="008B6670"/>
    <w:rsid w:val="008D689C"/>
    <w:rsid w:val="008E7D29"/>
    <w:rsid w:val="008F348F"/>
    <w:rsid w:val="00907446"/>
    <w:rsid w:val="00910D78"/>
    <w:rsid w:val="00920A5E"/>
    <w:rsid w:val="009255FB"/>
    <w:rsid w:val="009605B8"/>
    <w:rsid w:val="009614C4"/>
    <w:rsid w:val="00996E28"/>
    <w:rsid w:val="009A5D57"/>
    <w:rsid w:val="009B60EE"/>
    <w:rsid w:val="009D1850"/>
    <w:rsid w:val="00A11ADF"/>
    <w:rsid w:val="00A3604D"/>
    <w:rsid w:val="00A50CA3"/>
    <w:rsid w:val="00A76C93"/>
    <w:rsid w:val="00AB25E3"/>
    <w:rsid w:val="00AC7876"/>
    <w:rsid w:val="00AF61DB"/>
    <w:rsid w:val="00B066C3"/>
    <w:rsid w:val="00B15D40"/>
    <w:rsid w:val="00B417CC"/>
    <w:rsid w:val="00B57420"/>
    <w:rsid w:val="00B8533C"/>
    <w:rsid w:val="00BB5CBA"/>
    <w:rsid w:val="00BC2FEA"/>
    <w:rsid w:val="00BF154D"/>
    <w:rsid w:val="00C042E9"/>
    <w:rsid w:val="00C2036B"/>
    <w:rsid w:val="00C45F50"/>
    <w:rsid w:val="00C50149"/>
    <w:rsid w:val="00C60F2C"/>
    <w:rsid w:val="00C700B1"/>
    <w:rsid w:val="00CB3969"/>
    <w:rsid w:val="00CD3E9A"/>
    <w:rsid w:val="00CF1400"/>
    <w:rsid w:val="00D41684"/>
    <w:rsid w:val="00D43524"/>
    <w:rsid w:val="00D7298E"/>
    <w:rsid w:val="00D778A3"/>
    <w:rsid w:val="00D77E69"/>
    <w:rsid w:val="00D834D0"/>
    <w:rsid w:val="00D91275"/>
    <w:rsid w:val="00D91CD6"/>
    <w:rsid w:val="00DF260E"/>
    <w:rsid w:val="00E14EDE"/>
    <w:rsid w:val="00E33BD6"/>
    <w:rsid w:val="00E34F6C"/>
    <w:rsid w:val="00E7506E"/>
    <w:rsid w:val="00E93F0A"/>
    <w:rsid w:val="00EB1015"/>
    <w:rsid w:val="00EB263E"/>
    <w:rsid w:val="00EC29E9"/>
    <w:rsid w:val="00ED207F"/>
    <w:rsid w:val="00EF1B80"/>
    <w:rsid w:val="00F34BB4"/>
    <w:rsid w:val="00F34F7E"/>
    <w:rsid w:val="00F407B6"/>
    <w:rsid w:val="00F521E0"/>
    <w:rsid w:val="00F60484"/>
    <w:rsid w:val="00F6159C"/>
    <w:rsid w:val="00F74E25"/>
    <w:rsid w:val="00F8236D"/>
    <w:rsid w:val="00F84885"/>
    <w:rsid w:val="00FA3EA5"/>
    <w:rsid w:val="00FD6EC7"/>
    <w:rsid w:val="00FF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2550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02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02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021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202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02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TEquationSection">
    <w:name w:val="MTEquationSection"/>
    <w:basedOn w:val="DefaultParagraphFont"/>
    <w:rsid w:val="0012021A"/>
    <w:rPr>
      <w:vanish/>
      <w:color w:val="FF0000"/>
    </w:rPr>
  </w:style>
  <w:style w:type="paragraph" w:customStyle="1" w:styleId="MTDisplayEquation">
    <w:name w:val="MTDisplayEquation"/>
    <w:basedOn w:val="Normal"/>
    <w:next w:val="Normal"/>
    <w:link w:val="MTDisplayEquationChar"/>
    <w:rsid w:val="0012021A"/>
    <w:pPr>
      <w:tabs>
        <w:tab w:val="center" w:pos="4520"/>
        <w:tab w:val="right" w:pos="9020"/>
      </w:tabs>
    </w:pPr>
  </w:style>
  <w:style w:type="character" w:customStyle="1" w:styleId="MTDisplayEquationChar">
    <w:name w:val="MTDisplayEquation Char"/>
    <w:basedOn w:val="DefaultParagraphFont"/>
    <w:link w:val="MTDisplayEquation"/>
    <w:rsid w:val="0012021A"/>
  </w:style>
  <w:style w:type="paragraph" w:styleId="Revision">
    <w:name w:val="Revision"/>
    <w:hidden/>
    <w:uiPriority w:val="99"/>
    <w:semiHidden/>
    <w:rsid w:val="004E5F4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5F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F4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254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54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542F"/>
    <w:rPr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910D7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34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BB4"/>
  </w:style>
  <w:style w:type="paragraph" w:styleId="Footer">
    <w:name w:val="footer"/>
    <w:basedOn w:val="Normal"/>
    <w:link w:val="FooterChar"/>
    <w:uiPriority w:val="99"/>
    <w:unhideWhenUsed/>
    <w:rsid w:val="00F34B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BB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F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0F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6.tif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tiff"/><Relationship Id="rId20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image" Target="media/image8.tif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10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D343E-F9E8-4C7A-98A5-876F3148F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2020-05-22T20:23:00Z</dcterms:created>
  <dcterms:modified xsi:type="dcterms:W3CDTF">2020-05-22T20:52:00Z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EquationSection">
    <vt:lpwstr>1</vt:lpwstr>
  </property>
  <property fmtid="{D5CDD505-2E9C-101B-9397-08002B2CF9AE}" pid="4" name="MTWinEqns">
    <vt:bool>true</vt:bool>
  </property>
  <property fmtid="{D5CDD505-2E9C-101B-9397-08002B2CF9AE}" pid="5" name="Mendeley Document_1">
    <vt:lpwstr>True</vt:lpwstr>
  </property>
  <property fmtid="{D5CDD505-2E9C-101B-9397-08002B2CF9AE}" pid="6" name="Mendeley Unique User Id_1">
    <vt:lpwstr>52f97508-badb-304c-a176-a8b23d6a6f48</vt:lpwstr>
  </property>
  <property fmtid="{D5CDD505-2E9C-101B-9397-08002B2CF9AE}" pid="7" name="Mendeley Citation Style_1">
    <vt:lpwstr>http://www.zotero.org/styles/biomed-central</vt:lpwstr>
  </property>
</Properties>
</file>