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242A58" w14:textId="353FBE62" w:rsidR="008001F7" w:rsidRPr="007C55F4" w:rsidRDefault="007C55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val="en-GB"/>
        </w:rPr>
        <w:t xml:space="preserve">Additional file 2: </w:t>
      </w:r>
      <w:r w:rsidR="008001F7" w:rsidRPr="007C55F4">
        <w:rPr>
          <w:rFonts w:ascii="Times New Roman" w:hAnsi="Times New Roman" w:cs="Times New Roman"/>
          <w:b/>
          <w:bCs/>
          <w:lang w:val="en-GB"/>
        </w:rPr>
        <w:t>Figure S1.</w:t>
      </w:r>
      <w:r w:rsidR="008001F7" w:rsidRPr="007C55F4">
        <w:rPr>
          <w:rFonts w:ascii="Times New Roman" w:hAnsi="Times New Roman" w:cs="Times New Roman"/>
        </w:rPr>
        <w:t xml:space="preserve"> Secondary structure prediction analysis of non-coding regions</w:t>
      </w:r>
      <w:r w:rsidR="002A5CA2" w:rsidRPr="007C55F4">
        <w:rPr>
          <w:rFonts w:ascii="Times New Roman" w:hAnsi="Times New Roman" w:cs="Times New Roman"/>
        </w:rPr>
        <w:t xml:space="preserve"> (NCR)</w:t>
      </w:r>
      <w:r w:rsidR="008001F7" w:rsidRPr="007C55F4">
        <w:rPr>
          <w:rFonts w:ascii="Times New Roman" w:hAnsi="Times New Roman" w:cs="Times New Roman"/>
        </w:rPr>
        <w:t xml:space="preserve"> in the mitochondrial genome of </w:t>
      </w:r>
      <w:r w:rsidR="008001F7" w:rsidRPr="007C55F4">
        <w:rPr>
          <w:rFonts w:ascii="Times New Roman" w:hAnsi="Times New Roman" w:cs="Times New Roman"/>
          <w:i/>
        </w:rPr>
        <w:t>Hoplolaimus columbus</w:t>
      </w:r>
      <w:r w:rsidR="008001F7" w:rsidRPr="007C55F4">
        <w:rPr>
          <w:rFonts w:ascii="Times New Roman" w:hAnsi="Times New Roman" w:cs="Times New Roman"/>
        </w:rPr>
        <w:t xml:space="preserve"> by FORNA</w:t>
      </w:r>
    </w:p>
    <w:p w14:paraId="1C1EBDDE" w14:textId="6266B787" w:rsidR="008001F7" w:rsidRPr="007C55F4" w:rsidRDefault="008001F7">
      <w:pPr>
        <w:rPr>
          <w:rFonts w:ascii="Times New Roman" w:hAnsi="Times New Roman" w:cs="Times New Roman"/>
        </w:rPr>
      </w:pPr>
    </w:p>
    <w:p w14:paraId="199B93A2" w14:textId="07E2D029" w:rsidR="008001F7" w:rsidRPr="007C55F4" w:rsidRDefault="008001F7">
      <w:pPr>
        <w:rPr>
          <w:rFonts w:ascii="Times New Roman" w:hAnsi="Times New Roman" w:cs="Times New Roman"/>
        </w:rPr>
      </w:pPr>
      <w:r w:rsidRPr="007C55F4">
        <w:rPr>
          <w:rFonts w:ascii="Times New Roman" w:hAnsi="Times New Roman" w:cs="Times New Roman"/>
        </w:rPr>
        <w:t>NCR1</w:t>
      </w:r>
    </w:p>
    <w:p w14:paraId="01B65E24" w14:textId="23586EB4" w:rsidR="008001F7" w:rsidRPr="007C55F4" w:rsidRDefault="008001F7">
      <w:pPr>
        <w:rPr>
          <w:rFonts w:ascii="Times New Roman" w:hAnsi="Times New Roman" w:cs="Times New Roman"/>
        </w:rPr>
      </w:pPr>
      <w:r w:rsidRPr="007C55F4">
        <w:rPr>
          <w:rFonts w:ascii="Times New Roman" w:hAnsi="Times New Roman" w:cs="Times New Roman"/>
          <w:noProof/>
        </w:rPr>
        <w:drawing>
          <wp:inline distT="0" distB="0" distL="0" distR="0" wp14:anchorId="1F714D29" wp14:editId="2BEDB5A8">
            <wp:extent cx="5972432" cy="5077739"/>
            <wp:effectExtent l="0" t="0" r="0" b="2540"/>
            <wp:docPr id="1" name="Picture 1" descr="A close up of a flow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-1 NCR1-fornaPic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32" t="7533" r="20860" b="8415"/>
                    <a:stretch/>
                  </pic:blipFill>
                  <pic:spPr bwMode="auto">
                    <a:xfrm>
                      <a:off x="0" y="0"/>
                      <a:ext cx="5978907" cy="50832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9BBB42" w14:textId="7831BE5A" w:rsidR="008001F7" w:rsidRPr="007C55F4" w:rsidRDefault="008001F7">
      <w:pPr>
        <w:rPr>
          <w:rFonts w:ascii="Times New Roman" w:hAnsi="Times New Roman" w:cs="Times New Roman"/>
        </w:rPr>
      </w:pPr>
    </w:p>
    <w:p w14:paraId="58A96882" w14:textId="77777777" w:rsidR="008001F7" w:rsidRPr="007C55F4" w:rsidRDefault="008001F7">
      <w:pPr>
        <w:rPr>
          <w:rFonts w:ascii="Times New Roman" w:hAnsi="Times New Roman" w:cs="Times New Roman"/>
        </w:rPr>
      </w:pPr>
    </w:p>
    <w:p w14:paraId="08DDCADC" w14:textId="77777777" w:rsidR="008001F7" w:rsidRPr="007C55F4" w:rsidRDefault="008001F7">
      <w:pPr>
        <w:rPr>
          <w:rFonts w:ascii="Times New Roman" w:hAnsi="Times New Roman" w:cs="Times New Roman"/>
        </w:rPr>
      </w:pPr>
    </w:p>
    <w:p w14:paraId="2E323E85" w14:textId="77777777" w:rsidR="008001F7" w:rsidRPr="007C55F4" w:rsidRDefault="008001F7">
      <w:pPr>
        <w:rPr>
          <w:rFonts w:ascii="Times New Roman" w:hAnsi="Times New Roman" w:cs="Times New Roman"/>
        </w:rPr>
      </w:pPr>
    </w:p>
    <w:p w14:paraId="6F468FD8" w14:textId="77777777" w:rsidR="008001F7" w:rsidRPr="007C55F4" w:rsidRDefault="008001F7">
      <w:pPr>
        <w:rPr>
          <w:rFonts w:ascii="Times New Roman" w:hAnsi="Times New Roman" w:cs="Times New Roman"/>
        </w:rPr>
      </w:pPr>
    </w:p>
    <w:p w14:paraId="5B22212A" w14:textId="77777777" w:rsidR="008001F7" w:rsidRPr="007C55F4" w:rsidRDefault="008001F7">
      <w:pPr>
        <w:rPr>
          <w:rFonts w:ascii="Times New Roman" w:hAnsi="Times New Roman" w:cs="Times New Roman"/>
        </w:rPr>
      </w:pPr>
    </w:p>
    <w:p w14:paraId="29D0FD85" w14:textId="77777777" w:rsidR="008001F7" w:rsidRPr="007C55F4" w:rsidRDefault="008001F7">
      <w:pPr>
        <w:rPr>
          <w:rFonts w:ascii="Times New Roman" w:hAnsi="Times New Roman" w:cs="Times New Roman"/>
        </w:rPr>
      </w:pPr>
    </w:p>
    <w:p w14:paraId="324C8E17" w14:textId="77777777" w:rsidR="008001F7" w:rsidRPr="007C55F4" w:rsidRDefault="008001F7">
      <w:pPr>
        <w:rPr>
          <w:rFonts w:ascii="Times New Roman" w:hAnsi="Times New Roman" w:cs="Times New Roman"/>
        </w:rPr>
      </w:pPr>
    </w:p>
    <w:p w14:paraId="4DE384BC" w14:textId="77777777" w:rsidR="008001F7" w:rsidRPr="007C55F4" w:rsidRDefault="008001F7">
      <w:pPr>
        <w:rPr>
          <w:rFonts w:ascii="Times New Roman" w:hAnsi="Times New Roman" w:cs="Times New Roman"/>
        </w:rPr>
      </w:pPr>
    </w:p>
    <w:p w14:paraId="2DDC8C67" w14:textId="77777777" w:rsidR="008001F7" w:rsidRPr="007C55F4" w:rsidRDefault="008001F7">
      <w:pPr>
        <w:rPr>
          <w:rFonts w:ascii="Times New Roman" w:hAnsi="Times New Roman" w:cs="Times New Roman"/>
        </w:rPr>
      </w:pPr>
    </w:p>
    <w:p w14:paraId="6F26B8C0" w14:textId="77777777" w:rsidR="008001F7" w:rsidRPr="007C55F4" w:rsidRDefault="008001F7">
      <w:pPr>
        <w:rPr>
          <w:rFonts w:ascii="Times New Roman" w:hAnsi="Times New Roman" w:cs="Times New Roman"/>
        </w:rPr>
      </w:pPr>
    </w:p>
    <w:p w14:paraId="5002B51D" w14:textId="77777777" w:rsidR="008001F7" w:rsidRPr="007C55F4" w:rsidRDefault="008001F7">
      <w:pPr>
        <w:rPr>
          <w:rFonts w:ascii="Times New Roman" w:hAnsi="Times New Roman" w:cs="Times New Roman"/>
        </w:rPr>
      </w:pPr>
    </w:p>
    <w:p w14:paraId="5E337141" w14:textId="77777777" w:rsidR="008001F7" w:rsidRPr="007C55F4" w:rsidRDefault="008001F7">
      <w:pPr>
        <w:rPr>
          <w:rFonts w:ascii="Times New Roman" w:hAnsi="Times New Roman" w:cs="Times New Roman"/>
        </w:rPr>
      </w:pPr>
    </w:p>
    <w:p w14:paraId="11816EC8" w14:textId="77777777" w:rsidR="008001F7" w:rsidRPr="007C55F4" w:rsidRDefault="008001F7">
      <w:pPr>
        <w:rPr>
          <w:rFonts w:ascii="Times New Roman" w:hAnsi="Times New Roman" w:cs="Times New Roman"/>
        </w:rPr>
      </w:pPr>
    </w:p>
    <w:p w14:paraId="2760756A" w14:textId="768CC57E" w:rsidR="008001F7" w:rsidRPr="007C55F4" w:rsidRDefault="008001F7">
      <w:pPr>
        <w:rPr>
          <w:rFonts w:ascii="Times New Roman" w:hAnsi="Times New Roman" w:cs="Times New Roman"/>
        </w:rPr>
      </w:pPr>
      <w:r w:rsidRPr="007C55F4">
        <w:rPr>
          <w:rFonts w:ascii="Times New Roman" w:hAnsi="Times New Roman" w:cs="Times New Roman"/>
        </w:rPr>
        <w:t>NCR2</w:t>
      </w:r>
    </w:p>
    <w:p w14:paraId="75E7D7CF" w14:textId="25E34077" w:rsidR="008001F7" w:rsidRPr="007C55F4" w:rsidRDefault="008001F7">
      <w:pPr>
        <w:rPr>
          <w:rFonts w:ascii="Times New Roman" w:hAnsi="Times New Roman" w:cs="Times New Roman"/>
        </w:rPr>
      </w:pPr>
      <w:r w:rsidRPr="007C55F4">
        <w:rPr>
          <w:rFonts w:ascii="Times New Roman" w:hAnsi="Times New Roman" w:cs="Times New Roman"/>
          <w:noProof/>
        </w:rPr>
        <w:drawing>
          <wp:inline distT="0" distB="0" distL="0" distR="0" wp14:anchorId="1A2CCF14" wp14:editId="1DC1ACD8">
            <wp:extent cx="5955258" cy="4786184"/>
            <wp:effectExtent l="0" t="0" r="1270" b="1905"/>
            <wp:docPr id="2" name="Picture 2" descr="A close up of a flow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-2 NCR2-fornaPic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33" t="5414" r="23076" b="9831"/>
                    <a:stretch/>
                  </pic:blipFill>
                  <pic:spPr bwMode="auto">
                    <a:xfrm>
                      <a:off x="0" y="0"/>
                      <a:ext cx="5977219" cy="4803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001F7" w:rsidRPr="007C55F4" w:rsidSect="001415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1F7"/>
    <w:rsid w:val="001415EA"/>
    <w:rsid w:val="001946D5"/>
    <w:rsid w:val="002A5CA2"/>
    <w:rsid w:val="007C55F4"/>
    <w:rsid w:val="008001F7"/>
    <w:rsid w:val="00B1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2210C"/>
  <w15:chartTrackingRefBased/>
  <w15:docId w15:val="{A34CB34C-4EA2-6F42-8EA9-B28D8A788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01F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01F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Xinyuan Ma</dc:creator>
  <cp:keywords/>
  <dc:description/>
  <cp:lastModifiedBy>Aneta Kostadinova</cp:lastModifiedBy>
  <cp:revision>2</cp:revision>
  <dcterms:created xsi:type="dcterms:W3CDTF">2020-06-12T15:37:00Z</dcterms:created>
  <dcterms:modified xsi:type="dcterms:W3CDTF">2020-06-12T15:37:00Z</dcterms:modified>
</cp:coreProperties>
</file>