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F87" w:rsidRPr="00E47038" w:rsidRDefault="0004088F" w:rsidP="0004088F">
      <w:pPr>
        <w:spacing w:line="480" w:lineRule="auto"/>
        <w:rPr>
          <w:sz w:val="24"/>
          <w:szCs w:val="24"/>
        </w:rPr>
      </w:pPr>
      <w:r w:rsidRPr="00E47038">
        <w:rPr>
          <w:noProof/>
          <w:sz w:val="24"/>
          <w:szCs w:val="24"/>
        </w:rPr>
        <w:drawing>
          <wp:inline distT="0" distB="0" distL="0" distR="0">
            <wp:extent cx="5042535" cy="2503805"/>
            <wp:effectExtent l="0" t="0" r="5715" b="0"/>
            <wp:docPr id="9" name="图片 9" descr="E:\投稿\CRISPR-Cas12a based diagnosis of Cryptosporidium parvum IId subtype\JCM\FIG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投稿\CRISPR-Cas12a based diagnosis of Cryptosporidium parvum IId subtype\JCM\FIG\fig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>Figure 1. Absorbance curves of purified crRNA</w:t>
      </w:r>
      <w:r w:rsidRPr="00E47038">
        <w:rPr>
          <w:rFonts w:cs="Times New Roman"/>
          <w:sz w:val="24"/>
          <w:szCs w:val="24"/>
        </w:rPr>
        <w:t>. The crRNA was transcribed from crDNA annealed from two reverse complementary single strand oligonucleotides. The transcribed crRNA was dealt with DNase I and was purified using the NucAway™ Spin Column.</w:t>
      </w:r>
      <w:r w:rsidRPr="00E47038">
        <w:rPr>
          <w:rFonts w:cs="Times New Roman"/>
          <w:sz w:val="24"/>
          <w:szCs w:val="24"/>
        </w:rPr>
        <w:fldChar w:fldCharType="begin"/>
      </w:r>
      <w:r w:rsidRPr="00E47038">
        <w:rPr>
          <w:rFonts w:cs="Times New Roman"/>
          <w:sz w:val="24"/>
          <w:szCs w:val="24"/>
        </w:rPr>
        <w:instrText xml:space="preserve"> ADDIN </w:instrText>
      </w:r>
      <w:r w:rsidRPr="00E47038">
        <w:rPr>
          <w:rFonts w:cs="Times New Roman"/>
          <w:sz w:val="24"/>
          <w:szCs w:val="24"/>
        </w:rPr>
        <w:fldChar w:fldCharType="end"/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  <w:r w:rsidRPr="00E47038">
        <w:rPr>
          <w:sz w:val="24"/>
          <w:szCs w:val="24"/>
        </w:rPr>
        <w:br w:type="page"/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  <w:r w:rsidRPr="00E47038">
        <w:rPr>
          <w:noProof/>
          <w:sz w:val="24"/>
          <w:szCs w:val="24"/>
        </w:rPr>
        <w:lastRenderedPageBreak/>
        <w:drawing>
          <wp:inline distT="0" distB="0" distL="0" distR="0">
            <wp:extent cx="5274310" cy="2870126"/>
            <wp:effectExtent l="0" t="0" r="2540" b="6985"/>
            <wp:docPr id="10" name="图片 10" descr="E:\投稿\CRISPR-Cas12a based diagnosis of Cryptosporidium parvum IId subtype\JCM\FIG\fig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投稿\CRISPR-Cas12a based diagnosis of Cryptosporidium parvum IId subtype\JCM\FIG\fig 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>Figure 2. Schematic of the RPA and CRISPR-Cas12a based detection assay</w:t>
      </w:r>
      <w:r w:rsidRPr="00E47038">
        <w:rPr>
          <w:rFonts w:cs="Times New Roman"/>
          <w:sz w:val="24"/>
          <w:szCs w:val="24"/>
        </w:rPr>
        <w:t xml:space="preserve">. 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 xml:space="preserve">. Diagram of </w:t>
      </w:r>
      <w:r w:rsidRPr="00E47038">
        <w:rPr>
          <w:rFonts w:cs="Times New Roman"/>
          <w:i/>
          <w:sz w:val="24"/>
          <w:szCs w:val="24"/>
        </w:rPr>
        <w:t>Cryptosporidium parvum</w:t>
      </w:r>
      <w:r w:rsidRPr="00E47038">
        <w:rPr>
          <w:rFonts w:cs="Times New Roman"/>
          <w:sz w:val="24"/>
          <w:szCs w:val="24"/>
        </w:rPr>
        <w:t xml:space="preserve"> chromosome 6 showing primers, target sequence and crRNA. RPA primers are indicated by black rectangles, the PAM and target sequences are represented by red and blue rectangles, respectively. 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>. Schematic of ReCTC based diagnoses workflow. The RPA amplicon is used directly as the input of the ReCTC based detection, and a ternary complex forms if the target DNA exists. F, fluorophore; Q, quencher; B, Biotin; F, FAM.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br w:type="page"/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  <w:r w:rsidRPr="00E47038">
        <w:rPr>
          <w:noProof/>
          <w:sz w:val="24"/>
          <w:szCs w:val="24"/>
        </w:rPr>
        <w:lastRenderedPageBreak/>
        <w:drawing>
          <wp:inline distT="0" distB="0" distL="0" distR="0">
            <wp:extent cx="5274310" cy="2376747"/>
            <wp:effectExtent l="0" t="0" r="2540" b="5080"/>
            <wp:docPr id="11" name="图片 11" descr="E:\投稿\CRISPR-Cas12a based diagnosis of Cryptosporidium parvum IId subtype\JCM\FIG\fig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投稿\CRISPR-Cas12a based diagnosis of Cryptosporidium parvum IId subtype\JCM\FIG\fig 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7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>Figure 3. Feasibility verification of the ReCTC based detection</w:t>
      </w:r>
      <w:r w:rsidRPr="00E47038">
        <w:rPr>
          <w:rFonts w:cs="Times New Roman"/>
          <w:sz w:val="24"/>
          <w:szCs w:val="24"/>
        </w:rPr>
        <w:t xml:space="preserve">. 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 xml:space="preserve">. ReCTC based fluorescence reaction products showed no signal under the visible light. 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 xml:space="preserve">. Obvious fluorescence signal can be observed under the UV light by naked eyes. P1 and P2: positive results, N1 and N2: negative results. </w:t>
      </w:r>
      <w:r w:rsidRPr="00E47038">
        <w:rPr>
          <w:rFonts w:cs="Times New Roman"/>
          <w:b/>
          <w:sz w:val="24"/>
          <w:szCs w:val="24"/>
        </w:rPr>
        <w:t>C</w:t>
      </w:r>
      <w:r w:rsidRPr="00E47038">
        <w:rPr>
          <w:rFonts w:cs="Times New Roman"/>
          <w:sz w:val="24"/>
          <w:szCs w:val="24"/>
        </w:rPr>
        <w:t>. The real-time fluorescence intensity curves of the ReCTC based detection involving FAM-TTATT-BHQ1 reporter.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br w:type="page"/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  <w:r w:rsidRPr="00E47038">
        <w:rPr>
          <w:noProof/>
          <w:sz w:val="24"/>
          <w:szCs w:val="24"/>
        </w:rPr>
        <w:lastRenderedPageBreak/>
        <w:drawing>
          <wp:inline distT="0" distB="0" distL="0" distR="0">
            <wp:extent cx="5042535" cy="2042160"/>
            <wp:effectExtent l="0" t="0" r="5715" b="0"/>
            <wp:docPr id="12" name="图片 12" descr="E:\投稿\CRISPR-Cas12a based diagnosis of Cryptosporidium parvum IId subtype\JCM\FIG\fig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投稿\CRISPR-Cas12a based diagnosis of Cryptosporidium parvum IId subtype\JCM\FIG\fig 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>Figure 4. Optimization of reporter concentration for the ReCTC based LFS detection</w:t>
      </w:r>
      <w:r w:rsidRPr="00E47038">
        <w:rPr>
          <w:rFonts w:cs="Times New Roman"/>
          <w:sz w:val="24"/>
          <w:szCs w:val="24"/>
        </w:rPr>
        <w:t>. Various concentrations (200, 100, 50, 20, 15, 10, 5 nM) of FAM-TTATT-Biotin ssDNA reporter were tested to avoid false-positive and false-negative result. The concentrations used were labeled on the LFS pads and false-positive result was eliminated with 20 nM FAM-TTATT-Biotin ssDNA reporter or higher concentrations.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  <w:sectPr w:rsidR="0004088F" w:rsidRPr="00E4703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088F" w:rsidRPr="00E47038" w:rsidRDefault="0004088F" w:rsidP="0004088F">
      <w:pPr>
        <w:spacing w:line="480" w:lineRule="auto"/>
        <w:jc w:val="center"/>
        <w:rPr>
          <w:rFonts w:cs="Times New Roman"/>
          <w:sz w:val="24"/>
          <w:szCs w:val="24"/>
        </w:rPr>
      </w:pPr>
      <w:r w:rsidRPr="00E4703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>
            <wp:extent cx="8709334" cy="2991775"/>
            <wp:effectExtent l="0" t="0" r="0" b="0"/>
            <wp:docPr id="13" name="图片 13" descr="E:\投稿\CRISPR-Cas12a based diagnosis of Cryptosporidium parvum IId subtype\JCM\FIG\fig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投稿\CRISPR-Cas12a based diagnosis of Cryptosporidium parvum IId subtype\JCM\FIG\fig 5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5320" cy="302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>Figure 5. Sensitivity of the ReCTC based detection</w:t>
      </w:r>
      <w:r w:rsidRPr="00E47038">
        <w:rPr>
          <w:rFonts w:cs="Times New Roman"/>
          <w:sz w:val="24"/>
          <w:szCs w:val="24"/>
        </w:rPr>
        <w:t xml:space="preserve">. 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>. Sensitivity test of ReCTC based fluorescence (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>) and LFS (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>) assay using cloned recombinant plasmid DNA. The LOD of both fluorescence and LFS assay were determined as 1.0 × 10</w:t>
      </w:r>
      <w:r w:rsidRPr="00E47038">
        <w:rPr>
          <w:rFonts w:cs="Times New Roman"/>
          <w:sz w:val="24"/>
          <w:szCs w:val="24"/>
          <w:vertAlign w:val="superscript"/>
        </w:rPr>
        <w:t>-18</w:t>
      </w:r>
      <w:r w:rsidRPr="00E47038">
        <w:rPr>
          <w:rFonts w:cs="Times New Roman"/>
          <w:sz w:val="24"/>
          <w:szCs w:val="24"/>
        </w:rPr>
        <w:t xml:space="preserve"> M cloned recombinant plasmid DNA. A1-A8: The concentrations of cloned recombinant plasmid DNA were 1.0 × 10</w:t>
      </w:r>
      <w:r w:rsidRPr="00E47038">
        <w:rPr>
          <w:rFonts w:cs="Times New Roman"/>
          <w:sz w:val="24"/>
          <w:szCs w:val="24"/>
          <w:vertAlign w:val="superscript"/>
        </w:rPr>
        <w:t>-12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-15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-18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-19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-20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-21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-22</w:t>
      </w:r>
      <w:r w:rsidRPr="00E47038">
        <w:rPr>
          <w:rFonts w:cs="Times New Roman"/>
          <w:sz w:val="24"/>
          <w:szCs w:val="24"/>
        </w:rPr>
        <w:t>, 1.0 × 10</w:t>
      </w:r>
      <w:r w:rsidRPr="00E47038">
        <w:rPr>
          <w:rFonts w:cs="Times New Roman"/>
          <w:sz w:val="24"/>
          <w:szCs w:val="24"/>
          <w:vertAlign w:val="superscript"/>
        </w:rPr>
        <w:t>-23</w:t>
      </w:r>
      <w:r w:rsidRPr="00E47038">
        <w:rPr>
          <w:rFonts w:cs="Times New Roman"/>
          <w:sz w:val="24"/>
          <w:szCs w:val="24"/>
        </w:rPr>
        <w:t xml:space="preserve"> M, respectively. </w:t>
      </w:r>
      <w:r w:rsidRPr="00E47038">
        <w:rPr>
          <w:rFonts w:cs="Times New Roman"/>
          <w:b/>
          <w:sz w:val="24"/>
          <w:szCs w:val="24"/>
        </w:rPr>
        <w:t>C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b/>
          <w:sz w:val="24"/>
          <w:szCs w:val="24"/>
        </w:rPr>
        <w:t>D</w:t>
      </w:r>
      <w:r w:rsidRPr="00E47038">
        <w:rPr>
          <w:rFonts w:cs="Times New Roman"/>
          <w:sz w:val="24"/>
          <w:szCs w:val="24"/>
        </w:rPr>
        <w:t>. Sensitivity test of ReCTC based fluorescence (</w:t>
      </w:r>
      <w:r w:rsidRPr="00E47038">
        <w:rPr>
          <w:rFonts w:cs="Times New Roman"/>
          <w:b/>
          <w:sz w:val="24"/>
          <w:szCs w:val="24"/>
        </w:rPr>
        <w:t>C</w:t>
      </w:r>
      <w:r w:rsidRPr="00E47038">
        <w:rPr>
          <w:rFonts w:cs="Times New Roman"/>
          <w:sz w:val="24"/>
          <w:szCs w:val="24"/>
        </w:rPr>
        <w:t>) and LFS (</w:t>
      </w:r>
      <w:r w:rsidRPr="00E47038">
        <w:rPr>
          <w:rFonts w:cs="Times New Roman"/>
          <w:b/>
          <w:sz w:val="24"/>
          <w:szCs w:val="24"/>
        </w:rPr>
        <w:t>D</w:t>
      </w:r>
      <w:r w:rsidRPr="00E47038">
        <w:rPr>
          <w:rFonts w:cs="Times New Roman"/>
          <w:sz w:val="24"/>
          <w:szCs w:val="24"/>
        </w:rPr>
        <w:t xml:space="preserve">) assay using crude DNA extracted from </w:t>
      </w:r>
      <w:r w:rsidRPr="00E47038">
        <w:rPr>
          <w:rFonts w:cs="Times New Roman"/>
          <w:sz w:val="24"/>
          <w:szCs w:val="24"/>
        </w:rPr>
        <w:lastRenderedPageBreak/>
        <w:t>purified oocysts. The LOD of both fluorescence and LFS assay were determined as one and ten oocysts per milliliter, respectively. C1-C8: The numbers of oocysts per milliliter were equivalent to 1 × 10</w:t>
      </w:r>
      <w:r w:rsidRPr="00E47038">
        <w:rPr>
          <w:rFonts w:cs="Times New Roman"/>
          <w:sz w:val="24"/>
          <w:szCs w:val="24"/>
          <w:vertAlign w:val="superscript"/>
        </w:rPr>
        <w:t>5</w:t>
      </w:r>
      <w:r w:rsidRPr="00E47038">
        <w:rPr>
          <w:rFonts w:cs="Times New Roman"/>
          <w:sz w:val="24"/>
          <w:szCs w:val="24"/>
        </w:rPr>
        <w:t>, 1 × 10</w:t>
      </w:r>
      <w:r w:rsidRPr="00E47038">
        <w:rPr>
          <w:rFonts w:cs="Times New Roman"/>
          <w:sz w:val="24"/>
          <w:szCs w:val="24"/>
          <w:vertAlign w:val="superscript"/>
        </w:rPr>
        <w:t>4</w:t>
      </w:r>
      <w:r w:rsidRPr="00E47038">
        <w:rPr>
          <w:rFonts w:cs="Times New Roman"/>
          <w:sz w:val="24"/>
          <w:szCs w:val="24"/>
        </w:rPr>
        <w:t>, 1 × 10</w:t>
      </w:r>
      <w:r w:rsidRPr="00E47038">
        <w:rPr>
          <w:rFonts w:cs="Times New Roman"/>
          <w:sz w:val="24"/>
          <w:szCs w:val="24"/>
          <w:vertAlign w:val="superscript"/>
        </w:rPr>
        <w:t>3</w:t>
      </w:r>
      <w:r w:rsidRPr="00E47038">
        <w:rPr>
          <w:rFonts w:cs="Times New Roman"/>
          <w:sz w:val="24"/>
          <w:szCs w:val="24"/>
        </w:rPr>
        <w:t>, 1 × 10</w:t>
      </w:r>
      <w:r w:rsidRPr="00E47038">
        <w:rPr>
          <w:rFonts w:cs="Times New Roman"/>
          <w:sz w:val="24"/>
          <w:szCs w:val="24"/>
          <w:vertAlign w:val="superscript"/>
        </w:rPr>
        <w:t>2</w:t>
      </w:r>
      <w:r w:rsidRPr="00E47038">
        <w:rPr>
          <w:rFonts w:cs="Times New Roman"/>
          <w:sz w:val="24"/>
          <w:szCs w:val="24"/>
        </w:rPr>
        <w:t>, 1 × 10</w:t>
      </w:r>
      <w:r w:rsidRPr="00E47038">
        <w:rPr>
          <w:rFonts w:cs="Times New Roman"/>
          <w:sz w:val="24"/>
          <w:szCs w:val="24"/>
          <w:vertAlign w:val="superscript"/>
        </w:rPr>
        <w:t>1</w:t>
      </w:r>
      <w:r w:rsidRPr="00E47038">
        <w:rPr>
          <w:rFonts w:cs="Times New Roman"/>
          <w:sz w:val="24"/>
          <w:szCs w:val="24"/>
        </w:rPr>
        <w:t>, 1, 0.1 and 0, respectively. The concentrations of cloned recombinant plasmid DNA and the numbers of oocysts per milliliter used in the sensitivity test of LFS assay (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b/>
          <w:sz w:val="24"/>
          <w:szCs w:val="24"/>
        </w:rPr>
        <w:t>D</w:t>
      </w:r>
      <w:r w:rsidRPr="00E47038">
        <w:rPr>
          <w:rFonts w:cs="Times New Roman"/>
          <w:sz w:val="24"/>
          <w:szCs w:val="24"/>
        </w:rPr>
        <w:t>) were indicated on the LFS pads.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br w:type="page"/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>
            <wp:extent cx="8853743" cy="2130641"/>
            <wp:effectExtent l="0" t="0" r="5080" b="3175"/>
            <wp:docPr id="14" name="图片 14" descr="E:\投稿\CRISPR-Cas12a based diagnosis of Cryptosporidium parvum IId subtype\JCM\FIG\fig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投稿\CRISPR-Cas12a based diagnosis of Cryptosporidium parvum IId subtype\JCM\FIG\fig 6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5021" cy="213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rFonts w:cs="Times New Roman"/>
          <w:b/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  <w:sectPr w:rsidR="0004088F" w:rsidRPr="00E47038" w:rsidSect="0004088F">
          <w:pgSz w:w="16838" w:h="11906" w:orient="landscape"/>
          <w:pgMar w:top="1800" w:right="1440" w:bottom="1800" w:left="1440" w:header="851" w:footer="992" w:gutter="0"/>
          <w:cols w:space="425"/>
          <w:docGrid w:type="lines" w:linePitch="381"/>
        </w:sectPr>
      </w:pPr>
      <w:r w:rsidRPr="00E47038">
        <w:rPr>
          <w:rFonts w:cs="Times New Roman"/>
          <w:b/>
          <w:sz w:val="24"/>
          <w:szCs w:val="24"/>
        </w:rPr>
        <w:t>Figure 6. Specificity of the ReCTC based detection</w:t>
      </w:r>
      <w:r w:rsidRPr="00E47038">
        <w:rPr>
          <w:rFonts w:cs="Times New Roman"/>
          <w:sz w:val="24"/>
          <w:szCs w:val="24"/>
        </w:rPr>
        <w:t xml:space="preserve">. Recombinant pUC57 plasmids DNA containing </w:t>
      </w:r>
      <w:r w:rsidRPr="00E47038">
        <w:rPr>
          <w:rFonts w:cs="Times New Roman"/>
          <w:i/>
          <w:sz w:val="24"/>
          <w:szCs w:val="24"/>
        </w:rPr>
        <w:t>gp60</w:t>
      </w:r>
      <w:r w:rsidRPr="00E47038">
        <w:rPr>
          <w:rFonts w:cs="Times New Roman"/>
          <w:sz w:val="24"/>
          <w:szCs w:val="24"/>
        </w:rPr>
        <w:t xml:space="preserve"> gene of IIa, IIb, IIc, IId, IIe and IIf SFs of </w:t>
      </w:r>
      <w:r w:rsidRPr="00E47038">
        <w:rPr>
          <w:rFonts w:cs="Times New Roman"/>
          <w:i/>
          <w:sz w:val="24"/>
          <w:szCs w:val="24"/>
        </w:rPr>
        <w:t>C. parvum</w:t>
      </w:r>
      <w:r w:rsidRPr="00E47038">
        <w:rPr>
          <w:rFonts w:cs="Times New Roman"/>
          <w:sz w:val="24"/>
          <w:szCs w:val="24"/>
        </w:rPr>
        <w:t xml:space="preserve"> (1-6) and genomic DNA of </w:t>
      </w:r>
      <w:r w:rsidRPr="00E47038">
        <w:rPr>
          <w:rFonts w:cs="Times New Roman"/>
          <w:i/>
          <w:sz w:val="24"/>
          <w:szCs w:val="24"/>
        </w:rPr>
        <w:t>C. andersoni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C. hominis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C. meleagridis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C. muris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C. bovis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C. ryanae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Enterocytozoon bieneusi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Giardia duodenalis</w:t>
      </w:r>
      <w:r w:rsidRPr="00E47038">
        <w:rPr>
          <w:rFonts w:cs="Times New Roman"/>
          <w:sz w:val="24"/>
          <w:szCs w:val="24"/>
        </w:rPr>
        <w:t xml:space="preserve">, </w:t>
      </w:r>
      <w:r w:rsidRPr="00E47038">
        <w:rPr>
          <w:rFonts w:cs="Times New Roman"/>
          <w:i/>
          <w:sz w:val="24"/>
          <w:szCs w:val="24"/>
        </w:rPr>
        <w:t>Blastocystis hominis</w:t>
      </w:r>
      <w:r w:rsidRPr="00E47038">
        <w:rPr>
          <w:rFonts w:cs="Times New Roman"/>
          <w:sz w:val="24"/>
          <w:szCs w:val="24"/>
        </w:rPr>
        <w:t xml:space="preserve"> and </w:t>
      </w:r>
      <w:r w:rsidRPr="00E47038">
        <w:rPr>
          <w:rFonts w:cs="Times New Roman"/>
          <w:i/>
          <w:sz w:val="24"/>
          <w:szCs w:val="24"/>
        </w:rPr>
        <w:t>Cyclospora cayetan</w:t>
      </w:r>
      <w:r w:rsidRPr="00E47038">
        <w:rPr>
          <w:rFonts w:cs="Times New Roman"/>
          <w:sz w:val="24"/>
          <w:szCs w:val="24"/>
        </w:rPr>
        <w:t xml:space="preserve"> (7-16) were included. 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 xml:space="preserve">. Specificity test of the ReCTC based fluorescence detection assay. Only sample of </w:t>
      </w:r>
      <w:r w:rsidRPr="00E47038">
        <w:rPr>
          <w:rFonts w:cs="Times New Roman"/>
          <w:i/>
          <w:sz w:val="24"/>
          <w:szCs w:val="24"/>
        </w:rPr>
        <w:t>C. parvum</w:t>
      </w:r>
      <w:r w:rsidRPr="00E47038">
        <w:rPr>
          <w:rFonts w:cs="Times New Roman"/>
          <w:sz w:val="24"/>
          <w:szCs w:val="24"/>
        </w:rPr>
        <w:t xml:space="preserve"> IId SF exhibited strong fluorescence signal. 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 xml:space="preserve">. Specificity test of the ReCTC based LFS detection assay. Clear test line was observed only on the LFS that </w:t>
      </w:r>
      <w:r w:rsidRPr="00E47038">
        <w:rPr>
          <w:rFonts w:cs="Times New Roman"/>
          <w:i/>
          <w:sz w:val="24"/>
          <w:szCs w:val="24"/>
        </w:rPr>
        <w:t>C. parvum</w:t>
      </w:r>
      <w:r w:rsidRPr="00E47038">
        <w:rPr>
          <w:rFonts w:cs="Times New Roman"/>
          <w:sz w:val="24"/>
          <w:szCs w:val="24"/>
        </w:rPr>
        <w:t xml:space="preserve"> IId SF recombinant pUC57 plasmids DNA was added.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>
            <wp:extent cx="5042535" cy="2876550"/>
            <wp:effectExtent l="0" t="0" r="5715" b="0"/>
            <wp:docPr id="15" name="图片 15" descr="E:\投稿\CRISPR-Cas12a based diagnosis of Cryptosporidium parvum IId subtype\JCM\FIG\fig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投稿\CRISPR-Cas12a based diagnosis of Cryptosporidium parvum IId subtype\JCM\FIG\fig 7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 xml:space="preserve">Figure 7. ReCTC based detection of </w:t>
      </w:r>
      <w:r w:rsidRPr="00E47038">
        <w:rPr>
          <w:rFonts w:cs="Times New Roman"/>
          <w:b/>
          <w:i/>
          <w:sz w:val="24"/>
          <w:szCs w:val="24"/>
        </w:rPr>
        <w:t>C. parvum</w:t>
      </w:r>
      <w:r w:rsidRPr="00E47038">
        <w:rPr>
          <w:rFonts w:cs="Times New Roman"/>
          <w:b/>
          <w:sz w:val="24"/>
          <w:szCs w:val="24"/>
        </w:rPr>
        <w:t xml:space="preserve"> IId SF on clinical cattle samples</w:t>
      </w:r>
      <w:r w:rsidRPr="00E47038">
        <w:rPr>
          <w:rFonts w:cs="Times New Roman"/>
          <w:sz w:val="24"/>
          <w:szCs w:val="24"/>
        </w:rPr>
        <w:t>. Clinical fecal samples from 30 dairy cattle were tested by conventional nested PCR-sequencing method (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>) and our ReCTC based fluorescence (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>) and LFS (</w:t>
      </w:r>
      <w:r w:rsidRPr="00E47038">
        <w:rPr>
          <w:rFonts w:cs="Times New Roman"/>
          <w:b/>
          <w:sz w:val="24"/>
          <w:szCs w:val="24"/>
        </w:rPr>
        <w:t>C</w:t>
      </w:r>
      <w:r w:rsidRPr="00E47038">
        <w:rPr>
          <w:rFonts w:cs="Times New Roman"/>
          <w:sz w:val="24"/>
          <w:szCs w:val="24"/>
        </w:rPr>
        <w:t>) detection. Both the ReCTC based fluorescence and LFS detection corroborated 100% with the conventional nested PCR-sequencing method.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br w:type="page"/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>
            <wp:extent cx="5250893" cy="2991775"/>
            <wp:effectExtent l="0" t="0" r="6985" b="0"/>
            <wp:docPr id="16" name="图片 16" descr="E:\投稿\CRISPR-Cas12a based diagnosis of Cryptosporidium parvum IId subtype\JCM\FIG\fig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投稿\CRISPR-Cas12a based diagnosis of Cryptosporidium parvum IId subtype\JCM\FIG\fig 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05" cy="300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b/>
          <w:sz w:val="24"/>
          <w:szCs w:val="24"/>
        </w:rPr>
        <w:t xml:space="preserve">Figure 8. ReCTC based detection of </w:t>
      </w:r>
      <w:r w:rsidRPr="00E47038">
        <w:rPr>
          <w:rFonts w:cs="Times New Roman"/>
          <w:b/>
          <w:i/>
          <w:sz w:val="24"/>
          <w:szCs w:val="24"/>
        </w:rPr>
        <w:t>C. parvum</w:t>
      </w:r>
      <w:r w:rsidRPr="00E47038">
        <w:rPr>
          <w:rFonts w:cs="Times New Roman"/>
          <w:b/>
          <w:sz w:val="24"/>
          <w:szCs w:val="24"/>
        </w:rPr>
        <w:t xml:space="preserve"> IId SF on positive clinical human samples.</w:t>
      </w:r>
      <w:r w:rsidRPr="00E47038">
        <w:rPr>
          <w:rFonts w:cs="Times New Roman"/>
          <w:sz w:val="24"/>
          <w:szCs w:val="24"/>
        </w:rPr>
        <w:t xml:space="preserve"> Clinical human fecal DNA samples collected from inpatients that had been identified as positive for </w:t>
      </w:r>
      <w:r w:rsidRPr="00E47038">
        <w:rPr>
          <w:rFonts w:cs="Times New Roman"/>
          <w:i/>
          <w:sz w:val="24"/>
          <w:szCs w:val="24"/>
        </w:rPr>
        <w:t>C. parvum</w:t>
      </w:r>
      <w:r w:rsidRPr="00E47038">
        <w:rPr>
          <w:rFonts w:cs="Times New Roman"/>
          <w:sz w:val="24"/>
          <w:szCs w:val="24"/>
        </w:rPr>
        <w:t xml:space="preserve"> IIdA19G1 were subjected to the ReCTC based fluorescence (</w:t>
      </w:r>
      <w:r w:rsidRPr="00E47038">
        <w:rPr>
          <w:rFonts w:cs="Times New Roman"/>
          <w:b/>
          <w:sz w:val="24"/>
          <w:szCs w:val="24"/>
        </w:rPr>
        <w:t>A</w:t>
      </w:r>
      <w:r w:rsidRPr="00E47038">
        <w:rPr>
          <w:rFonts w:cs="Times New Roman"/>
          <w:sz w:val="24"/>
          <w:szCs w:val="24"/>
        </w:rPr>
        <w:t>) and LFS (</w:t>
      </w:r>
      <w:r w:rsidRPr="00E47038">
        <w:rPr>
          <w:rFonts w:cs="Times New Roman"/>
          <w:b/>
          <w:sz w:val="24"/>
          <w:szCs w:val="24"/>
        </w:rPr>
        <w:t>B</w:t>
      </w:r>
      <w:r w:rsidRPr="00E47038">
        <w:rPr>
          <w:rFonts w:cs="Times New Roman"/>
          <w:sz w:val="24"/>
          <w:szCs w:val="24"/>
        </w:rPr>
        <w:t>) detection. N: negative control.</w:t>
      </w:r>
    </w:p>
    <w:p w:rsidR="00E47038" w:rsidRPr="00E47038" w:rsidRDefault="00E47038" w:rsidP="0004088F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br w:type="page"/>
      </w:r>
    </w:p>
    <w:p w:rsidR="00E47038" w:rsidRPr="00E47038" w:rsidRDefault="00E47038" w:rsidP="00E47038">
      <w:pPr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lastRenderedPageBreak/>
        <w:t>Table S1. Nucleotide sequences used in this study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29"/>
        <w:gridCol w:w="6458"/>
      </w:tblGrid>
      <w:tr w:rsidR="00E47038" w:rsidRPr="00E47038" w:rsidTr="00EC3A3C">
        <w:tc>
          <w:tcPr>
            <w:tcW w:w="1838" w:type="dxa"/>
            <w:gridSpan w:val="2"/>
            <w:tcBorders>
              <w:top w:val="single" w:sz="12" w:space="0" w:color="auto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</w:p>
        </w:tc>
        <w:tc>
          <w:tcPr>
            <w:tcW w:w="6458" w:type="dxa"/>
            <w:tcBorders>
              <w:top w:val="single" w:sz="12" w:space="0" w:color="auto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Sequence (5’-3’)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bottom w:val="single" w:sz="4" w:space="0" w:color="auto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Target dsDNA (</w:t>
            </w:r>
            <w:r w:rsidRPr="00E47038">
              <w:rPr>
                <w:rFonts w:ascii="Times New Roman" w:hAnsi="Times New Roman" w:cs="Times New Roman"/>
                <w:i/>
                <w:sz w:val="24"/>
                <w:szCs w:val="24"/>
              </w:rPr>
              <w:t>C. parvum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 xml:space="preserve"> IIdA17G1 subtype)</w:t>
            </w:r>
          </w:p>
        </w:tc>
        <w:tc>
          <w:tcPr>
            <w:tcW w:w="6458" w:type="dxa"/>
            <w:tcBorders>
              <w:bottom w:val="single" w:sz="4" w:space="0" w:color="auto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TCTGTTGAGGGTTCATCATCATCATCATCATCATCATCATCATCATCGTCATCATCATCATCATCAACATCGACTGTAGCACCAACTCCAAAGAAAGAAAGAACTGGA</w:t>
            </w:r>
            <w:r w:rsidRPr="00E47038">
              <w:rPr>
                <w:rFonts w:ascii="Times New Roman" w:hAnsi="Times New Roman" w:cs="Times New Roman"/>
                <w:b/>
                <w:sz w:val="24"/>
                <w:szCs w:val="24"/>
              </w:rPr>
              <w:t>GAGGAAGTAGGTAATCCAGGTTCT</w:t>
            </w:r>
            <w:r w:rsidRPr="00E470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GAA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GGTCAGGACGGTAAAGGAGACAATGAAGAAACAGAAGACAATCAGACCGAGAGTACTGTTTCTCAAAATACTTCAGCTCAAACTGAAGGCACAACTACCGAAACCACAGAAGCTGCTCCAAAGAAAGAGTGCGGTACTTCATTTGTTATGTGGTTCGGAGAGGGTGTTCCAGTTGCATCTTTGAAGTGTGGCGACTATACTATGG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PA primers</w:t>
            </w:r>
          </w:p>
        </w:tc>
        <w:tc>
          <w:tcPr>
            <w:tcW w:w="6458" w:type="dxa"/>
            <w:tcBorders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F01332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CTCATTATCGTATTACTCTCCGTTATAGTCTC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R29735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CTGATTGTCTTCTGTTTCTTCATTGTCTCCTTTAC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F01431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TCATTATCGTATTACTCTCCGTTATAGTCTC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R29835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TCTGATTGTCTTCTGTTTCTTCATTGTCTCCTTTA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F00635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ATTGTCGCTCATTATCGTATTACTCTCCGTTATAG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R29634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TGATTGTCTTCTGTTTCTTCATTGTCTCCTTTAC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F01233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GCTCATTATCGTATTACTCTCCGTTATAGTCTC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R29533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GATTGTCTTCTGTTTCTTCATTGTCTCCTTTAC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01333*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CTCATTATCGTATTACTCTCCGTTATAGTCTCC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32535*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AAGTATTTTGAGAAACAGTACTCTCGGTCTGATTG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F01331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CTCATTATCGTATTACTCTCCGTTATAGTCT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R29734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CTGATTGTCTTCTGTTTCTTCATTGTCTCCTTTA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F01432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TCATTATCGTATTACTCTCCGTTATAGTCTCC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R29532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GATTGTCTTCTGTTTCTTCATTGTCTCCTTTA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F01531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CATTATCGTATTACTCTCCGTTATAGTCTCC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R29635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TGATTGTCTTCTGTTTCTTCATTGTCTCCTTTACC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F01630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ATTATCGTATTACTCTCCGTTATAGTCTCC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R29534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GATTGTCTTCTGTTTCTTCATTGTCTCCTTTACC</w:t>
            </w:r>
          </w:p>
        </w:tc>
      </w:tr>
      <w:tr w:rsidR="00E47038" w:rsidRPr="00E47038" w:rsidTr="00EC3A3C">
        <w:tc>
          <w:tcPr>
            <w:tcW w:w="709" w:type="dxa"/>
            <w:vMerge w:val="restart"/>
            <w:tcBorders>
              <w:top w:val="nil"/>
            </w:tcBorders>
            <w:vAlign w:val="center"/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F00825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TGTCGCTCATTATCGTATTACTCTC</w:t>
            </w:r>
          </w:p>
        </w:tc>
      </w:tr>
      <w:tr w:rsidR="00E47038" w:rsidRPr="00E47038" w:rsidTr="00EC3A3C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R24025</w:t>
            </w:r>
          </w:p>
        </w:tc>
        <w:tc>
          <w:tcPr>
            <w:tcW w:w="6458" w:type="dxa"/>
            <w:tcBorders>
              <w:top w:val="nil"/>
              <w:bottom w:val="single" w:sz="4" w:space="0" w:color="auto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ATTACCTACTTCCTCTCCAGTTCTT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CR primers</w:t>
            </w:r>
          </w:p>
        </w:tc>
        <w:tc>
          <w:tcPr>
            <w:tcW w:w="6458" w:type="dxa"/>
            <w:tcBorders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L3531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ATAGTCTCCGCTGTATTC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L3533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GAGATATATCTTGGTGCG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L3532</w:t>
            </w:r>
          </w:p>
        </w:tc>
        <w:tc>
          <w:tcPr>
            <w:tcW w:w="6458" w:type="dxa"/>
            <w:tcBorders>
              <w:top w:val="nil"/>
              <w:bottom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TCCGCTGTATTCTCAGCC</w:t>
            </w:r>
          </w:p>
        </w:tc>
      </w:tr>
      <w:tr w:rsidR="00E47038" w:rsidRPr="00E47038" w:rsidTr="00EC3A3C">
        <w:tc>
          <w:tcPr>
            <w:tcW w:w="1838" w:type="dxa"/>
            <w:gridSpan w:val="2"/>
            <w:tcBorders>
              <w:top w:val="nil"/>
            </w:tcBorders>
          </w:tcPr>
          <w:p w:rsidR="00E47038" w:rsidRPr="00E47038" w:rsidRDefault="00E47038" w:rsidP="00EC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L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X0029</w:t>
            </w:r>
          </w:p>
        </w:tc>
        <w:tc>
          <w:tcPr>
            <w:tcW w:w="6458" w:type="dxa"/>
            <w:tcBorders>
              <w:top w:val="nil"/>
            </w:tcBorders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CGAACCACATTACAAATGAAGT</w:t>
            </w:r>
          </w:p>
        </w:tc>
      </w:tr>
      <w:tr w:rsidR="00E47038" w:rsidRPr="00E47038" w:rsidTr="00EC3A3C">
        <w:tc>
          <w:tcPr>
            <w:tcW w:w="1838" w:type="dxa"/>
            <w:gridSpan w:val="2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rRNA</w:t>
            </w:r>
          </w:p>
        </w:tc>
        <w:tc>
          <w:tcPr>
            <w:tcW w:w="6458" w:type="dxa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AAUUUCUACUGUUGUAGAU</w:t>
            </w:r>
            <w:r w:rsidRPr="00E47038">
              <w:rPr>
                <w:rFonts w:ascii="Times New Roman" w:hAnsi="Times New Roman" w:cs="Times New Roman"/>
                <w:b/>
                <w:sz w:val="24"/>
                <w:szCs w:val="24"/>
              </w:rPr>
              <w:t>agaaccuggauuaccuacuuccuc</w:t>
            </w:r>
          </w:p>
        </w:tc>
      </w:tr>
      <w:tr w:rsidR="00E47038" w:rsidRPr="00E47038" w:rsidTr="00EC3A3C">
        <w:tc>
          <w:tcPr>
            <w:tcW w:w="1838" w:type="dxa"/>
            <w:gridSpan w:val="2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AM-TTATT-Biotin reporter</w:t>
            </w:r>
          </w:p>
        </w:tc>
        <w:tc>
          <w:tcPr>
            <w:tcW w:w="6458" w:type="dxa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-FAM-TTATT-Biotin</w:t>
            </w:r>
          </w:p>
        </w:tc>
      </w:tr>
      <w:tr w:rsidR="00E47038" w:rsidRPr="00E47038" w:rsidTr="00EC3A3C">
        <w:tc>
          <w:tcPr>
            <w:tcW w:w="1838" w:type="dxa"/>
            <w:gridSpan w:val="2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HEX-TTATT-BHQ1 reporter</w:t>
            </w:r>
          </w:p>
        </w:tc>
        <w:tc>
          <w:tcPr>
            <w:tcW w:w="6458" w:type="dxa"/>
          </w:tcPr>
          <w:p w:rsidR="00E47038" w:rsidRPr="00E47038" w:rsidRDefault="00E47038" w:rsidP="00EC3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038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E47038">
              <w:rPr>
                <w:rFonts w:ascii="Times New Roman" w:hAnsi="Times New Roman" w:cs="Times New Roman"/>
                <w:sz w:val="24"/>
                <w:szCs w:val="24"/>
              </w:rPr>
              <w:t>EX-TTATT-BHQ1</w:t>
            </w:r>
          </w:p>
        </w:tc>
      </w:tr>
    </w:tbl>
    <w:p w:rsidR="00E47038" w:rsidRPr="00E47038" w:rsidRDefault="00E47038" w:rsidP="00E47038">
      <w:pPr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 xml:space="preserve">Underline indicates the PAM region. </w:t>
      </w:r>
    </w:p>
    <w:p w:rsidR="00E47038" w:rsidRPr="00E47038" w:rsidRDefault="00E47038" w:rsidP="00E47038">
      <w:pPr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Bold characters represent a crRNA binding region and targeted PAM-proximal truncate sequence.</w:t>
      </w:r>
    </w:p>
    <w:p w:rsidR="00E47038" w:rsidRPr="00E47038" w:rsidRDefault="00E47038" w:rsidP="00E47038">
      <w:pPr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* Corresponds to the optimum RPA primers used in this study.</w:t>
      </w:r>
    </w:p>
    <w:p w:rsidR="0004088F" w:rsidRPr="00E47038" w:rsidRDefault="0004088F" w:rsidP="0004088F">
      <w:pPr>
        <w:spacing w:line="480" w:lineRule="auto"/>
        <w:rPr>
          <w:rFonts w:cs="Times New Roman"/>
          <w:sz w:val="24"/>
          <w:szCs w:val="24"/>
        </w:rPr>
      </w:pP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bookmarkStart w:id="0" w:name="_GoBack"/>
      <w:bookmarkEnd w:id="0"/>
      <w:r w:rsidRPr="00E47038">
        <w:rPr>
          <w:rFonts w:cs="Times New Roman"/>
          <w:sz w:val="24"/>
          <w:szCs w:val="24"/>
        </w:rPr>
        <w:t>Table S2. Partial sequences of C. parvum gp60 gene of six subtype families (IIa-IIf) cloned into the pUC57 vectors.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&gt;FJ839880-IIa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ATCGTATTACTCTCCGTTATAGTCTCCGCTGTATTCTCAGCCCCAGCCGTTCCACTCAGAGGAACTTTAAAGGATGTTCCTGTTGAGGGCTCATCATCGTCATCGTCATCGTCATCATCATCATCATCATCATCATCATCATCATCATCATCATCAACATCAACCGTCGCACCAGCAAATAAGGCAAGAACTGGAGAAGACGCAGAAGGCAGTCAAGATTCTAGTGGTACTGAAGCTTCTGGTAGCCAGGGTTCTGAAGAGGAAGGTAGTGAAGACGATGGCCAAACTAGTGCTGCTTCCCAACCCACTACTCCAGCTCAAAGTGAAGGCGCAACTACCGAAACCATAGAAGCTACCTCAAAAGAAGAATGCGGCACTTCAT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lastRenderedPageBreak/>
        <w:t>&gt;AF402285-IIb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ATCGTATTACTCTCCGTTATAGTCTCCGCTGTATTCTCAGCCCCAGCCGTTCCGCTGAGAGGCACCTTGAAGGATGTTTCTGTTGAGGGCTCATCATCATCATCATCATCATCATCATCATCATCATCATCAACGACCGTCGCACCAGCTTCAAATAAGGCAAGAACTGGAGAAGACACAGAAGGTAGTCAAGTTTCTGGTGGTACTCCTGAATCTTCTGGCAGCCAGGACACTGAGGAAAGTGAAGACGGTTCCCAAACTAGTACTGTCTCCGAATCCACTACTCCAGCTCAAAGTGAAGGCACAATTACCGAAACCACAGAAGCTGCTCCAAAGAAAGAGTGCGGTACTTCAT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&gt;FJ839876-IIc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ATCGTATTACTCTCCGTTATAGTCTCCGCTGTATTCTCAGCCCCACCCGTTCCACTCAGAGGCACTTTAAAGGATGTTTCTGTTGAGAGCTCATCGTCATCATCGTCATCGTCAACAACAACCCCCGCACCAGCTCCAAAGAAGGTAAGAGAAAGCGAAGAAGGGAAGAACAGTGAAGATAGTCAAACTCCCGCTAGTCCTGGAAGTGATTCTCAGGATAGCTCTAAAGGAGACGAAGTTGTAGGTGGAGGCGCTTCCGGATCTAGTACCCCAACTCAAGCTGCTGAAAAGGAGCCCGAAACTCCAGAATCTACTCCAAAGGAAGAATGTGGTACTTCAT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lastRenderedPageBreak/>
        <w:t>&gt;FJ839877-IId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ATCGTATTACTCTCCGTTATAGTCTCCGCTGTATTCTCAGCCCCAGCCGTTCCACTCAGAGGCACTTTAAAGGACGTTTCTGTTGAGGGTTCATCATCATCATCATCATCATCATCATCATCATCATCATCATCATCATCATCATCGTCATCATCATCATCATCAACATCGACTGTAGCACCAACTCCAAAGAAAGAAAGAACTGGAGAGGAAGTAGGTAATCCAGGTTCTGAAGGTCAGGACGGTAAAGGAGACAATGAAGAAACAGAAGACAATCAGACCGAGAGTACTGTTTCTCAAAATACTTCAGCTCAGACTGAAGGCACAACTACCGAAACCACAGAAGCTGCTCCAAAGAAAGAGTGCGGTACTTCAT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&gt;GU214369-IIe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ATCGTATTACTCTCCGTTATAGTCTCCGCTGTATTCTCAGCCCCAGCCGTTCCACTCAGAGGCACTTTAAAGGATGCTTCTGTTGAGGGCTCATCATCATCATCATCATCATCGACCACCGTCGCACCAGCTCCAAAGAAAGAAAGAACTGGAGAGGGCGTAGATGGAAAGGACCAAGTAGATAGTACAGGTTCTGATCAGAGCAGTAAAGGAGACACTGAAGGAATCACAGAAGATGGTAAAGAGACCGGAGATACTGTTTCCCAACCCACTACTCCTCCAGATCAAGGTGAGAGCGCAACTCCCGGATCCACGGAAACTACTCCAAAGGAAGAATGCGGTACTTCAT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lastRenderedPageBreak/>
        <w:t>&gt;AY738188-IIf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  <w:r w:rsidRPr="00E47038">
        <w:rPr>
          <w:rFonts w:cs="Times New Roman"/>
          <w:sz w:val="24"/>
          <w:szCs w:val="24"/>
        </w:rPr>
        <w:t>ATGAGATTGTCGCTCATTCCAAGTCGGTATAGTCTCCGCTGTATTCTCAGCCCCGGCCGTTCCACTCAGAGGCACTTTAAAGGATGTTTCTGTTGAGGGCTCATCATCATCATCATCAACAAAAACCATCGCACCAGCAAATAAGGCAAGAACTGTAGAAAACTCAGAAAGTAGTGATAGTCCAGATTCTGGTGCTGGAGGTAGTTCTGGTACTAGCGATTCTAATGCTACCCAGGATTCAACTCAAGGAGGTACTCAAGGAGATAATCAAGAACAAAGTACTGCTAGCCAAGCCACTGCCCCAACTCAAGGTTCTGCTGACACTACTCAGTCCACAGAAACTAATCCGAATGAAGAATGCGGTACTTCATT</w:t>
      </w:r>
    </w:p>
    <w:p w:rsidR="00E47038" w:rsidRPr="00E47038" w:rsidRDefault="00E47038" w:rsidP="00E47038">
      <w:pPr>
        <w:spacing w:line="480" w:lineRule="auto"/>
        <w:rPr>
          <w:rFonts w:cs="Times New Roman"/>
          <w:sz w:val="24"/>
          <w:szCs w:val="24"/>
        </w:rPr>
      </w:pPr>
    </w:p>
    <w:p w:rsidR="00E47038" w:rsidRPr="00E47038" w:rsidRDefault="00E47038" w:rsidP="0004088F">
      <w:pPr>
        <w:spacing w:line="480" w:lineRule="auto"/>
        <w:rPr>
          <w:rFonts w:cs="Times New Roman" w:hint="eastAsia"/>
          <w:sz w:val="24"/>
          <w:szCs w:val="24"/>
        </w:rPr>
      </w:pPr>
    </w:p>
    <w:sectPr w:rsidR="00E47038" w:rsidRPr="00E47038" w:rsidSect="0004088F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CCB" w:rsidRDefault="003E3CCB" w:rsidP="0004088F">
      <w:r>
        <w:separator/>
      </w:r>
    </w:p>
  </w:endnote>
  <w:endnote w:type="continuationSeparator" w:id="0">
    <w:p w:rsidR="003E3CCB" w:rsidRDefault="003E3CCB" w:rsidP="0004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CCB" w:rsidRDefault="003E3CCB" w:rsidP="0004088F">
      <w:r>
        <w:separator/>
      </w:r>
    </w:p>
  </w:footnote>
  <w:footnote w:type="continuationSeparator" w:id="0">
    <w:p w:rsidR="003E3CCB" w:rsidRDefault="003E3CCB" w:rsidP="00040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D5"/>
    <w:rsid w:val="0004088F"/>
    <w:rsid w:val="00124135"/>
    <w:rsid w:val="003E3CCB"/>
    <w:rsid w:val="006673D5"/>
    <w:rsid w:val="008F1BB9"/>
    <w:rsid w:val="00914F87"/>
    <w:rsid w:val="009479F1"/>
    <w:rsid w:val="00E303A6"/>
    <w:rsid w:val="00E4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C877D"/>
  <w15:chartTrackingRefBased/>
  <w15:docId w15:val="{0339217A-EA1B-473F-A5F0-EBD47F9C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88F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8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08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0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088F"/>
    <w:rPr>
      <w:sz w:val="18"/>
      <w:szCs w:val="18"/>
    </w:rPr>
  </w:style>
  <w:style w:type="table" w:styleId="a7">
    <w:name w:val="Table Grid"/>
    <w:basedOn w:val="a1"/>
    <w:uiPriority w:val="39"/>
    <w:rsid w:val="00E47038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1229</Words>
  <Characters>7011</Characters>
  <Application>Microsoft Office Word</Application>
  <DocSecurity>0</DocSecurity>
  <Lines>58</Lines>
  <Paragraphs>16</Paragraphs>
  <ScaleCrop>false</ScaleCrop>
  <Company>河南农业大学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余复昌</dc:creator>
  <cp:keywords/>
  <dc:description/>
  <cp:lastModifiedBy>余复昌</cp:lastModifiedBy>
  <cp:revision>3</cp:revision>
  <dcterms:created xsi:type="dcterms:W3CDTF">2020-12-17T09:59:00Z</dcterms:created>
  <dcterms:modified xsi:type="dcterms:W3CDTF">2021-01-02T14:47:00Z</dcterms:modified>
</cp:coreProperties>
</file>