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24B" w:rsidRPr="00E06EC4" w:rsidRDefault="000D524B" w:rsidP="000D524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4753041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Vector role and human biting activity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Anophelinae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mosquitoes in different landscapes in the Brazilian Amazon</w:t>
      </w:r>
      <w:bookmarkEnd w:id="0"/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1" w:name="_Hlk47530358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Gabriel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Leonardo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Suveges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Antunes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Bickersmith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Jan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AniceMureb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7530477"/>
      <w:bookmarkEnd w:id="1"/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Epidemiologia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São Paulo,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Setor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Centro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FMABC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Santo André,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Superintendencia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Endemias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Secretaria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Estado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Wadsworth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Center, New York State Department of Health, Albany, NY, USA.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Biomedical Sciences, School of Public Health, State University of New York, Albany, NY, USA.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Aplicada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Fundação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Getulio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Vargas, Rio de Janeiro, RJ, BR</w:t>
      </w:r>
    </w:p>
    <w:p w:rsidR="00A43159" w:rsidRDefault="00A43159" w:rsidP="00A4315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email: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Oliveira: porangaba@usp.br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edusteber@uol.com.br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Chaves: leonardosuveges@usp.br</w:t>
      </w:r>
    </w:p>
    <w:p w:rsidR="00A43159" w:rsidRDefault="00A43159" w:rsidP="00A4315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lastRenderedPageBreak/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Antunes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leopoldo@usp.br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 xml:space="preserve">Sara A.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Bickersmith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: sara.bickersmith@health.ny.gov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edmassad@dim.fm.usp.br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Maria A.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masallum@usp.br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author: </w:t>
      </w:r>
    </w:p>
    <w:p w:rsidR="00A43159" w:rsidRDefault="00A43159" w:rsidP="00A4315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Oliveira.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Av.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Arnaldo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715,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Cerqueira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César.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01246-904.</w:t>
      </w:r>
    </w:p>
    <w:p w:rsidR="00A43159" w:rsidRDefault="00A43159" w:rsidP="00A43159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159" w:rsidRDefault="00A43159" w:rsidP="000D524B">
      <w:pPr>
        <w:spacing w:after="0" w:line="48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A43159" w:rsidRDefault="00A43159" w:rsidP="000D524B">
      <w:pPr>
        <w:spacing w:after="0" w:line="48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0D524B" w:rsidRPr="00E06EC4" w:rsidRDefault="000D524B" w:rsidP="000D524B">
      <w:pPr>
        <w:spacing w:after="0" w:line="48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E06EC4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E06E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6EC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proofErr w:type="spellEnd"/>
      <w:r w:rsidRPr="00E06E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06EC4">
        <w:rPr>
          <w:rFonts w:ascii="Times New Roman" w:eastAsia="Times New Roman" w:hAnsi="Times New Roman" w:cs="Times New Roman"/>
          <w:bCs/>
          <w:sz w:val="24"/>
          <w:szCs w:val="24"/>
        </w:rPr>
        <w:t>Final multiple models of the negative binomial regression analysis for the response variable: number of infected mosquitoes.</w:t>
      </w:r>
    </w:p>
    <w:tbl>
      <w:tblPr>
        <w:tblStyle w:val="LightShading1"/>
        <w:tblW w:w="9573" w:type="dxa"/>
        <w:tblInd w:w="-601" w:type="dxa"/>
        <w:tblLook w:val="04A0" w:firstRow="1" w:lastRow="0" w:firstColumn="1" w:lastColumn="0" w:noHBand="0" w:noVBand="1"/>
      </w:tblPr>
      <w:tblGrid>
        <w:gridCol w:w="2411"/>
        <w:gridCol w:w="1560"/>
        <w:gridCol w:w="1134"/>
        <w:gridCol w:w="992"/>
        <w:gridCol w:w="1133"/>
        <w:gridCol w:w="2343"/>
      </w:tblGrid>
      <w:tr w:rsidR="000D524B" w:rsidRPr="00E06EC4" w:rsidTr="00D92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hideMark/>
          </w:tcPr>
          <w:p w:rsidR="000D524B" w:rsidRPr="00E06EC4" w:rsidRDefault="000D524B" w:rsidP="00D92652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  <w:p w:rsidR="000D524B" w:rsidRPr="00E06EC4" w:rsidRDefault="000D524B" w:rsidP="00D92652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  <w:t>Number of infected mosquitoes</w:t>
            </w:r>
          </w:p>
        </w:tc>
        <w:tc>
          <w:tcPr>
            <w:tcW w:w="1560" w:type="dxa"/>
            <w:hideMark/>
          </w:tcPr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</w:p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  <w:proofErr w:type="spellStart"/>
            <w:r w:rsidRPr="00E06EC4"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  <w:t>IRR</w:t>
            </w:r>
            <w:proofErr w:type="spellEnd"/>
          </w:p>
        </w:tc>
        <w:tc>
          <w:tcPr>
            <w:tcW w:w="1134" w:type="dxa"/>
            <w:hideMark/>
          </w:tcPr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Std. Err.</w:t>
            </w:r>
          </w:p>
        </w:tc>
        <w:tc>
          <w:tcPr>
            <w:tcW w:w="992" w:type="dxa"/>
            <w:hideMark/>
          </w:tcPr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</w:t>
            </w:r>
          </w:p>
        </w:tc>
        <w:tc>
          <w:tcPr>
            <w:tcW w:w="1133" w:type="dxa"/>
          </w:tcPr>
          <w:p w:rsidR="000D524B" w:rsidRPr="00E06EC4" w:rsidRDefault="000D524B" w:rsidP="00D92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</w:rPr>
            </w:pPr>
          </w:p>
          <w:p w:rsidR="000D524B" w:rsidRPr="00E06EC4" w:rsidRDefault="000D524B" w:rsidP="00D92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E06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value</w:t>
            </w:r>
          </w:p>
          <w:p w:rsidR="000D524B" w:rsidRPr="00E06EC4" w:rsidRDefault="000D524B" w:rsidP="00D92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</w:rPr>
            </w:pPr>
          </w:p>
        </w:tc>
        <w:tc>
          <w:tcPr>
            <w:tcW w:w="2343" w:type="dxa"/>
          </w:tcPr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</w:rPr>
            </w:pPr>
          </w:p>
          <w:p w:rsidR="000D524B" w:rsidRPr="00E06EC4" w:rsidRDefault="000D524B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95% Conf. interval</w:t>
            </w:r>
          </w:p>
        </w:tc>
      </w:tr>
      <w:tr w:rsidR="000D524B" w:rsidRPr="00E06EC4" w:rsidTr="00D92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noWrap/>
          </w:tcPr>
          <w:p w:rsidR="000D524B" w:rsidRPr="00E06EC4" w:rsidRDefault="000D524B" w:rsidP="00D92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DW</w:t>
            </w:r>
          </w:p>
        </w:tc>
        <w:tc>
          <w:tcPr>
            <w:tcW w:w="1560" w:type="dxa"/>
            <w:noWrap/>
            <w:hideMark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134" w:type="dxa"/>
            <w:hideMark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0.139</w:t>
            </w:r>
          </w:p>
        </w:tc>
        <w:tc>
          <w:tcPr>
            <w:tcW w:w="992" w:type="dxa"/>
            <w:noWrap/>
            <w:hideMark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-2.38</w:t>
            </w:r>
          </w:p>
        </w:tc>
        <w:tc>
          <w:tcPr>
            <w:tcW w:w="1133" w:type="dxa"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0.017*</w:t>
            </w:r>
          </w:p>
        </w:tc>
        <w:tc>
          <w:tcPr>
            <w:tcW w:w="2343" w:type="dxa"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0.062 – 0.764</w:t>
            </w:r>
          </w:p>
        </w:tc>
      </w:tr>
      <w:tr w:rsidR="000D524B" w:rsidRPr="00E06EC4" w:rsidTr="00D926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noWrap/>
            <w:hideMark/>
          </w:tcPr>
          <w:p w:rsidR="000D524B" w:rsidRPr="00E06EC4" w:rsidRDefault="000D524B" w:rsidP="00D92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1560" w:type="dxa"/>
            <w:noWrap/>
          </w:tcPr>
          <w:p w:rsidR="000D524B" w:rsidRPr="00E06EC4" w:rsidRDefault="000D524B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134" w:type="dxa"/>
            <w:noWrap/>
          </w:tcPr>
          <w:p w:rsidR="000D524B" w:rsidRPr="00E06EC4" w:rsidRDefault="000D524B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2.667</w:t>
            </w:r>
          </w:p>
        </w:tc>
        <w:tc>
          <w:tcPr>
            <w:tcW w:w="992" w:type="dxa"/>
            <w:noWrap/>
          </w:tcPr>
          <w:p w:rsidR="000D524B" w:rsidRPr="00E06EC4" w:rsidRDefault="000D524B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1133" w:type="dxa"/>
          </w:tcPr>
          <w:p w:rsidR="000D524B" w:rsidRPr="00E06EC4" w:rsidRDefault="000D524B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0.038*</w:t>
            </w:r>
          </w:p>
        </w:tc>
        <w:tc>
          <w:tcPr>
            <w:tcW w:w="2343" w:type="dxa"/>
          </w:tcPr>
          <w:p w:rsidR="000D524B" w:rsidRPr="00E06EC4" w:rsidRDefault="000D524B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1.077 – 14.790</w:t>
            </w:r>
          </w:p>
        </w:tc>
      </w:tr>
      <w:tr w:rsidR="000D524B" w:rsidRPr="00E06EC4" w:rsidTr="00D92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noWrap/>
          </w:tcPr>
          <w:p w:rsidR="000D524B" w:rsidRPr="00E06EC4" w:rsidRDefault="000D524B" w:rsidP="00D92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_cons</w:t>
            </w:r>
          </w:p>
        </w:tc>
        <w:tc>
          <w:tcPr>
            <w:tcW w:w="1560" w:type="dxa"/>
            <w:noWrap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134" w:type="dxa"/>
            <w:noWrap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992" w:type="dxa"/>
            <w:noWrap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-0.68</w:t>
            </w:r>
          </w:p>
        </w:tc>
        <w:tc>
          <w:tcPr>
            <w:tcW w:w="1133" w:type="dxa"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2343" w:type="dxa"/>
          </w:tcPr>
          <w:p w:rsidR="000D524B" w:rsidRPr="00E06EC4" w:rsidRDefault="000D524B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0.217 – 2.099</w:t>
            </w:r>
          </w:p>
        </w:tc>
      </w:tr>
    </w:tbl>
    <w:p w:rsidR="000D524B" w:rsidRPr="00E06EC4" w:rsidRDefault="000D524B" w:rsidP="000D524B">
      <w:pPr>
        <w:tabs>
          <w:tab w:val="left" w:pos="5670"/>
        </w:tabs>
        <w:spacing w:after="0" w:line="240" w:lineRule="auto"/>
        <w:ind w:left="-7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DW</w:t>
      </w:r>
      <w:proofErr w:type="spellEnd"/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06EC4">
        <w:rPr>
          <w:rFonts w:ascii="Times New Roman" w:eastAsia="Times New Roman" w:hAnsi="Times New Roman" w:cs="Times New Roman"/>
          <w:sz w:val="24"/>
          <w:szCs w:val="24"/>
        </w:rPr>
        <w:t xml:space="preserve">distance from human landing catch houses to the nearest standing water; 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FC: forest cover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incidence rate ratios; _cons: constant.</w:t>
      </w:r>
    </w:p>
    <w:p w:rsidR="000D524B" w:rsidRPr="00E06EC4" w:rsidRDefault="000D524B" w:rsidP="000D524B">
      <w:pPr>
        <w:tabs>
          <w:tab w:val="left" w:pos="5670"/>
        </w:tabs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06EC4">
        <w:rPr>
          <w:rFonts w:ascii="Times New Roman" w:hAnsi="Times New Roman" w:cs="Times New Roman"/>
          <w:sz w:val="24"/>
          <w:szCs w:val="24"/>
        </w:rPr>
        <w:t>S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ignificance level (</w:t>
      </w:r>
      <w:r w:rsidRPr="00E06E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 0.05</w:t>
      </w:r>
    </w:p>
    <w:p w:rsidR="000D524B" w:rsidRDefault="000D524B" w:rsidP="000D524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4B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524B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0339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3159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D6FC0-D230-46A2-8F7F-3C05355E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0D524B"/>
    <w:pPr>
      <w:spacing w:after="0" w:line="240" w:lineRule="auto"/>
    </w:pPr>
    <w:rPr>
      <w:color w:val="000000" w:themeColor="text1" w:themeShade="BF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2</cp:revision>
  <dcterms:created xsi:type="dcterms:W3CDTF">2021-04-19T12:43:00Z</dcterms:created>
  <dcterms:modified xsi:type="dcterms:W3CDTF">2021-04-19T15:24:00Z</dcterms:modified>
</cp:coreProperties>
</file>