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F83" w:rsidRPr="008F25CD" w:rsidRDefault="00B25F83" w:rsidP="00B25F83">
      <w:pPr>
        <w:pStyle w:val="Caption"/>
        <w:keepNext/>
        <w:rPr>
          <w:i w:val="0"/>
          <w:color w:val="auto"/>
          <w:sz w:val="22"/>
          <w:szCs w:val="22"/>
        </w:rPr>
      </w:pPr>
      <w:r w:rsidRPr="008F25CD">
        <w:rPr>
          <w:i w:val="0"/>
          <w:color w:val="auto"/>
          <w:sz w:val="22"/>
          <w:szCs w:val="22"/>
        </w:rPr>
        <w:t>Table S</w:t>
      </w:r>
      <w:bookmarkStart w:id="0" w:name="_GoBack"/>
      <w:bookmarkEnd w:id="0"/>
      <w:r w:rsidRPr="008F25CD">
        <w:rPr>
          <w:i w:val="0"/>
          <w:color w:val="auto"/>
          <w:sz w:val="22"/>
          <w:szCs w:val="22"/>
        </w:rPr>
        <w:fldChar w:fldCharType="begin"/>
      </w:r>
      <w:r w:rsidRPr="008F25CD">
        <w:rPr>
          <w:i w:val="0"/>
          <w:color w:val="auto"/>
          <w:sz w:val="22"/>
          <w:szCs w:val="22"/>
        </w:rPr>
        <w:instrText xml:space="preserve"> SEQ Table_S \* ARABIC </w:instrText>
      </w:r>
      <w:r w:rsidRPr="008F25CD">
        <w:rPr>
          <w:i w:val="0"/>
          <w:color w:val="auto"/>
          <w:sz w:val="22"/>
          <w:szCs w:val="22"/>
        </w:rPr>
        <w:fldChar w:fldCharType="separate"/>
      </w:r>
      <w:r w:rsidRPr="008F25CD">
        <w:rPr>
          <w:i w:val="0"/>
          <w:noProof/>
          <w:color w:val="auto"/>
          <w:sz w:val="22"/>
          <w:szCs w:val="22"/>
        </w:rPr>
        <w:t>1</w:t>
      </w:r>
      <w:r w:rsidRPr="008F25CD">
        <w:rPr>
          <w:i w:val="0"/>
          <w:color w:val="auto"/>
          <w:sz w:val="22"/>
          <w:szCs w:val="22"/>
        </w:rPr>
        <w:fldChar w:fldCharType="end"/>
      </w:r>
      <w:r w:rsidRPr="008F25CD">
        <w:rPr>
          <w:i w:val="0"/>
          <w:color w:val="auto"/>
          <w:sz w:val="22"/>
          <w:szCs w:val="22"/>
        </w:rPr>
        <w:t>. Primers used in the study</w:t>
      </w:r>
    </w:p>
    <w:tbl>
      <w:tblPr>
        <w:tblStyle w:val="TableGrid"/>
        <w:tblW w:w="9804" w:type="dxa"/>
        <w:tblLook w:val="04A0" w:firstRow="1" w:lastRow="0" w:firstColumn="1" w:lastColumn="0" w:noHBand="0" w:noVBand="1"/>
      </w:tblPr>
      <w:tblGrid>
        <w:gridCol w:w="708"/>
        <w:gridCol w:w="2192"/>
        <w:gridCol w:w="2657"/>
        <w:gridCol w:w="1809"/>
        <w:gridCol w:w="2438"/>
      </w:tblGrid>
      <w:tr w:rsidR="00EA4928" w:rsidRPr="00EA4928" w:rsidTr="00EA4928">
        <w:tc>
          <w:tcPr>
            <w:tcW w:w="708" w:type="dxa"/>
            <w:vAlign w:val="center"/>
          </w:tcPr>
          <w:p w:rsidR="00EA4928" w:rsidRPr="00EA4928" w:rsidRDefault="00EA4928" w:rsidP="00712CEA">
            <w:pPr>
              <w:spacing w:line="360" w:lineRule="auto"/>
              <w:jc w:val="center"/>
              <w:rPr>
                <w:rFonts w:asciiTheme="majorHAnsi" w:hAnsiTheme="majorHAnsi" w:cstheme="majorHAnsi"/>
                <w:b/>
                <w:color w:val="131413"/>
                <w:sz w:val="18"/>
                <w:szCs w:val="18"/>
                <w:lang w:val="en-US"/>
              </w:rPr>
            </w:pPr>
            <w:r w:rsidRPr="00EA4928">
              <w:rPr>
                <w:rFonts w:asciiTheme="majorHAnsi" w:hAnsiTheme="majorHAnsi" w:cstheme="majorHAnsi"/>
                <w:b/>
                <w:color w:val="000000"/>
                <w:sz w:val="18"/>
                <w:szCs w:val="18"/>
              </w:rPr>
              <w:t>Target gene</w:t>
            </w:r>
          </w:p>
        </w:tc>
        <w:tc>
          <w:tcPr>
            <w:tcW w:w="2192" w:type="dxa"/>
            <w:vAlign w:val="center"/>
          </w:tcPr>
          <w:p w:rsidR="00EA4928" w:rsidRPr="00EA4928" w:rsidRDefault="00EA4928" w:rsidP="00712CEA">
            <w:pPr>
              <w:spacing w:line="360" w:lineRule="auto"/>
              <w:jc w:val="center"/>
              <w:rPr>
                <w:rFonts w:asciiTheme="majorHAnsi" w:hAnsiTheme="majorHAnsi" w:cstheme="majorHAnsi"/>
                <w:b/>
                <w:color w:val="131413"/>
                <w:sz w:val="18"/>
                <w:szCs w:val="18"/>
                <w:lang w:val="en-US"/>
              </w:rPr>
            </w:pPr>
            <w:r w:rsidRPr="00EA4928">
              <w:rPr>
                <w:rFonts w:asciiTheme="majorHAnsi" w:hAnsiTheme="majorHAnsi" w:cstheme="majorHAnsi"/>
                <w:b/>
                <w:color w:val="131413"/>
                <w:sz w:val="18"/>
                <w:szCs w:val="18"/>
                <w:lang w:val="en-US"/>
              </w:rPr>
              <w:t>Primer name</w:t>
            </w:r>
          </w:p>
        </w:tc>
        <w:tc>
          <w:tcPr>
            <w:tcW w:w="2657" w:type="dxa"/>
            <w:vAlign w:val="center"/>
          </w:tcPr>
          <w:p w:rsidR="00EA4928" w:rsidRPr="00EA4928" w:rsidRDefault="00EA4928" w:rsidP="00712CEA">
            <w:pPr>
              <w:spacing w:line="360" w:lineRule="auto"/>
              <w:jc w:val="center"/>
              <w:rPr>
                <w:rFonts w:asciiTheme="majorHAnsi" w:hAnsiTheme="majorHAnsi" w:cstheme="majorHAnsi"/>
                <w:b/>
                <w:color w:val="131413"/>
                <w:sz w:val="18"/>
                <w:szCs w:val="18"/>
                <w:lang w:val="en-US"/>
              </w:rPr>
            </w:pPr>
            <w:r w:rsidRPr="00EA4928">
              <w:rPr>
                <w:rFonts w:asciiTheme="majorHAnsi" w:hAnsiTheme="majorHAnsi" w:cstheme="majorHAnsi"/>
                <w:b/>
                <w:color w:val="131413"/>
                <w:sz w:val="18"/>
                <w:szCs w:val="18"/>
                <w:lang w:val="en-US"/>
              </w:rPr>
              <w:t>Primer sequence (5’ - 3’)</w:t>
            </w:r>
          </w:p>
        </w:tc>
        <w:tc>
          <w:tcPr>
            <w:tcW w:w="1809" w:type="dxa"/>
            <w:vAlign w:val="center"/>
          </w:tcPr>
          <w:p w:rsidR="00EA4928" w:rsidRPr="00EA4928" w:rsidRDefault="00EA4928" w:rsidP="00712CEA">
            <w:pPr>
              <w:spacing w:line="360" w:lineRule="auto"/>
              <w:jc w:val="center"/>
              <w:rPr>
                <w:rFonts w:asciiTheme="majorHAnsi" w:hAnsiTheme="majorHAnsi" w:cstheme="majorHAnsi"/>
                <w:b/>
                <w:color w:val="131413"/>
                <w:sz w:val="18"/>
                <w:szCs w:val="18"/>
                <w:lang w:val="en-US"/>
              </w:rPr>
            </w:pPr>
            <w:r w:rsidRPr="00EA4928">
              <w:rPr>
                <w:rFonts w:asciiTheme="majorHAnsi" w:hAnsiTheme="majorHAnsi" w:cstheme="majorHAnsi"/>
                <w:b/>
                <w:color w:val="131413"/>
                <w:sz w:val="18"/>
                <w:szCs w:val="18"/>
                <w:lang w:val="en-US"/>
              </w:rPr>
              <w:t>Annealing temperature /product length (bp)</w:t>
            </w:r>
          </w:p>
        </w:tc>
        <w:tc>
          <w:tcPr>
            <w:tcW w:w="2438" w:type="dxa"/>
            <w:vAlign w:val="center"/>
          </w:tcPr>
          <w:p w:rsidR="00EA4928" w:rsidRPr="00EA4928" w:rsidRDefault="00EA4928" w:rsidP="00712CEA">
            <w:pPr>
              <w:spacing w:line="360" w:lineRule="auto"/>
              <w:jc w:val="center"/>
              <w:rPr>
                <w:rFonts w:asciiTheme="majorHAnsi" w:hAnsiTheme="majorHAnsi" w:cstheme="majorHAnsi"/>
                <w:b/>
                <w:color w:val="131413"/>
                <w:sz w:val="18"/>
                <w:szCs w:val="18"/>
                <w:lang w:val="en-US"/>
              </w:rPr>
            </w:pPr>
            <w:r w:rsidRPr="00EA4928">
              <w:rPr>
                <w:rFonts w:asciiTheme="majorHAnsi" w:hAnsiTheme="majorHAnsi" w:cstheme="majorHAnsi"/>
                <w:b/>
                <w:color w:val="131413"/>
                <w:sz w:val="18"/>
                <w:szCs w:val="18"/>
                <w:lang w:val="en-US"/>
              </w:rPr>
              <w:t>Reference</w:t>
            </w:r>
          </w:p>
        </w:tc>
      </w:tr>
      <w:tr w:rsidR="00EA4928" w:rsidRPr="00EA4928" w:rsidTr="00EA4928">
        <w:tc>
          <w:tcPr>
            <w:tcW w:w="708" w:type="dxa"/>
            <w:vMerge w:val="restart"/>
            <w:vAlign w:val="center"/>
          </w:tcPr>
          <w:p w:rsidR="00EA4928" w:rsidRPr="00EA4928" w:rsidRDefault="00EA4928" w:rsidP="00712CEA">
            <w:pPr>
              <w:spacing w:line="360" w:lineRule="auto"/>
              <w:jc w:val="center"/>
              <w:rPr>
                <w:rFonts w:asciiTheme="majorHAnsi" w:hAnsiTheme="majorHAnsi" w:cstheme="majorHAnsi"/>
                <w:i/>
                <w:color w:val="131413"/>
                <w:sz w:val="18"/>
                <w:szCs w:val="18"/>
                <w:lang w:val="en-US"/>
              </w:rPr>
            </w:pPr>
            <w:proofErr w:type="spellStart"/>
            <w:r w:rsidRPr="00EA4928">
              <w:rPr>
                <w:rFonts w:asciiTheme="majorHAnsi" w:hAnsiTheme="majorHAnsi" w:cstheme="majorHAnsi"/>
                <w:i/>
                <w:color w:val="131413"/>
                <w:sz w:val="18"/>
                <w:szCs w:val="18"/>
                <w:lang w:val="en-US"/>
              </w:rPr>
              <w:t>groESL</w:t>
            </w:r>
            <w:proofErr w:type="spellEnd"/>
          </w:p>
        </w:tc>
        <w:tc>
          <w:tcPr>
            <w:tcW w:w="2192"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roofErr w:type="spellStart"/>
            <w:r w:rsidRPr="00EA4928">
              <w:rPr>
                <w:rFonts w:asciiTheme="majorHAnsi" w:hAnsiTheme="majorHAnsi" w:cstheme="majorHAnsi"/>
                <w:color w:val="131413"/>
                <w:sz w:val="18"/>
                <w:szCs w:val="18"/>
                <w:lang w:val="en-US"/>
              </w:rPr>
              <w:t>EphplgroEL</w:t>
            </w:r>
            <w:proofErr w:type="spellEnd"/>
            <w:r w:rsidRPr="00EA4928">
              <w:rPr>
                <w:rFonts w:asciiTheme="majorHAnsi" w:hAnsiTheme="majorHAnsi" w:cstheme="majorHAnsi"/>
                <w:color w:val="131413"/>
                <w:sz w:val="18"/>
                <w:szCs w:val="18"/>
                <w:lang w:val="en-US"/>
              </w:rPr>
              <w:t>(569)F</w:t>
            </w:r>
          </w:p>
        </w:tc>
        <w:tc>
          <w:tcPr>
            <w:tcW w:w="2657"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ATGGTATGCAGTTTGATCGC</w:t>
            </w:r>
          </w:p>
        </w:tc>
        <w:tc>
          <w:tcPr>
            <w:tcW w:w="1809" w:type="dxa"/>
            <w:vMerge w:val="restart"/>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57°C/574</w:t>
            </w:r>
          </w:p>
        </w:tc>
        <w:tc>
          <w:tcPr>
            <w:tcW w:w="2438" w:type="dxa"/>
            <w:vMerge w:val="restart"/>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fldChar w:fldCharType="begin" w:fldLock="1"/>
            </w:r>
            <w:r w:rsidR="009536A9">
              <w:rPr>
                <w:rFonts w:asciiTheme="majorHAnsi" w:hAnsiTheme="majorHAnsi" w:cstheme="majorHAnsi"/>
                <w:color w:val="131413"/>
                <w:sz w:val="18"/>
                <w:szCs w:val="18"/>
                <w:lang w:val="en-US"/>
              </w:rPr>
              <w:instrText>ADDIN CSL_CITATION {"citationItems":[{"id":"ITEM-1","itemData":{"DOI":"10.1128/AEM.71.10.6418-6422.2005","ISSN":"00992240","PMID":"16204571","abstract":"The presence of Anaplasma phagocytophilum, a tick-transmitted zoonotic pathogen, was investigated in Sardinia using a molecular approach. Phylogenetic analysis revealed that Sardinian strains are genetically distinct from the two lineages previously described in Europe and are closely related to strains isolated in different areas of the United States. Copyright © 2005, American Society for Microbiology. All Rights Reserved.","author":[{"dropping-particle":"","family":"Alberti","given":"Alberto","non-dropping-particle":"","parse-names":false,"suffix":""},{"dropping-particle":"","family":"Zobba","given":"Rosanna","non-dropping-particle":"","parse-names":false,"suffix":""},{"dropping-particle":"","family":"Chessa","given":"Bernardo","non-dropping-particle":"","parse-names":false,"suffix":""},{"dropping-particle":"","family":"Addis","given":"Maria Filippa","non-dropping-particle":"","parse-names":false,"suffix":""},{"dropping-particle":"","family":"Sparagano","given":"Olivier","non-dropping-particle":"","parse-names":false,"suffix":""},{"dropping-particle":"","family":"Parpaglia","given":"Maria Luisa Pinna","non-dropping-particle":"","parse-names":false,"suffix":""},{"dropping-particle":"","family":"Cubeddu","given":"Tiziana","non-dropping-particle":"","parse-names":false,"suffix":""},{"dropping-particle":"","family":"Pintori","given":"Gianpaolo","non-dropping-particle":"","parse-names":false,"suffix":""},{"dropping-particle":"","family":"Pittau","given":"Marco","non-dropping-particle":"","parse-names":false,"suffix":""}],"container-title":"Applied and Environmental Microbiology","id":"ITEM-1","issue":"10","issued":{"date-parts":[["2005"]]},"page":"6418-6422","title":"Equine and canine Anaplasma phagocytophilum strains isolated on the island of Sardinia (Italy) are phylogenetically related to pathogenic strains from the United States","type":"article-journal","volume":"71"},"uris":["http://www.mendeley.com/documents/?uuid=3fe74c0e-d45d-4275-a850-b68f552f3385"]}],"mendeley":{"formattedCitation":"(Alberti et al. 2005)","plainTextFormattedCitation":"(Alberti et al. 2005)","previouslyFormattedCitation":"(1)"},"properties":{"noteIndex":0},"schema":"https://github.com/citation-style-language/schema/raw/master/csl-citation.json"}</w:instrText>
            </w:r>
            <w:r w:rsidRPr="00EA4928">
              <w:rPr>
                <w:rFonts w:asciiTheme="majorHAnsi" w:hAnsiTheme="majorHAnsi" w:cstheme="majorHAnsi"/>
                <w:color w:val="131413"/>
                <w:sz w:val="18"/>
                <w:szCs w:val="18"/>
                <w:lang w:val="en-US"/>
              </w:rPr>
              <w:fldChar w:fldCharType="separate"/>
            </w:r>
            <w:r w:rsidR="009536A9" w:rsidRPr="009536A9">
              <w:rPr>
                <w:rFonts w:asciiTheme="majorHAnsi" w:hAnsiTheme="majorHAnsi" w:cstheme="majorHAnsi"/>
                <w:noProof/>
                <w:color w:val="131413"/>
                <w:sz w:val="18"/>
                <w:szCs w:val="18"/>
                <w:lang w:val="en-US"/>
              </w:rPr>
              <w:t>(Alberti et al. 2005)</w:t>
            </w:r>
            <w:r w:rsidRPr="00EA4928">
              <w:rPr>
                <w:rFonts w:asciiTheme="majorHAnsi" w:hAnsiTheme="majorHAnsi" w:cstheme="majorHAnsi"/>
                <w:color w:val="131413"/>
                <w:sz w:val="18"/>
                <w:szCs w:val="18"/>
                <w:lang w:val="en-US"/>
              </w:rPr>
              <w:fldChar w:fldCharType="end"/>
            </w:r>
          </w:p>
        </w:tc>
      </w:tr>
      <w:tr w:rsidR="00EA4928" w:rsidRPr="00EA4928" w:rsidTr="00EA4928">
        <w:tc>
          <w:tcPr>
            <w:tcW w:w="708" w:type="dxa"/>
            <w:vMerge/>
            <w:vAlign w:val="center"/>
          </w:tcPr>
          <w:p w:rsidR="00EA4928" w:rsidRPr="00EA4928" w:rsidRDefault="00EA4928"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roofErr w:type="spellStart"/>
            <w:r w:rsidRPr="00EA4928">
              <w:rPr>
                <w:rFonts w:asciiTheme="majorHAnsi" w:hAnsiTheme="majorHAnsi" w:cstheme="majorHAnsi"/>
                <w:color w:val="131413"/>
                <w:sz w:val="18"/>
                <w:szCs w:val="18"/>
                <w:lang w:val="en-US"/>
              </w:rPr>
              <w:t>EphgroEL</w:t>
            </w:r>
            <w:proofErr w:type="spellEnd"/>
            <w:r w:rsidRPr="00EA4928">
              <w:rPr>
                <w:rFonts w:asciiTheme="majorHAnsi" w:hAnsiTheme="majorHAnsi" w:cstheme="majorHAnsi"/>
                <w:color w:val="131413"/>
                <w:sz w:val="18"/>
                <w:szCs w:val="18"/>
                <w:lang w:val="en-US"/>
              </w:rPr>
              <w:t>(1142)R</w:t>
            </w:r>
          </w:p>
        </w:tc>
        <w:tc>
          <w:tcPr>
            <w:tcW w:w="2657"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TTGAGTACAGCAACACCACCGGAA</w:t>
            </w:r>
          </w:p>
        </w:tc>
        <w:tc>
          <w:tcPr>
            <w:tcW w:w="1809" w:type="dxa"/>
            <w:vMerge/>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
        </w:tc>
        <w:tc>
          <w:tcPr>
            <w:tcW w:w="2438" w:type="dxa"/>
            <w:vMerge/>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
        </w:tc>
      </w:tr>
      <w:tr w:rsidR="00EA4928" w:rsidRPr="00EA4928" w:rsidTr="00EA4928">
        <w:tc>
          <w:tcPr>
            <w:tcW w:w="708" w:type="dxa"/>
            <w:vMerge/>
            <w:vAlign w:val="center"/>
          </w:tcPr>
          <w:p w:rsidR="00EA4928" w:rsidRPr="00EA4928" w:rsidRDefault="00EA4928"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roofErr w:type="spellStart"/>
            <w:r w:rsidRPr="00EA4928">
              <w:rPr>
                <w:rFonts w:asciiTheme="majorHAnsi" w:hAnsiTheme="majorHAnsi" w:cstheme="majorHAnsi"/>
                <w:color w:val="131413"/>
                <w:sz w:val="18"/>
                <w:szCs w:val="18"/>
                <w:lang w:val="en-US"/>
              </w:rPr>
              <w:t>ApNest</w:t>
            </w:r>
            <w:proofErr w:type="spellEnd"/>
            <w:r w:rsidRPr="00EA4928">
              <w:rPr>
                <w:rFonts w:asciiTheme="majorHAnsi" w:hAnsiTheme="majorHAnsi" w:cstheme="majorHAnsi"/>
                <w:color w:val="131413"/>
                <w:sz w:val="18"/>
                <w:szCs w:val="18"/>
                <w:lang w:val="en-US"/>
              </w:rPr>
              <w:t>-F</w:t>
            </w:r>
          </w:p>
        </w:tc>
        <w:tc>
          <w:tcPr>
            <w:tcW w:w="2657"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GTGGAATTTGAAAATCCATAC</w:t>
            </w:r>
          </w:p>
        </w:tc>
        <w:tc>
          <w:tcPr>
            <w:tcW w:w="1809" w:type="dxa"/>
            <w:vMerge w:val="restart"/>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55°C/407</w:t>
            </w:r>
          </w:p>
        </w:tc>
        <w:tc>
          <w:tcPr>
            <w:tcW w:w="2438" w:type="dxa"/>
            <w:vMerge w:val="restart"/>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fldChar w:fldCharType="begin" w:fldLock="1"/>
            </w:r>
            <w:r w:rsidR="009536A9">
              <w:rPr>
                <w:rFonts w:asciiTheme="majorHAnsi" w:hAnsiTheme="majorHAnsi" w:cstheme="majorHAnsi"/>
                <w:color w:val="131413"/>
                <w:sz w:val="18"/>
                <w:szCs w:val="18"/>
                <w:lang w:val="en-US"/>
              </w:rPr>
              <w:instrText>ADDIN CSL_CITATION {"citationItems":[{"id":"ITEM-1","itemData":{"DOI":"10.1186/s13071-019-3583-8","ISSN":"1756-3305","PMID":"31253201","abstract":"Background: Anaplasma phagocytophilum is currently regarded as a single species. However, molecular studies indicate that it can be subdivided into ecotypes, each with distinct but overlapping transmission cycle. Here, we evaluate the interactions between and within clusters of haplotypes of the bacterium isolated from vertebrates and ticks, using phylogenetic and network-based methods. Methods: The presence of A. phagocytophilum DNA was determined in ticks and vertebrate tissue samples. A fragment of the groEl gene was amplified and sequenced from qPCR-positive lysates. Additional groEl sequences from ticks and vertebrate reservoirs were obtained from GenBank and through literature searches, resulting in a dataset consisting of 1623 A. phagocytophilum field isolates. Phylogenetic analyses were used to infer clusters of haplotypes and to assess phylogenetic clustering of A. phagocytophilum in vertebrates or ticks. Network-based methods were used to resolve host-vector interactions and their relative importance in the segregating communities of haplotypes. Results: Phylogenetic analyses resulted in 199 haplotypes within eight network-derived clusters, which were allocated to four ecotypes. The interactions of haplotypes between ticks, vertebrates and geographical origin, were visualized and quantified from networks. A high number of haplotypes were recorded in the tick Ixodes ricinus. Communities of A. phagocytophilum recorded from Korea, Japan, Far Eastern Russia, as well as those associated with rodents had no links with the larger set of isolates associated with I. ricinus, suggesting different evolutionary pressures. Rodents appeared to have a range of haplotypes associated with either Ixodes trianguliceps or Ixodes persulcatus and Ixodes pavlovskyi. Haplotypes found in rodents in Russia had low similarities with those recorded in rodents in other regions and shaped separate communities. Conclusions: The groEl gene fragment of A. phagocytophilum provides information about spatial segregation and associations of haplotypes to particular vector-host interactions. Further research is needed to understand the circulation of this bacterium in the gap between Europe and Asia before the overview of the speciation features of this bacterium is complete. Environmental traits may also play a role in the evolution of A. phagocytophilum in ecotypes through yet unknown relationships.","author":[{"dropping-particle":"","family":"Jaarsma","given":"Ryanne I.","non-dropping-particle":"","parse-names":false,"suffix":""},{"dropping-particle":"","family":"Sprong","given":"Hein","non-dropping-particle":"","parse-names":false,"suffix":""},{"dropping-particle":"","family":"Takumi","given":"Katsuhisa","non-dropping-particle":"","parse-names":false,"suffix":""},{"dropping-particle":"","family":"Kazimirova","given":"Maria","non-dropping-particle":"","parse-names":false,"suffix":""},{"dropping-particle":"","family":"Silaghi","given":"Cornelia","non-dropping-particle":"","parse-names":false,"suffix":""},{"dropping-particle":"","family":"Mysterud","given":"Atle","non-dropping-particle":"","parse-names":false,"suffix":""},{"dropping-particle":"","family":"Rudolf","given":"Ivo","non-dropping-particle":"","parse-names":false,"suffix":""},{"dropping-particle":"","family":"Beck","given":"Relja","non-dropping-particle":"","parse-names":false,"suffix":""},{"dropping-particle":"","family":"Földvári","given":"Gábor","non-dropping-particle":"","parse-names":false,"suffix":""},{"dropping-particle":"","family":"Tomassone","given":"Laura","non-dropping-particle":"","parse-names":false,"suffix":""},{"dropping-particle":"","family":"Groenevelt","given":"Margit","non-dropping-particle":"","parse-names":false,"suffix":""},{"dropping-particle":"","family":"Everts","given":"Reinard R.","non-dropping-particle":"","parse-names":false,"suffix":""},{"dropping-particle":"","family":"Rijks","given":"Jolianne M.","non-dropping-particle":"","parse-names":false,"suffix":""},{"dropping-particle":"","family":"Ecke","given":"Frauke","non-dropping-particle":"","parse-names":false,"suffix":""},{"dropping-particle":"","family":"Hörnfeldt","given":"Birger","non-dropping-particle":"","parse-names":false,"suffix":""},{"dropping-particle":"","family":"Modrý","given":"David","non-dropping-particle":"","parse-names":false,"suffix":""},{"dropping-particle":"","family":"Majerová","given":"Karolina","non-dropping-particle":"","parse-names":false,"suffix":""},{"dropping-particle":"","family":"Votýpka","given":"Jan","non-dropping-particle":"","parse-names":false,"suffix":""},{"dropping-particle":"","family":"Estrada-Peña","given":"Agustín","non-dropping-particle":"","parse-names":false,"suffix":""}],"container-title":"Parasites &amp; Vectors","id":"ITEM-1","issue":"1","issued":{"date-parts":[["2019","12","28"]]},"page":"328","publisher":"BioMed Central","title":"Anaplasma phagocytophilum evolves in geographical and biotic niches of vertebrates and ticks","type":"article-journal","volume":"12"},"uris":["http://www.mendeley.com/documents/?uuid=6cb69d30-a1de-4655-9ebc-75d2a4387fce"]}],"mendeley":{"formattedCitation":"(Jaarsma et al. 2019)","plainTextFormattedCitation":"(Jaarsma et al. 2019)","previouslyFormattedCitation":"(2)"},"properties":{"noteIndex":0},"schema":"https://github.com/citation-style-language/schema/raw/master/csl-citation.json"}</w:instrText>
            </w:r>
            <w:r w:rsidRPr="00EA4928">
              <w:rPr>
                <w:rFonts w:asciiTheme="majorHAnsi" w:hAnsiTheme="majorHAnsi" w:cstheme="majorHAnsi"/>
                <w:color w:val="131413"/>
                <w:sz w:val="18"/>
                <w:szCs w:val="18"/>
                <w:lang w:val="en-US"/>
              </w:rPr>
              <w:fldChar w:fldCharType="separate"/>
            </w:r>
            <w:r w:rsidR="009536A9" w:rsidRPr="009536A9">
              <w:rPr>
                <w:rFonts w:asciiTheme="majorHAnsi" w:hAnsiTheme="majorHAnsi" w:cstheme="majorHAnsi"/>
                <w:noProof/>
                <w:color w:val="131413"/>
                <w:sz w:val="18"/>
                <w:szCs w:val="18"/>
                <w:lang w:val="en-US"/>
              </w:rPr>
              <w:t>(Jaarsma et al. 2019)</w:t>
            </w:r>
            <w:r w:rsidRPr="00EA4928">
              <w:rPr>
                <w:rFonts w:asciiTheme="majorHAnsi" w:hAnsiTheme="majorHAnsi" w:cstheme="majorHAnsi"/>
                <w:color w:val="131413"/>
                <w:sz w:val="18"/>
                <w:szCs w:val="18"/>
                <w:lang w:val="en-US"/>
              </w:rPr>
              <w:fldChar w:fldCharType="end"/>
            </w:r>
          </w:p>
        </w:tc>
      </w:tr>
      <w:tr w:rsidR="00EA4928" w:rsidRPr="00EA4928" w:rsidTr="00EA4928">
        <w:tc>
          <w:tcPr>
            <w:tcW w:w="708" w:type="dxa"/>
            <w:vMerge/>
            <w:vAlign w:val="center"/>
          </w:tcPr>
          <w:p w:rsidR="00EA4928" w:rsidRPr="00EA4928" w:rsidRDefault="00EA4928"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roofErr w:type="spellStart"/>
            <w:r w:rsidRPr="00EA4928">
              <w:rPr>
                <w:rFonts w:asciiTheme="majorHAnsi" w:hAnsiTheme="majorHAnsi" w:cstheme="majorHAnsi"/>
                <w:color w:val="131413"/>
                <w:sz w:val="18"/>
                <w:szCs w:val="18"/>
                <w:lang w:val="en-US"/>
              </w:rPr>
              <w:t>ApNest</w:t>
            </w:r>
            <w:proofErr w:type="spellEnd"/>
            <w:r w:rsidRPr="00EA4928">
              <w:rPr>
                <w:rFonts w:asciiTheme="majorHAnsi" w:hAnsiTheme="majorHAnsi" w:cstheme="majorHAnsi"/>
                <w:color w:val="131413"/>
                <w:sz w:val="18"/>
                <w:szCs w:val="18"/>
                <w:lang w:val="en-US"/>
              </w:rPr>
              <w:t>-R</w:t>
            </w:r>
          </w:p>
        </w:tc>
        <w:tc>
          <w:tcPr>
            <w:tcW w:w="2657"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GTCCTGCTAGCTATGCTTTC</w:t>
            </w:r>
          </w:p>
        </w:tc>
        <w:tc>
          <w:tcPr>
            <w:tcW w:w="1809" w:type="dxa"/>
            <w:vMerge/>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
        </w:tc>
        <w:tc>
          <w:tcPr>
            <w:tcW w:w="2438" w:type="dxa"/>
            <w:vMerge/>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
        </w:tc>
      </w:tr>
      <w:tr w:rsidR="00EA4928" w:rsidRPr="00EA4928" w:rsidTr="00EA4928">
        <w:tc>
          <w:tcPr>
            <w:tcW w:w="708" w:type="dxa"/>
            <w:vMerge/>
            <w:vAlign w:val="center"/>
          </w:tcPr>
          <w:p w:rsidR="00EA4928" w:rsidRPr="00EA4928" w:rsidRDefault="00EA4928"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HS1-modif</w:t>
            </w:r>
          </w:p>
        </w:tc>
        <w:tc>
          <w:tcPr>
            <w:tcW w:w="2657"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lang w:val="cs-CZ"/>
              </w:rPr>
              <w:t>TGGGCTGGTARTGAAWT</w:t>
            </w:r>
          </w:p>
        </w:tc>
        <w:tc>
          <w:tcPr>
            <w:tcW w:w="1809" w:type="dxa"/>
            <w:vMerge w:val="restart"/>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48°C/1380</w:t>
            </w:r>
          </w:p>
        </w:tc>
        <w:tc>
          <w:tcPr>
            <w:tcW w:w="2438" w:type="dxa"/>
            <w:vMerge w:val="restart"/>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fldChar w:fldCharType="begin" w:fldLock="1"/>
            </w:r>
            <w:r w:rsidR="009536A9">
              <w:rPr>
                <w:rFonts w:asciiTheme="majorHAnsi" w:hAnsiTheme="majorHAnsi" w:cstheme="majorHAnsi"/>
                <w:color w:val="131413"/>
                <w:sz w:val="18"/>
                <w:szCs w:val="18"/>
                <w:lang w:val="en-US"/>
              </w:rPr>
              <w:instrText>ADDIN CSL_CITATION {"citationItems":[{"id":"ITEM-1","itemData":{"DOI":"10.1128/JCM.40.3.892-897.2002","ISBN":"4132718301","ISSN":"00951137","PMID":"11880411","abstract":"The role of wild mammals, such as roe deer (Capreolus capreolus) and chamois (Rupicapra rupicapra), in the epidemiology of granulocytic ehrlichiae in Switzerland was investigated. We tested blood samples for Ehrlichia phagocytophila genogroup 16S rRNA gene sequences by PCR and for immunoglobulin G antibodies against granulocytic ehrlichiae by indirect fluorescent-antibody assay (IFA). Overall means of 60.9% of 133 roe deer serum samples and 28.2% of 39 chamois serum samples were seroreactive by IFA. PCR results were positive for 18.4% of 103 roe deer serum samples as well. None of the 24 chamois blood samples tested were positive by PCR. Partial 16S rRNA gene and groESL heat shock operon sequences of three roe deer samples tested showed strong degrees of homology (≥99.7 and ≥98.6%, respectively) with the sequences of granulocytic ehrlichiae isolated from humans. These results confirm that chamois, and particularly roe deer, are commonly infected with granulocytic ehrlichiae and provide evidence that these wild mammals are potential reservoirs for granulocytic ehrlichiae in Switzerland.","author":[{"dropping-particle":"","family":"Liz","given":"Jorge S.","non-dropping-particle":"","parse-names":false,"suffix":""},{"dropping-particle":"","family":"Sumner","given":"John W.","non-dropping-particle":"","parse-names":false,"suffix":""},{"dropping-particle":"","family":"Pfister","given":"Kurt","non-dropping-particle":"","parse-names":false,"suffix":""},{"dropping-particle":"","family":"Brossard","given":"Michel","non-dropping-particle":"","parse-names":false,"suffix":""}],"container-title":"Journal of Clinical Microbiology","id":"ITEM-1","issue":"3","issued":{"date-parts":[["2002"]]},"page":"892-897","title":"PCR detection and serological evidence of granulocytic ehrlichial infection in roe deer (Capreolus capreolus) and chamois (Rupicapra rupicapra)","type":"article-journal","volume":"40"},"uris":["http://www.mendeley.com/documents/?uuid=c747bf1d-295d-4d5c-ab24-610e59ce501f"]}],"mendeley":{"formattedCitation":"(Liz et al. 2002)","plainTextFormattedCitation":"(Liz et al. 2002)","previouslyFormattedCitation":"(3)"},"properties":{"noteIndex":0},"schema":"https://github.com/citation-style-language/schema/raw/master/csl-citation.json"}</w:instrText>
            </w:r>
            <w:r w:rsidRPr="00EA4928">
              <w:rPr>
                <w:rFonts w:asciiTheme="majorHAnsi" w:hAnsiTheme="majorHAnsi" w:cstheme="majorHAnsi"/>
                <w:color w:val="131413"/>
                <w:sz w:val="18"/>
                <w:szCs w:val="18"/>
                <w:lang w:val="en-US"/>
              </w:rPr>
              <w:fldChar w:fldCharType="separate"/>
            </w:r>
            <w:r w:rsidR="009536A9" w:rsidRPr="009536A9">
              <w:rPr>
                <w:rFonts w:asciiTheme="majorHAnsi" w:hAnsiTheme="majorHAnsi" w:cstheme="majorHAnsi"/>
                <w:noProof/>
                <w:color w:val="131413"/>
                <w:sz w:val="18"/>
                <w:szCs w:val="18"/>
                <w:lang w:val="en-US"/>
              </w:rPr>
              <w:t>(Liz et al. 2002)</w:t>
            </w:r>
            <w:r w:rsidRPr="00EA4928">
              <w:rPr>
                <w:rFonts w:asciiTheme="majorHAnsi" w:hAnsiTheme="majorHAnsi" w:cstheme="majorHAnsi"/>
                <w:color w:val="131413"/>
                <w:sz w:val="18"/>
                <w:szCs w:val="18"/>
                <w:lang w:val="en-US"/>
              </w:rPr>
              <w:fldChar w:fldCharType="end"/>
            </w:r>
          </w:p>
        </w:tc>
      </w:tr>
      <w:tr w:rsidR="00EA4928" w:rsidRPr="00EA4928" w:rsidTr="00EA4928">
        <w:tc>
          <w:tcPr>
            <w:tcW w:w="708" w:type="dxa"/>
            <w:vMerge/>
            <w:vAlign w:val="center"/>
          </w:tcPr>
          <w:p w:rsidR="00EA4928" w:rsidRPr="00EA4928" w:rsidRDefault="00EA4928"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lang w:val="cs-CZ"/>
              </w:rPr>
              <w:t>HS6</w:t>
            </w:r>
          </w:p>
        </w:tc>
        <w:tc>
          <w:tcPr>
            <w:tcW w:w="2657"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lang w:val="cs-CZ"/>
              </w:rPr>
              <w:t>CCICCIGGIACIAYACCTTC</w:t>
            </w:r>
          </w:p>
        </w:tc>
        <w:tc>
          <w:tcPr>
            <w:tcW w:w="1809" w:type="dxa"/>
            <w:vMerge/>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
        </w:tc>
        <w:tc>
          <w:tcPr>
            <w:tcW w:w="2438" w:type="dxa"/>
            <w:vMerge/>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
        </w:tc>
      </w:tr>
      <w:tr w:rsidR="00EA4928" w:rsidRPr="00EA4928" w:rsidTr="00EA4928">
        <w:tc>
          <w:tcPr>
            <w:tcW w:w="708" w:type="dxa"/>
            <w:vMerge/>
            <w:vAlign w:val="center"/>
          </w:tcPr>
          <w:p w:rsidR="00EA4928" w:rsidRPr="00EA4928" w:rsidRDefault="00EA4928"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lang w:val="cs-CZ"/>
              </w:rPr>
              <w:t>HS43-modif</w:t>
            </w:r>
          </w:p>
        </w:tc>
        <w:tc>
          <w:tcPr>
            <w:tcW w:w="2657"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ATAGCTAAGGAAGCATAGTC</w:t>
            </w:r>
          </w:p>
        </w:tc>
        <w:tc>
          <w:tcPr>
            <w:tcW w:w="1809" w:type="dxa"/>
            <w:vMerge w:val="restart"/>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52°C/1297</w:t>
            </w:r>
          </w:p>
        </w:tc>
        <w:tc>
          <w:tcPr>
            <w:tcW w:w="2438" w:type="dxa"/>
            <w:vMerge/>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
        </w:tc>
      </w:tr>
      <w:tr w:rsidR="00EA4928" w:rsidRPr="00EA4928" w:rsidTr="00EA4928">
        <w:tc>
          <w:tcPr>
            <w:tcW w:w="708" w:type="dxa"/>
            <w:vMerge/>
            <w:vAlign w:val="center"/>
          </w:tcPr>
          <w:p w:rsidR="00EA4928" w:rsidRPr="00EA4928" w:rsidRDefault="00EA4928"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HSVR</w:t>
            </w:r>
          </w:p>
        </w:tc>
        <w:tc>
          <w:tcPr>
            <w:tcW w:w="2657" w:type="dxa"/>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CTCAACAGCAGCTCTAGTAGC</w:t>
            </w:r>
          </w:p>
        </w:tc>
        <w:tc>
          <w:tcPr>
            <w:tcW w:w="1809" w:type="dxa"/>
            <w:vMerge/>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
        </w:tc>
        <w:tc>
          <w:tcPr>
            <w:tcW w:w="2438" w:type="dxa"/>
            <w:vMerge/>
            <w:vAlign w:val="center"/>
          </w:tcPr>
          <w:p w:rsidR="00EA4928" w:rsidRPr="00EA4928" w:rsidRDefault="00EA4928" w:rsidP="00712CEA">
            <w:pPr>
              <w:spacing w:line="360" w:lineRule="auto"/>
              <w:jc w:val="center"/>
              <w:rPr>
                <w:rFonts w:asciiTheme="majorHAnsi" w:hAnsiTheme="majorHAnsi" w:cstheme="majorHAnsi"/>
                <w:color w:val="131413"/>
                <w:sz w:val="18"/>
                <w:szCs w:val="18"/>
                <w:lang w:val="en-US"/>
              </w:rPr>
            </w:pPr>
          </w:p>
        </w:tc>
      </w:tr>
      <w:tr w:rsidR="00DF613F" w:rsidRPr="00EA4928" w:rsidTr="00EA4928">
        <w:tc>
          <w:tcPr>
            <w:tcW w:w="708" w:type="dxa"/>
            <w:vMerge w:val="restart"/>
            <w:vAlign w:val="center"/>
          </w:tcPr>
          <w:p w:rsidR="00DF613F" w:rsidRDefault="00DF613F" w:rsidP="00712CEA">
            <w:pPr>
              <w:spacing w:line="360" w:lineRule="auto"/>
              <w:jc w:val="center"/>
              <w:rPr>
                <w:rFonts w:asciiTheme="majorHAnsi" w:hAnsiTheme="majorHAnsi" w:cstheme="majorHAnsi"/>
                <w:i/>
                <w:color w:val="131413"/>
                <w:sz w:val="18"/>
                <w:szCs w:val="18"/>
                <w:lang w:val="en-US"/>
              </w:rPr>
            </w:pPr>
            <w:r w:rsidRPr="00EA4928">
              <w:rPr>
                <w:rFonts w:asciiTheme="majorHAnsi" w:hAnsiTheme="majorHAnsi" w:cstheme="majorHAnsi"/>
                <w:i/>
                <w:color w:val="131413"/>
                <w:sz w:val="18"/>
                <w:szCs w:val="18"/>
                <w:lang w:val="en-US"/>
              </w:rPr>
              <w:t>ankA</w:t>
            </w:r>
          </w:p>
          <w:p w:rsidR="00DF613F" w:rsidRPr="00EA4928" w:rsidRDefault="00DF613F" w:rsidP="00712CEA">
            <w:pPr>
              <w:spacing w:line="360" w:lineRule="auto"/>
              <w:jc w:val="center"/>
              <w:rPr>
                <w:rFonts w:asciiTheme="majorHAnsi" w:hAnsiTheme="majorHAnsi" w:cstheme="majorHAnsi"/>
                <w:i/>
                <w:color w:val="131413"/>
                <w:sz w:val="18"/>
                <w:szCs w:val="18"/>
                <w:lang w:val="en-US"/>
              </w:rPr>
            </w:pPr>
            <w:r>
              <w:rPr>
                <w:rFonts w:asciiTheme="majorHAnsi" w:hAnsiTheme="majorHAnsi" w:cstheme="majorHAnsi"/>
                <w:i/>
                <w:color w:val="131413"/>
                <w:sz w:val="18"/>
                <w:szCs w:val="18"/>
                <w:lang w:val="en-US"/>
              </w:rPr>
              <w:t xml:space="preserve"> 2</w:t>
            </w:r>
          </w:p>
        </w:tc>
        <w:tc>
          <w:tcPr>
            <w:tcW w:w="2192"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roofErr w:type="spellStart"/>
            <w:r w:rsidRPr="00EA4928">
              <w:rPr>
                <w:rFonts w:asciiTheme="majorHAnsi" w:hAnsiTheme="majorHAnsi" w:cstheme="majorHAnsi"/>
                <w:sz w:val="18"/>
                <w:szCs w:val="18"/>
              </w:rPr>
              <w:t>ankA_eF</w:t>
            </w:r>
            <w:proofErr w:type="spellEnd"/>
          </w:p>
        </w:tc>
        <w:tc>
          <w:tcPr>
            <w:tcW w:w="2657"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TGAGCCTCACCCGCAGCATG</w:t>
            </w:r>
          </w:p>
        </w:tc>
        <w:tc>
          <w:tcPr>
            <w:tcW w:w="1809" w:type="dxa"/>
            <w:vMerge w:val="restart"/>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color w:val="131413"/>
                <w:sz w:val="18"/>
                <w:szCs w:val="18"/>
                <w:lang w:val="en-US"/>
              </w:rPr>
              <w:t>63</w:t>
            </w:r>
            <w:r w:rsidRPr="00EA4928">
              <w:rPr>
                <w:rFonts w:asciiTheme="majorHAnsi" w:hAnsiTheme="majorHAnsi" w:cstheme="majorHAnsi"/>
                <w:sz w:val="18"/>
                <w:szCs w:val="18"/>
              </w:rPr>
              <w:t>°C</w:t>
            </w:r>
            <w:r w:rsidRPr="00EA4928">
              <w:rPr>
                <w:rFonts w:asciiTheme="majorHAnsi" w:hAnsiTheme="majorHAnsi" w:cstheme="majorHAnsi"/>
                <w:color w:val="131413"/>
                <w:sz w:val="18"/>
                <w:szCs w:val="18"/>
                <w:lang w:val="en-US"/>
              </w:rPr>
              <w:t xml:space="preserve"> /</w:t>
            </w:r>
            <w:r w:rsidRPr="00EA4928">
              <w:rPr>
                <w:rFonts w:asciiTheme="majorHAnsi" w:hAnsiTheme="majorHAnsi" w:cstheme="majorHAnsi"/>
                <w:sz w:val="18"/>
                <w:szCs w:val="18"/>
              </w:rPr>
              <w:t>500</w:t>
            </w:r>
          </w:p>
        </w:tc>
        <w:tc>
          <w:tcPr>
            <w:tcW w:w="2438" w:type="dxa"/>
            <w:vMerge w:val="restart"/>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Pr>
                <w:rFonts w:asciiTheme="majorHAnsi" w:hAnsiTheme="majorHAnsi" w:cstheme="majorHAnsi"/>
                <w:color w:val="131413"/>
                <w:sz w:val="18"/>
                <w:szCs w:val="18"/>
                <w:lang w:val="en-US"/>
              </w:rPr>
              <w:fldChar w:fldCharType="begin" w:fldLock="1"/>
            </w:r>
            <w:r w:rsidR="009536A9">
              <w:rPr>
                <w:rFonts w:asciiTheme="majorHAnsi" w:hAnsiTheme="majorHAnsi" w:cstheme="majorHAnsi"/>
                <w:color w:val="131413"/>
                <w:sz w:val="18"/>
                <w:szCs w:val="18"/>
                <w:lang w:val="en-US"/>
              </w:rPr>
              <w:instrText>ADDIN CSL_CITATION {"citationItems":[{"id":"ITEM-1","itemData":{"DOI":"10.3201/eid1905.121003","ISSN":"10806040","PMID":"23697386","author":[{"dropping-particle":"","family":"Chastagner","given":"Amélie","non-dropping-particle":"","parse-names":false,"suffix":""},{"dropping-particle":"","family":"Bailly","given":"Xavier","non-dropping-particle":"","parse-names":false,"suffix":""},{"dropping-particle":"","family":"Leblond","given":"Agnès","non-dropping-particle":"","parse-names":false,"suffix":""},{"dropping-particle":"","family":"Pradier","given":"Sophie","non-dropping-particle":"","parse-names":false,"suffix":""},{"dropping-particle":"","family":"Vourc'H","given":"Gwenaël","non-dropping-particle":"","parse-names":false,"suffix":""}],"container-title":"Emerging Infectious Diseases","id":"ITEM-1","issue":"5","issued":{"date-parts":[["2013"]]},"page":"825-827","title":"Single genotype of anaplasma phagocytophilum identified from ticks, Camargue, France","type":"article-journal","volume":"19"},"uris":["http://www.mendeley.com/documents/?uuid=72268571-4f16-4826-8881-428f7506911e"]}],"mendeley":{"formattedCitation":"(Chastagner et al. 2013)","plainTextFormattedCitation":"(Chastagner et al. 2013)","previouslyFormattedCitation":"(4)"},"properties":{"noteIndex":0},"schema":"https://github.com/citation-style-language/schema/raw/master/csl-citation.json"}</w:instrText>
            </w:r>
            <w:r>
              <w:rPr>
                <w:rFonts w:asciiTheme="majorHAnsi" w:hAnsiTheme="majorHAnsi" w:cstheme="majorHAnsi"/>
                <w:color w:val="131413"/>
                <w:sz w:val="18"/>
                <w:szCs w:val="18"/>
                <w:lang w:val="en-US"/>
              </w:rPr>
              <w:fldChar w:fldCharType="separate"/>
            </w:r>
            <w:r w:rsidR="009536A9" w:rsidRPr="009536A9">
              <w:rPr>
                <w:rFonts w:asciiTheme="majorHAnsi" w:hAnsiTheme="majorHAnsi" w:cstheme="majorHAnsi"/>
                <w:noProof/>
                <w:color w:val="131413"/>
                <w:sz w:val="18"/>
                <w:szCs w:val="18"/>
                <w:lang w:val="en-US"/>
              </w:rPr>
              <w:t>(Chastagner et al. 2013)</w:t>
            </w:r>
            <w:r>
              <w:rPr>
                <w:rFonts w:asciiTheme="majorHAnsi" w:hAnsiTheme="majorHAnsi" w:cstheme="majorHAnsi"/>
                <w:color w:val="131413"/>
                <w:sz w:val="18"/>
                <w:szCs w:val="18"/>
                <w:lang w:val="en-US"/>
              </w:rPr>
              <w:fldChar w:fldCharType="end"/>
            </w:r>
          </w:p>
        </w:tc>
      </w:tr>
      <w:tr w:rsidR="00DF613F" w:rsidRPr="00EA4928" w:rsidTr="00EA4928">
        <w:tc>
          <w:tcPr>
            <w:tcW w:w="708" w:type="dxa"/>
            <w:vMerge/>
            <w:vAlign w:val="center"/>
          </w:tcPr>
          <w:p w:rsidR="00DF613F" w:rsidRPr="00EA4928" w:rsidRDefault="00DF613F"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roofErr w:type="spellStart"/>
            <w:r w:rsidRPr="00EA4928">
              <w:rPr>
                <w:rFonts w:asciiTheme="majorHAnsi" w:hAnsiTheme="majorHAnsi" w:cstheme="majorHAnsi"/>
                <w:sz w:val="18"/>
                <w:szCs w:val="18"/>
              </w:rPr>
              <w:t>ankA_eR</w:t>
            </w:r>
            <w:proofErr w:type="spellEnd"/>
          </w:p>
        </w:tc>
        <w:tc>
          <w:tcPr>
            <w:tcW w:w="2657"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CTCTGCGTTGCTGGAGCCCC</w:t>
            </w:r>
          </w:p>
        </w:tc>
        <w:tc>
          <w:tcPr>
            <w:tcW w:w="1809" w:type="dxa"/>
            <w:vMerge/>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
        </w:tc>
        <w:tc>
          <w:tcPr>
            <w:tcW w:w="2438" w:type="dxa"/>
            <w:vMerge/>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
        </w:tc>
      </w:tr>
      <w:tr w:rsidR="00DF613F" w:rsidRPr="00EA4928" w:rsidTr="00EA4928">
        <w:tc>
          <w:tcPr>
            <w:tcW w:w="708" w:type="dxa"/>
            <w:vMerge/>
            <w:vAlign w:val="center"/>
          </w:tcPr>
          <w:p w:rsidR="00DF613F" w:rsidRPr="00EA4928" w:rsidRDefault="00DF613F"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roofErr w:type="spellStart"/>
            <w:r w:rsidRPr="00EA4928">
              <w:rPr>
                <w:rFonts w:asciiTheme="majorHAnsi" w:hAnsiTheme="majorHAnsi" w:cstheme="majorHAnsi"/>
                <w:sz w:val="18"/>
                <w:szCs w:val="18"/>
              </w:rPr>
              <w:t>ankA_iF</w:t>
            </w:r>
            <w:proofErr w:type="spellEnd"/>
          </w:p>
        </w:tc>
        <w:tc>
          <w:tcPr>
            <w:tcW w:w="2657"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CTCACCCGCAGCATGTTG</w:t>
            </w:r>
          </w:p>
        </w:tc>
        <w:tc>
          <w:tcPr>
            <w:tcW w:w="1809" w:type="dxa"/>
            <w:vMerge w:val="restart"/>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57°C/490</w:t>
            </w:r>
          </w:p>
        </w:tc>
        <w:tc>
          <w:tcPr>
            <w:tcW w:w="2438" w:type="dxa"/>
            <w:vMerge/>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
        </w:tc>
      </w:tr>
      <w:tr w:rsidR="00DF613F" w:rsidRPr="00EA4928" w:rsidTr="00EA4928">
        <w:tc>
          <w:tcPr>
            <w:tcW w:w="708" w:type="dxa"/>
            <w:vMerge/>
            <w:vAlign w:val="center"/>
          </w:tcPr>
          <w:p w:rsidR="00DF613F" w:rsidRPr="00EA4928" w:rsidRDefault="00DF613F"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roofErr w:type="spellStart"/>
            <w:r w:rsidRPr="00EA4928">
              <w:rPr>
                <w:rFonts w:asciiTheme="majorHAnsi" w:hAnsiTheme="majorHAnsi" w:cstheme="majorHAnsi"/>
                <w:sz w:val="18"/>
                <w:szCs w:val="18"/>
              </w:rPr>
              <w:t>ankA_iR</w:t>
            </w:r>
            <w:proofErr w:type="spellEnd"/>
          </w:p>
        </w:tc>
        <w:tc>
          <w:tcPr>
            <w:tcW w:w="2657"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lang w:val="cs-CZ"/>
              </w:rPr>
              <w:t>GTTGCTGGAGCCCCTTTATCC</w:t>
            </w:r>
          </w:p>
        </w:tc>
        <w:tc>
          <w:tcPr>
            <w:tcW w:w="1809" w:type="dxa"/>
            <w:vMerge/>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
        </w:tc>
        <w:tc>
          <w:tcPr>
            <w:tcW w:w="2438" w:type="dxa"/>
            <w:vMerge/>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
        </w:tc>
      </w:tr>
      <w:tr w:rsidR="00DF613F" w:rsidRPr="00EA4928" w:rsidTr="00EA4928">
        <w:tc>
          <w:tcPr>
            <w:tcW w:w="708" w:type="dxa"/>
            <w:vMerge w:val="restart"/>
            <w:vAlign w:val="center"/>
          </w:tcPr>
          <w:p w:rsidR="00DF613F" w:rsidRDefault="00DF613F" w:rsidP="00712CEA">
            <w:pPr>
              <w:spacing w:line="360" w:lineRule="auto"/>
              <w:jc w:val="center"/>
              <w:rPr>
                <w:rFonts w:asciiTheme="majorHAnsi" w:hAnsiTheme="majorHAnsi" w:cstheme="majorHAnsi"/>
                <w:i/>
                <w:color w:val="131413"/>
                <w:sz w:val="18"/>
                <w:szCs w:val="18"/>
                <w:lang w:val="en-US"/>
              </w:rPr>
            </w:pPr>
            <w:r w:rsidRPr="00EA4928">
              <w:rPr>
                <w:rFonts w:asciiTheme="majorHAnsi" w:hAnsiTheme="majorHAnsi" w:cstheme="majorHAnsi"/>
                <w:i/>
                <w:color w:val="131413"/>
                <w:sz w:val="18"/>
                <w:szCs w:val="18"/>
                <w:lang w:val="en-US"/>
              </w:rPr>
              <w:t>ankA</w:t>
            </w:r>
          </w:p>
          <w:p w:rsidR="00DF613F" w:rsidRPr="00EA4928" w:rsidRDefault="00DF613F" w:rsidP="00712CEA">
            <w:pPr>
              <w:spacing w:line="360" w:lineRule="auto"/>
              <w:jc w:val="center"/>
              <w:rPr>
                <w:rFonts w:asciiTheme="majorHAnsi" w:hAnsiTheme="majorHAnsi" w:cstheme="majorHAnsi"/>
                <w:i/>
                <w:color w:val="131413"/>
                <w:sz w:val="18"/>
                <w:szCs w:val="18"/>
                <w:lang w:val="en-US"/>
              </w:rPr>
            </w:pPr>
            <w:r>
              <w:rPr>
                <w:rFonts w:asciiTheme="majorHAnsi" w:hAnsiTheme="majorHAnsi" w:cstheme="majorHAnsi"/>
                <w:i/>
                <w:color w:val="131413"/>
                <w:sz w:val="18"/>
                <w:szCs w:val="18"/>
                <w:lang w:val="en-US"/>
              </w:rPr>
              <w:t>1</w:t>
            </w:r>
          </w:p>
        </w:tc>
        <w:tc>
          <w:tcPr>
            <w:tcW w:w="2192"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 xml:space="preserve">SLO </w:t>
            </w:r>
            <w:proofErr w:type="spellStart"/>
            <w:r w:rsidRPr="00EA4928">
              <w:rPr>
                <w:rFonts w:asciiTheme="majorHAnsi" w:hAnsiTheme="majorHAnsi" w:cstheme="majorHAnsi"/>
                <w:sz w:val="18"/>
                <w:szCs w:val="18"/>
              </w:rPr>
              <w:t>fo</w:t>
            </w:r>
            <w:proofErr w:type="spellEnd"/>
            <w:r w:rsidRPr="00EA4928">
              <w:rPr>
                <w:rFonts w:asciiTheme="majorHAnsi" w:hAnsiTheme="majorHAnsi" w:cstheme="majorHAnsi"/>
                <w:sz w:val="18"/>
                <w:szCs w:val="18"/>
              </w:rPr>
              <w:t xml:space="preserve"> 1</w:t>
            </w:r>
          </w:p>
        </w:tc>
        <w:tc>
          <w:tcPr>
            <w:tcW w:w="2657"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GGGATRAGTGCRGTGCAGYAT</w:t>
            </w:r>
          </w:p>
        </w:tc>
        <w:tc>
          <w:tcPr>
            <w:tcW w:w="1809" w:type="dxa"/>
            <w:vMerge w:val="restart"/>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52°C/1109</w:t>
            </w:r>
          </w:p>
        </w:tc>
        <w:tc>
          <w:tcPr>
            <w:tcW w:w="2438" w:type="dxa"/>
            <w:vMerge w:val="restart"/>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Pr>
                <w:rFonts w:asciiTheme="majorHAnsi" w:hAnsiTheme="majorHAnsi" w:cstheme="majorHAnsi"/>
                <w:color w:val="131413"/>
                <w:sz w:val="18"/>
                <w:szCs w:val="18"/>
                <w:lang w:val="en-US"/>
              </w:rPr>
              <w:fldChar w:fldCharType="begin" w:fldLock="1"/>
            </w:r>
            <w:r w:rsidR="009536A9">
              <w:rPr>
                <w:rFonts w:asciiTheme="majorHAnsi" w:hAnsiTheme="majorHAnsi" w:cstheme="majorHAnsi"/>
                <w:color w:val="131413"/>
                <w:sz w:val="18"/>
                <w:szCs w:val="18"/>
                <w:lang w:val="en-US"/>
              </w:rPr>
              <w:instrText>ADDIN CSL_CITATION {"citationItems":[{"id":"ITEM-1","itemData":{"DOI":"10.1371/journal.pone.0093725","ISSN":"19326203","PMID":"24699849","abstract":"Anaplasma phagocytophilum is a Gram-negative obligate intracellular bacterium that replicates in neutrophils. It is transmitted via tick-bite and causes febrile disease in humans and animals. Human granulocytic anaplasmosis is regarded as an emerging infectious disease in North America, Europe and Asia. However, although increasingly detected, it is still rare in Europe. Clinically apparent A. phagocytophilum infections in animals are mainly found in horses, dogs, cats, sheep and cattle. Evidence from cross-infection experiments that A. phagocytophilum isolates of distinct host origin are not uniformly infectious for heterologous hosts has led to several approaches of molecular strain characterization. Unfortunately, the results of these studies are not always easily comparable, because different gene regions and fragment lengths were investigated. Multilocus sequence typing is a widely accepted method for molecular characterization of bacteria. We here provide for the first time a universal typing method that is easily transferable between different laboratories. We validated our approach on an unprecedented large data set of almost 400 A. phagocytophilum strains from humans and animals mostly from Europe. The typability was 74% (284/383). One major clonal complex containing 177 strains was detected. However, 54% (49/90) of the sequence types were not part of a clonal complex indicating that the population structure of A. phagocytophilum is probably semiclonal. All strains from humans, dogs and horses from Europe belonged to the same clonal complex. As canine and equine granulocytic anaplasmosis occurs frequently in Europe, human granulocytic anaplasmosis is likely to be underdiagnosed in Europe. Further, wild boars and hedgehogs may serve as reservoir hosts of the disease in humans and domestic animals in Europe, because their strains belonged to the same clonal complex. In contrast, as they were only distantly related, roe deer, voles and shrews are unlikely to harbor A. phagocytophilum strains infectious for humans, domestic or farm animals. © 2014 Huhn et al.","author":[{"dropping-particle":"","family":"Huhn","given":"Christian","non-dropping-particle":"","parse-names":false,"suffix":""},{"dropping-particle":"","family":"Winter","given":"Christina","non-dropping-particle":"","parse-names":false,"suffix":""},{"dropping-particle":"","family":"Wolfsperger","given":"Timo","non-dropping-particle":"","parse-names":false,"suffix":""},{"dropping-particle":"","family":"Wüppenhorst","given":"Nicole","non-dropping-particle":"","parse-names":false,"suffix":""},{"dropping-particle":"","family":"Strašek Smrdel","given":"Katja","non-dropping-particle":"","parse-names":false,"suffix":""},{"dropping-particle":"","family":"Skuballa","given":"Jasmin","non-dropping-particle":"","parse-names":false,"suffix":""},{"dropping-particle":"","family":"Pfäffle","given":"Miriam","non-dropping-particle":"","parse-names":false,"suffix":""},{"dropping-particle":"","family":"Petney","given":"Trevor","non-dropping-particle":"","parse-names":false,"suffix":""},{"dropping-particle":"","family":"Silaghi","given":"Cornelia","non-dropping-particle":"","parse-names":false,"suffix":""},{"dropping-particle":"","family":"Dyachenko","given":"Viktor","non-dropping-particle":"","parse-names":false,"suffix":""},{"dropping-particle":"","family":"Pantchev","given":"Nikola","non-dropping-particle":"","parse-names":false,"suffix":""},{"dropping-particle":"","family":"Straubinger","given":"Reinhard K.","non-dropping-particle":"","parse-names":false,"suffix":""},{"dropping-particle":"","family":"Schaarschmidt-Kiener","given":"Daniel","non-dropping-particle":"","parse-names":false,"suffix":""},{"dropping-particle":"","family":"Ganter","given":"Martin","non-dropping-particle":"","parse-names":false,"suffix":""},{"dropping-particle":"","family":"Aardema","given":"Matthew L.","non-dropping-particle":"","parse-names":false,"suffix":""},{"dropping-particle":"","family":"Loewenich","given":"Friederike D.","non-dropping-particle":"Von","parse-names":false,"suffix":""}],"container-title":"PLoS ONE","id":"ITEM-1","issue":"4","issued":{"date-parts":[["2014"]]},"title":"Analysis of the population structure of Anaplasma phagocytophilum using multilocus sequence typing","type":"article-journal","volume":"9"},"uris":["http://www.mendeley.com/documents/?uuid=513df93a-510f-491d-9a27-f3cfedb61c9d"]}],"mendeley":{"formattedCitation":"(Huhn et al. 2014)","plainTextFormattedCitation":"(Huhn et al. 2014)","previouslyFormattedCitation":"(5)"},"properties":{"noteIndex":0},"schema":"https://github.com/citation-style-language/schema/raw/master/csl-citation.json"}</w:instrText>
            </w:r>
            <w:r>
              <w:rPr>
                <w:rFonts w:asciiTheme="majorHAnsi" w:hAnsiTheme="majorHAnsi" w:cstheme="majorHAnsi"/>
                <w:color w:val="131413"/>
                <w:sz w:val="18"/>
                <w:szCs w:val="18"/>
                <w:lang w:val="en-US"/>
              </w:rPr>
              <w:fldChar w:fldCharType="separate"/>
            </w:r>
            <w:r w:rsidR="009536A9" w:rsidRPr="009536A9">
              <w:rPr>
                <w:rFonts w:asciiTheme="majorHAnsi" w:hAnsiTheme="majorHAnsi" w:cstheme="majorHAnsi"/>
                <w:noProof/>
                <w:color w:val="131413"/>
                <w:sz w:val="18"/>
                <w:szCs w:val="18"/>
                <w:lang w:val="en-US"/>
              </w:rPr>
              <w:t>(Huhn et al. 2014)</w:t>
            </w:r>
            <w:r>
              <w:rPr>
                <w:rFonts w:asciiTheme="majorHAnsi" w:hAnsiTheme="majorHAnsi" w:cstheme="majorHAnsi"/>
                <w:color w:val="131413"/>
                <w:sz w:val="18"/>
                <w:szCs w:val="18"/>
                <w:lang w:val="en-US"/>
              </w:rPr>
              <w:fldChar w:fldCharType="end"/>
            </w:r>
          </w:p>
        </w:tc>
      </w:tr>
      <w:tr w:rsidR="00DF613F" w:rsidRPr="00EA4928" w:rsidTr="00EA4928">
        <w:tc>
          <w:tcPr>
            <w:tcW w:w="708" w:type="dxa"/>
            <w:vMerge/>
            <w:vAlign w:val="center"/>
          </w:tcPr>
          <w:p w:rsidR="00DF613F" w:rsidRPr="00EA4928" w:rsidRDefault="00DF613F"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SLO re 1</w:t>
            </w:r>
          </w:p>
        </w:tc>
        <w:tc>
          <w:tcPr>
            <w:tcW w:w="2657"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TACTGCRGCMGCTARAGGRCT</w:t>
            </w:r>
          </w:p>
        </w:tc>
        <w:tc>
          <w:tcPr>
            <w:tcW w:w="1809" w:type="dxa"/>
            <w:vMerge/>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
        </w:tc>
        <w:tc>
          <w:tcPr>
            <w:tcW w:w="2438" w:type="dxa"/>
            <w:vMerge/>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
        </w:tc>
      </w:tr>
      <w:tr w:rsidR="00DF613F" w:rsidRPr="00EA4928" w:rsidTr="00EA4928">
        <w:tc>
          <w:tcPr>
            <w:tcW w:w="708" w:type="dxa"/>
            <w:vMerge/>
            <w:vAlign w:val="center"/>
          </w:tcPr>
          <w:p w:rsidR="00DF613F" w:rsidRPr="00EA4928" w:rsidRDefault="00DF613F"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 xml:space="preserve">SLO </w:t>
            </w:r>
            <w:proofErr w:type="spellStart"/>
            <w:r w:rsidRPr="00EA4928">
              <w:rPr>
                <w:rFonts w:asciiTheme="majorHAnsi" w:hAnsiTheme="majorHAnsi" w:cstheme="majorHAnsi"/>
                <w:sz w:val="18"/>
                <w:szCs w:val="18"/>
              </w:rPr>
              <w:t>fo</w:t>
            </w:r>
            <w:proofErr w:type="spellEnd"/>
            <w:r w:rsidRPr="00EA4928">
              <w:rPr>
                <w:rFonts w:asciiTheme="majorHAnsi" w:hAnsiTheme="majorHAnsi" w:cstheme="majorHAnsi"/>
                <w:sz w:val="18"/>
                <w:szCs w:val="18"/>
              </w:rPr>
              <w:t xml:space="preserve"> 2</w:t>
            </w:r>
          </w:p>
        </w:tc>
        <w:tc>
          <w:tcPr>
            <w:tcW w:w="2657"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ACTGCRGCMGCTARAGGRCT</w:t>
            </w:r>
          </w:p>
        </w:tc>
        <w:tc>
          <w:tcPr>
            <w:tcW w:w="1809" w:type="dxa"/>
            <w:vMerge w:val="restart"/>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52°C/523</w:t>
            </w:r>
          </w:p>
        </w:tc>
        <w:tc>
          <w:tcPr>
            <w:tcW w:w="2438" w:type="dxa"/>
            <w:vMerge/>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
        </w:tc>
      </w:tr>
      <w:tr w:rsidR="00DF613F" w:rsidRPr="00EA4928" w:rsidTr="00EA4928">
        <w:tc>
          <w:tcPr>
            <w:tcW w:w="708" w:type="dxa"/>
            <w:vMerge/>
            <w:vAlign w:val="center"/>
          </w:tcPr>
          <w:p w:rsidR="00DF613F" w:rsidRPr="00EA4928" w:rsidRDefault="00DF613F" w:rsidP="00712CEA">
            <w:pPr>
              <w:spacing w:line="360" w:lineRule="auto"/>
              <w:jc w:val="center"/>
              <w:rPr>
                <w:rFonts w:asciiTheme="majorHAnsi" w:hAnsiTheme="majorHAnsi" w:cstheme="majorHAnsi"/>
                <w:i/>
                <w:color w:val="131413"/>
                <w:sz w:val="18"/>
                <w:szCs w:val="18"/>
                <w:lang w:val="en-US"/>
              </w:rPr>
            </w:pPr>
          </w:p>
        </w:tc>
        <w:tc>
          <w:tcPr>
            <w:tcW w:w="2192"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rPr>
              <w:t>SLO re 2</w:t>
            </w:r>
          </w:p>
        </w:tc>
        <w:tc>
          <w:tcPr>
            <w:tcW w:w="2657" w:type="dxa"/>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r w:rsidRPr="00EA4928">
              <w:rPr>
                <w:rFonts w:asciiTheme="majorHAnsi" w:hAnsiTheme="majorHAnsi" w:cstheme="majorHAnsi"/>
                <w:sz w:val="18"/>
                <w:szCs w:val="18"/>
                <w:lang w:val="cs-CZ"/>
              </w:rPr>
              <w:t>AWRGWTCCSKYAGGAGYATTTA</w:t>
            </w:r>
          </w:p>
        </w:tc>
        <w:tc>
          <w:tcPr>
            <w:tcW w:w="1809" w:type="dxa"/>
            <w:vMerge/>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
        </w:tc>
        <w:tc>
          <w:tcPr>
            <w:tcW w:w="2438" w:type="dxa"/>
            <w:vMerge/>
            <w:vAlign w:val="center"/>
          </w:tcPr>
          <w:p w:rsidR="00DF613F" w:rsidRPr="00EA4928" w:rsidRDefault="00DF613F" w:rsidP="00712CEA">
            <w:pPr>
              <w:spacing w:line="360" w:lineRule="auto"/>
              <w:jc w:val="center"/>
              <w:rPr>
                <w:rFonts w:asciiTheme="majorHAnsi" w:hAnsiTheme="majorHAnsi" w:cstheme="majorHAnsi"/>
                <w:color w:val="131413"/>
                <w:sz w:val="18"/>
                <w:szCs w:val="18"/>
                <w:lang w:val="en-US"/>
              </w:rPr>
            </w:pPr>
          </w:p>
        </w:tc>
      </w:tr>
    </w:tbl>
    <w:p w:rsidR="00EA4928" w:rsidRDefault="00EA4928" w:rsidP="00EA4928"/>
    <w:p w:rsidR="00F810EF" w:rsidRDefault="00F810EF"/>
    <w:sectPr w:rsidR="00F810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928"/>
    <w:rsid w:val="005D601A"/>
    <w:rsid w:val="007716CE"/>
    <w:rsid w:val="008F25CD"/>
    <w:rsid w:val="00923A06"/>
    <w:rsid w:val="009536A9"/>
    <w:rsid w:val="00B25F83"/>
    <w:rsid w:val="00B92EB1"/>
    <w:rsid w:val="00CD424B"/>
    <w:rsid w:val="00DF613F"/>
    <w:rsid w:val="00E10867"/>
    <w:rsid w:val="00EA4928"/>
    <w:rsid w:val="00EF497C"/>
    <w:rsid w:val="00F810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070935-5EB1-4410-942D-C86CB5E31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92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4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08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867"/>
    <w:rPr>
      <w:rFonts w:ascii="Segoe UI" w:hAnsi="Segoe UI" w:cs="Segoe UI"/>
      <w:sz w:val="18"/>
      <w:szCs w:val="18"/>
      <w:lang w:val="en-GB"/>
    </w:rPr>
  </w:style>
  <w:style w:type="paragraph" w:styleId="Caption">
    <w:name w:val="caption"/>
    <w:basedOn w:val="Normal"/>
    <w:next w:val="Normal"/>
    <w:uiPriority w:val="35"/>
    <w:unhideWhenUsed/>
    <w:qFormat/>
    <w:rsid w:val="00B25F8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FA0F2DD-6787-4A33-B7BB-E524A57A7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2608</Words>
  <Characters>14872</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17446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Ishwarya P.S.</cp:lastModifiedBy>
  <cp:revision>5</cp:revision>
  <dcterms:created xsi:type="dcterms:W3CDTF">2022-03-11T09:18:00Z</dcterms:created>
  <dcterms:modified xsi:type="dcterms:W3CDTF">2023-01-10T02:46:00Z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http://www.zotero.org/styles/science-of-the-total-environment</vt:lpwstr>
  </property>
  <property fmtid="{D5CDD505-2E9C-101B-9397-08002B2CF9AE}" pid="13" name="Mendeley Recent Style Name 5_1">
    <vt:lpwstr>Science of the Total Environment</vt:lpwstr>
  </property>
  <property fmtid="{D5CDD505-2E9C-101B-9397-08002B2CF9AE}" pid="14" name="Mendeley Recent Style Id 6_1">
    <vt:lpwstr>http://www.zotero.org/styles/springer-basic-brackets</vt:lpwstr>
  </property>
  <property fmtid="{D5CDD505-2E9C-101B-9397-08002B2CF9AE}" pid="15" name="Mendeley Recent Style Name 6_1">
    <vt:lpwstr>Springer - Basic (numeric, brackets)</vt:lpwstr>
  </property>
  <property fmtid="{D5CDD505-2E9C-101B-9397-08002B2CF9AE}" pid="16" name="Mendeley Recent Style Id 7_1">
    <vt:lpwstr>http://www.zotero.org/styles/springer-basic-brackets-no-et-al-alphabetical</vt:lpwstr>
  </property>
  <property fmtid="{D5CDD505-2E9C-101B-9397-08002B2CF9AE}" pid="17" name="Mendeley Recent Style Name 7_1">
    <vt:lpwstr>Springer - Basic (numeric, brackets, no "et al.", alphabetical)</vt:lpwstr>
  </property>
  <property fmtid="{D5CDD505-2E9C-101B-9397-08002B2CF9AE}" pid="18" name="Mendeley Recent Style Id 8_1">
    <vt:lpwstr>http://www.zotero.org/styles/ticks-and-tick-borne-diseases</vt:lpwstr>
  </property>
  <property fmtid="{D5CDD505-2E9C-101B-9397-08002B2CF9AE}" pid="19" name="Mendeley Recent Style Name 8_1">
    <vt:lpwstr>Ticks and Tick-borne Diseases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6e29b198-54cd-3b2a-bd36-4fcb09d423e1</vt:lpwstr>
  </property>
  <property fmtid="{D5CDD505-2E9C-101B-9397-08002B2CF9AE}" pid="24" name="Mendeley Citation Style_1">
    <vt:lpwstr>http://www.zotero.org/styles/american-political-science-association</vt:lpwstr>
  </property>
</Properties>
</file>