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contextualSpacing/>
        <w:jc w:val="center"/>
        <w:textAlignment w:val="auto"/>
        <w:rPr>
          <w:rFonts w:hint="eastAsia" w:ascii="Times New Roman" w:hAnsi="Times New Roman"/>
          <w:b/>
          <w:color w:val="auto"/>
          <w:sz w:val="30"/>
          <w:szCs w:val="30"/>
        </w:rPr>
      </w:pPr>
      <w:r>
        <w:rPr>
          <w:rFonts w:hint="eastAsia" w:ascii="Times New Roman" w:hAnsi="Times New Roman"/>
          <w:b/>
          <w:color w:val="auto"/>
          <w:sz w:val="30"/>
          <w:szCs w:val="30"/>
        </w:rPr>
        <w:t>Supplementary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Integrated transcriptomic and proteomic analyses of plerocercoid and adult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  <w:t>Spirometra mansoni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reveal three potential important pathways in the development of the medical tapeworm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2"/>
        <w:textAlignment w:val="auto"/>
        <w:rPr>
          <w:rFonts w:hint="eastAsia" w:ascii="Times New Roman" w:hAnsi="Times New Roman" w:eastAsia="黑体"/>
          <w:color w:val="auto"/>
          <w:kern w:val="0"/>
          <w:sz w:val="24"/>
          <w:szCs w:val="24"/>
        </w:rPr>
      </w:pPr>
      <w:r>
        <w:rPr>
          <w:rFonts w:ascii="Times New Roman" w:hAnsi="Times New Roman" w:eastAsia="黑体"/>
          <w:b/>
          <w:color w:val="auto"/>
          <w:kern w:val="0"/>
          <w:sz w:val="24"/>
          <w:szCs w:val="24"/>
        </w:rPr>
        <w:t>Table S</w:t>
      </w:r>
      <w:r>
        <w:rPr>
          <w:rFonts w:hint="eastAsia" w:ascii="Times New Roman" w:hAnsi="Times New Roman" w:eastAsia="黑体"/>
          <w:b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黑体"/>
          <w:b/>
          <w:color w:val="auto"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/>
          <w:color w:val="auto"/>
          <w:sz w:val="24"/>
        </w:rPr>
        <w:t>Primers sequences designed for RT-qPCR.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i/>
          <w:iCs/>
          <w:color w:val="auto"/>
          <w:sz w:val="24"/>
        </w:rPr>
      </w:pPr>
      <w:r>
        <w:rPr>
          <w:rFonts w:ascii="Times New Roman" w:hAnsi="Times New Roman" w:eastAsia="黑体"/>
          <w:b/>
          <w:color w:val="auto"/>
          <w:kern w:val="0"/>
          <w:sz w:val="24"/>
          <w:szCs w:val="24"/>
        </w:rPr>
        <w:t>Table S</w:t>
      </w:r>
      <w:r>
        <w:rPr>
          <w:rFonts w:hint="eastAsia" w:ascii="Times New Roman" w:hAnsi="Times New Roman" w:eastAsia="黑体"/>
          <w:b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黑体"/>
          <w:b/>
          <w:color w:val="auto"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/>
          <w:color w:val="auto"/>
          <w:sz w:val="24"/>
        </w:rPr>
        <w:t xml:space="preserve">Top 30 </w:t>
      </w:r>
      <w:r>
        <w:rPr>
          <w:rFonts w:ascii="Times New Roman" w:hAnsi="Times New Roman" w:eastAsia="等线" w:cs="Times New Roman"/>
          <w:color w:val="auto"/>
          <w:kern w:val="0"/>
          <w:sz w:val="24"/>
        </w:rPr>
        <w:t>DEPs</w:t>
      </w:r>
      <w:r>
        <w:rPr>
          <w:rFonts w:hint="eastAsia" w:ascii="Times New Roman" w:hAnsi="Times New Roman" w:eastAsia="等线" w:cs="Times New Roman"/>
          <w:color w:val="auto"/>
          <w:kern w:val="0"/>
          <w:sz w:val="24"/>
        </w:rPr>
        <w:t xml:space="preserve"> with description </w:t>
      </w:r>
      <w:r>
        <w:rPr>
          <w:rFonts w:ascii="Times New Roman" w:hAnsi="Times New Roman" w:eastAsia="等线" w:cs="Times New Roman"/>
          <w:color w:val="auto"/>
          <w:kern w:val="0"/>
          <w:sz w:val="24"/>
        </w:rPr>
        <w:t>associated</w:t>
      </w:r>
      <w:r>
        <w:rPr>
          <w:rFonts w:hint="eastAsia" w:ascii="Times New Roman" w:hAnsi="Times New Roman" w:eastAsia="等线" w:cs="Times New Roman"/>
          <w:color w:val="auto"/>
          <w:kern w:val="0"/>
          <w:sz w:val="24"/>
        </w:rPr>
        <w:t xml:space="preserve"> </w:t>
      </w:r>
      <w:r>
        <w:rPr>
          <w:rFonts w:ascii="Times New Roman" w:hAnsi="Times New Roman" w:eastAsia="等线" w:cs="Times New Roman"/>
          <w:color w:val="auto"/>
          <w:kern w:val="0"/>
          <w:sz w:val="24"/>
        </w:rPr>
        <w:t>with</w:t>
      </w:r>
      <w:r>
        <w:rPr>
          <w:rFonts w:hint="eastAsia" w:ascii="Times New Roman" w:hAnsi="Times New Roman" w:eastAsia="等线" w:cs="Times New Roman"/>
          <w:color w:val="auto"/>
          <w:kern w:val="0"/>
          <w:sz w:val="24"/>
        </w:rPr>
        <w:t xml:space="preserve"> </w:t>
      </w:r>
      <w:r>
        <w:rPr>
          <w:rFonts w:ascii="Times New Roman" w:hAnsi="Times New Roman" w:eastAsia="等线" w:cs="Times New Roman"/>
          <w:color w:val="auto"/>
          <w:kern w:val="0"/>
          <w:sz w:val="24"/>
        </w:rPr>
        <w:t>the</w:t>
      </w:r>
      <w:r>
        <w:rPr>
          <w:rFonts w:hint="eastAsia" w:ascii="Times New Roman" w:hAnsi="Times New Roman" w:eastAsia="等线" w:cs="Times New Roman"/>
          <w:color w:val="auto"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10"/>
          <w:sz w:val="24"/>
        </w:rPr>
        <w:t xml:space="preserve">prouduction, transport and metabolism of nutrients in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</w:rPr>
        <w:t>S. mansoni.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center"/>
        <w:rPr>
          <w:rFonts w:hint="eastAsia" w:ascii="Times New Roman" w:hAnsi="Times New Roman" w:eastAsia="宋体" w:cs="Times New Roman"/>
          <w:i/>
          <w:iCs/>
          <w:strike w:val="0"/>
          <w:dstrike w:val="0"/>
          <w:color w:val="auto"/>
          <w:sz w:val="24"/>
        </w:rPr>
      </w:pPr>
      <w:r>
        <w:rPr>
          <w:rFonts w:ascii="Times New Roman" w:hAnsi="Times New Roman" w:cs="Times New Roman"/>
          <w:b/>
          <w:bCs/>
          <w:strike w:val="0"/>
          <w:dstrike w:val="0"/>
          <w:color w:val="auto"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trike w:val="0"/>
          <w:dstrike w:val="0"/>
          <w:color w:val="auto"/>
          <w:sz w:val="24"/>
          <w:szCs w:val="24"/>
          <w:lang w:val="en-US" w:eastAsia="zh-CN"/>
        </w:rPr>
        <w:t>6.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szCs w:val="24"/>
          <w:lang w:val="en-US" w:eastAsia="zh-CN"/>
        </w:rPr>
        <w:t xml:space="preserve"> P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 xml:space="preserve">rotein </w:t>
      </w:r>
      <w:r>
        <w:rPr>
          <w:rFonts w:ascii="Times New Roman" w:hAnsi="Times New Roman" w:cs="Times New Roman"/>
          <w:strike w:val="0"/>
          <w:dstrike w:val="0"/>
          <w:color w:val="auto"/>
          <w:sz w:val="24"/>
        </w:rPr>
        <w:t>interaction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 xml:space="preserve"> network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>proteins in metabolic pathways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center"/>
        <w:rPr>
          <w:rFonts w:hint="eastAsia" w:ascii="Times New Roman" w:hAnsi="Times New Roman" w:eastAsia="黑体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trike w:val="0"/>
          <w:dstrike w:val="0"/>
          <w:color w:val="auto"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trike w:val="0"/>
          <w:dstrike w:val="0"/>
          <w:color w:val="auto"/>
          <w:sz w:val="24"/>
          <w:szCs w:val="24"/>
          <w:lang w:val="en-US" w:eastAsia="zh-CN"/>
        </w:rPr>
        <w:t>7.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szCs w:val="24"/>
          <w:lang w:val="en-US" w:eastAsia="zh-CN"/>
        </w:rPr>
        <w:t xml:space="preserve"> P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 xml:space="preserve">rotein </w:t>
      </w:r>
      <w:r>
        <w:rPr>
          <w:rFonts w:ascii="Times New Roman" w:hAnsi="Times New Roman" w:cs="Times New Roman"/>
          <w:strike w:val="0"/>
          <w:dstrike w:val="0"/>
          <w:color w:val="auto"/>
          <w:sz w:val="24"/>
        </w:rPr>
        <w:t>interaction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 xml:space="preserve"> network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</w:rPr>
        <w:t>proteins in genetic information processing</w:t>
      </w:r>
      <w:r>
        <w:rPr>
          <w:rFonts w:hint="eastAsia" w:ascii="Times New Roman" w:hAnsi="Times New Roman" w:cs="Times New Roman"/>
          <w:strike w:val="0"/>
          <w:dstrike w:val="0"/>
          <w:color w:val="auto"/>
          <w:sz w:val="24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0"/>
        <w:textAlignment w:val="auto"/>
        <w:rPr>
          <w:rFonts w:hint="eastAsia" w:ascii="Times New Roman" w:hAnsi="Times New Roman"/>
          <w:b/>
          <w:bCs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Figure S1.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Protein quantification results.</w:t>
      </w:r>
      <w:r>
        <w:rPr>
          <w:rFonts w:hint="eastAsia" w:ascii="Times New Roman" w:hAnsi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Heatmaps of all the identified proteins. Red indicates significant upregulation of protein expression levels, significant downregulation in blue, and white represents no statistically significant protein expression levels.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0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(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)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The top 20 GO enrichments of significantly upregulated proteins in adults.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(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)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The top 20 GO enrichments of significantly upregulated genes in plerocercoids.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 xml:space="preserve">Integrated analysis of transcriptome and proteome in plerocercoid and adult. </w:t>
      </w:r>
      <w:r>
        <w:rPr>
          <w:rFonts w:ascii="Times New Roman" w:hAnsi="Times New Roman" w:eastAsia="HelveticaNeueLTStd-Lt" w:cs="Times New Roman"/>
          <w:color w:val="auto"/>
          <w:sz w:val="24"/>
        </w:rPr>
        <w:t>Comparison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of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differences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in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transcript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and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protein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HelveticaNeueLTStd-Lt" w:cs="Times New Roman"/>
          <w:color w:val="auto"/>
          <w:sz w:val="24"/>
        </w:rPr>
        <w:t>expression</w:t>
      </w:r>
      <w:r>
        <w:rPr>
          <w:rFonts w:hint="eastAsia" w:ascii="Times New Roman" w:hAnsi="Times New Roman"/>
          <w:color w:val="auto"/>
          <w:sz w:val="24"/>
        </w:rPr>
        <w:t xml:space="preserve"> levels.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4.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4"/>
        </w:rPr>
        <w:t xml:space="preserve">KEGG pathway for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phagosome.</w:t>
      </w:r>
      <w:r>
        <w:rPr>
          <w:rFonts w:hint="eastAsia" w:ascii="Times New Roman" w:hAnsi="Times New Roman" w:cs="Times New Roman"/>
          <w:color w:val="auto"/>
          <w:sz w:val="24"/>
        </w:rPr>
        <w:t xml:space="preserve"> The red square frame indicates </w:t>
      </w:r>
      <w:r>
        <w:rPr>
          <w:rFonts w:ascii="Times New Roman" w:hAnsi="Times New Roman" w:cs="Times New Roman"/>
          <w:color w:val="auto"/>
          <w:sz w:val="24"/>
        </w:rPr>
        <w:t>upregulated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proteins, blue represents </w:t>
      </w:r>
      <w:r>
        <w:rPr>
          <w:rFonts w:ascii="Times New Roman" w:hAnsi="Times New Roman" w:cs="Times New Roman"/>
          <w:color w:val="auto"/>
          <w:sz w:val="24"/>
        </w:rPr>
        <w:t>downregulated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proteins, yellow indicates </w:t>
      </w:r>
      <w:r>
        <w:rPr>
          <w:rFonts w:ascii="Times New Roman" w:hAnsi="Times New Roman" w:cs="Times New Roman"/>
          <w:color w:val="auto"/>
          <w:sz w:val="24"/>
        </w:rPr>
        <w:t>upregulated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genes and green represents </w:t>
      </w:r>
      <w:r>
        <w:rPr>
          <w:rFonts w:ascii="Times New Roman" w:hAnsi="Times New Roman" w:cs="Times New Roman"/>
          <w:color w:val="auto"/>
          <w:sz w:val="24"/>
        </w:rPr>
        <w:t>downregulated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genes.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5.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4"/>
        </w:rPr>
        <w:t xml:space="preserve">KEGG pathway for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spliceosome.</w:t>
      </w:r>
      <w:r>
        <w:rPr>
          <w:rFonts w:hint="eastAsia" w:ascii="Times New Roman" w:hAnsi="Times New Roman" w:cs="Times New Roman"/>
          <w:color w:val="auto"/>
          <w:sz w:val="24"/>
        </w:rPr>
        <w:t xml:space="preserve"> The red square frame indicates </w:t>
      </w:r>
      <w:r>
        <w:rPr>
          <w:rFonts w:ascii="Times New Roman" w:hAnsi="Times New Roman" w:cs="Times New Roman"/>
          <w:color w:val="auto"/>
          <w:sz w:val="24"/>
        </w:rPr>
        <w:t>upregulated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proteins, blue represents </w:t>
      </w:r>
      <w:r>
        <w:rPr>
          <w:rFonts w:ascii="Times New Roman" w:hAnsi="Times New Roman" w:cs="Times New Roman"/>
          <w:color w:val="auto"/>
          <w:sz w:val="24"/>
        </w:rPr>
        <w:t>downregulated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proteins, yellow indicates </w:t>
      </w:r>
      <w:r>
        <w:rPr>
          <w:rFonts w:ascii="Times New Roman" w:hAnsi="Times New Roman" w:cs="Times New Roman"/>
          <w:color w:val="auto"/>
          <w:sz w:val="24"/>
        </w:rPr>
        <w:t>upregulated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genes and green represents </w:t>
      </w:r>
      <w:r>
        <w:rPr>
          <w:rFonts w:ascii="Times New Roman" w:hAnsi="Times New Roman" w:cs="Times New Roman"/>
          <w:color w:val="auto"/>
          <w:sz w:val="24"/>
        </w:rPr>
        <w:t>downregulated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genes.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/>
          <w:bCs/>
          <w:sz w:val="24"/>
          <w:szCs w:val="24"/>
        </w:rPr>
        <w:t xml:space="preserve">. 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Primers sequences designed for RT-qPCR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.</w:t>
      </w:r>
    </w:p>
    <w:tbl>
      <w:tblPr>
        <w:tblStyle w:val="5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966"/>
        <w:gridCol w:w="1339"/>
        <w:gridCol w:w="3333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Stage</w:t>
            </w:r>
          </w:p>
        </w:tc>
        <w:tc>
          <w:tcPr>
            <w:tcW w:w="29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Protein description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Gene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name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 xml:space="preserve">Primer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Sequence (5' to 3')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Product size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(bp)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Adult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SERJ2_LOCUS16733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F-CGGTGCTCCTGGTTGTAT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R-ATCACCGTGTTCGCCTAT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Fructose-bisphosphate aldolase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SERJ2_LOCUS11901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F-GGCACATTGCTCAAACCG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R-TTTGGATTGTTGCGAGGG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Reticulon-like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SERJ2_LOCUS22103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CTGGCGATGTCGTTGTTC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R-GATGGCCTCGTCGATTTG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Proline dehydrogenase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SERJ2_LOCUS28270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GTGCTCTTTGGGCTGGTT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AGCTTCGGACTCGGGAAT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Galactosylgalactosylxylosylprotein 3-beta-glucuronosyltransferase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SERJ2_LOCUS21092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F-TCAGACCCAGGCGGAAGT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R-GCTCATTGGCATGGACGT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Translocation protein SEC62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SERJ2_LOCUS13689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F-AGAAGTCGGAGGCTAAATC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R-GAACACTTGAGCTTCCGTAT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harisSIL" w:cs="Times New Roman"/>
                <w:b w:val="0"/>
                <w:bCs w:val="0"/>
                <w:color w:val="000000"/>
                <w:sz w:val="21"/>
                <w:szCs w:val="21"/>
              </w:rPr>
              <w:t>plerocercoid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SERJ2_LOCUS4954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F-GCCATCAGGAAATACAATC  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R-CTTCTCCGTTATGTAGGC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Triosephosphate isomerase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SERJ2_LOCUS16521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F-CCGACCTTGACCCTAACG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R-CTGGCAACCGCAATCCTT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Vacuolar protein sorting-associated protein 28 homolog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SERJ2_LOCUS14814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F-TGTTGGCAAGTGTATCGC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R-GTGGCAGAAGGTTAAGTCG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SERJ2_LOCUS18729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TGCTTTGCCTATTTGACG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R-TGCTTAGATCGGACCCAC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Calmodulin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SERJ2_LOCUS10404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F-TCGACTTCCCTGAGTTCC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R-CGTATCATCTCGTCCACCT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Ferritin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SERJ2_LOCUS25042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F-GGAAACAGCCCTCAAGAT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R-GACGTACCCGGAAATCTG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Reference gene</w:t>
            </w:r>
          </w:p>
        </w:tc>
        <w:tc>
          <w:tcPr>
            <w:tcW w:w="29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glyceraldehyde-phosphatedehydroge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nase (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GADPH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F-AGCAACCTCGTTGATGTCGT</w:t>
            </w:r>
          </w:p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R-TGAATTGACCGTGGGTGGAG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hd w:val="clear" w:color="auto" w:fill="FFFFFF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shd w:val="clear" w:color="auto" w:fill="FFFFFF"/>
              </w:rPr>
              <w:t>97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firstLine="0" w:firstLineChars="0"/>
        <w:jc w:val="both"/>
        <w:textAlignment w:val="center"/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S5</w:t>
      </w: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.</w:t>
      </w:r>
      <w:r>
        <w:rPr>
          <w:rFonts w:hint="eastAsia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DEPs</w:t>
      </w:r>
      <w:r>
        <w:rPr>
          <w:rFonts w:hint="eastAsia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with description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associated</w:t>
      </w:r>
      <w:r>
        <w:rPr>
          <w:rFonts w:hint="eastAsia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with</w:t>
      </w:r>
      <w:r>
        <w:rPr>
          <w:rFonts w:hint="eastAsia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</w:t>
      </w:r>
      <w:r>
        <w:rPr>
          <w:rFonts w:hint="eastAsia" w:ascii="Times New Roman" w:hAnsi="Times New Roman" w:eastAsia="等线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pacing w:val="10"/>
          <w:sz w:val="24"/>
          <w:lang w:val="en-US" w:eastAsia="zh-CN"/>
        </w:rPr>
        <w:t xml:space="preserve">prouduction, transport and metabolism of nutrients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</w:rPr>
        <w:t xml:space="preserve">S.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lang w:val="en-US" w:eastAsia="zh-CN"/>
        </w:rPr>
        <w:t>mansoni.</w:t>
      </w:r>
    </w:p>
    <w:tbl>
      <w:tblPr>
        <w:tblStyle w:val="5"/>
        <w:tblW w:w="10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4274"/>
        <w:gridCol w:w="1446"/>
        <w:gridCol w:w="1811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Accession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(CC_YC)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(CC_YC)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(CC_YC)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A0A7M3Q3I4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Adenylosuccinate synthetase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0.292868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A0A7M3PZQ3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Isocitrate dehydrogenase [NAD] subunit, mitochondrial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0.302934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A0A7M3PWE7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ADP-ribosyl cyclase/cyclic ADP-ribose hydrolase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0.330307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A0A7M3R4D4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V-type proton ATPase subunit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0.332865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A0A7M3RHZ3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Oxoglutarate dehydrogenase (succinyl-transferring)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2.622993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A0A7M3RTM9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Beta-galactosidase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0.400202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0.000031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A0A7M3R222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Triosephosphate isomerase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0.409779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A0A7M3R3A0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2.380184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A0A7M3PYD2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Dihydrolipoyllysine-residue succinyltransferase component of 2-oxoglutarate dehydrogenase complex, mitochondrial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2.336336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A0A7M3RJK1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Triosephosphate isomerase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0.431613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A0A7M3RUJ8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dehydrogenase (NAD(P)(+))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2.296487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A0A7M3RZR3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Proline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2.278584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0.000115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0.452574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A0A7M3RFG4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Heparan-sulfate 6-O-sulfotransferase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2.197695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A0A7M3R0S1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2-phospho-D-glycerate hydro-lyase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2.129119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A0A7M3QAD3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FACT complex subunit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2.113195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0.000026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A0A7M3QUD2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Arginase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2.092182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0.000321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A0A7M3R6W9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2.086693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A0A7M3RDB8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Acetyltransferase component of pyruvate dehydrogenase complex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2.068084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A0A7M3QN57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Glyceraldehyde-3-phosphate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2.048615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A0A7M3RUS2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0.498647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A0A7M3RE77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Propanoyl-CoA:carbon dioxide ligase subunit alpha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1.979046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A0A7M3PY64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Beta-hexosaminidase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0.506131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A0A7M3VJT9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Triosephosphate isomerase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0.513191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A0A7M3R503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Phosphohydroxythreonine aminotransferase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0.5147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0.000644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A0A7M3QRP4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Glyceraldehyde-3-phosphate dehydrogenase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0.520792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A0A7M3R8X6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Oxoglutarate dehydrogenase (succinyl-transferring)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1.918284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A0A7M3RFX8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Pyrroline-5-carboxylate reductase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1.913066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A0A7M3Q176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ATP synthase subunit O, mitochondrial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1.907674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A0A7M3Q8T8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Pyruvate carboxylase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1.905347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eastAsia" w:ascii="Times New Roman" w:hAnsi="Times New Roman" w:cs="Times New Roman"/>
          <w:sz w:val="24"/>
        </w:rPr>
        <w:t xml:space="preserve">rotein </w:t>
      </w:r>
      <w:r>
        <w:rPr>
          <w:rFonts w:ascii="Times New Roman" w:hAnsi="Times New Roman" w:cs="Times New Roman"/>
          <w:sz w:val="24"/>
        </w:rPr>
        <w:t>interaction</w:t>
      </w:r>
      <w:r>
        <w:rPr>
          <w:rFonts w:hint="eastAsia" w:ascii="Times New Roman" w:hAnsi="Times New Roman" w:cs="Times New Roman"/>
          <w:sz w:val="24"/>
        </w:rPr>
        <w:t xml:space="preserve"> network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z w:val="24"/>
        </w:rPr>
        <w:t>proteins in metabolic pathways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Style w:val="4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851"/>
        <w:gridCol w:w="1329"/>
        <w:gridCol w:w="2129"/>
        <w:gridCol w:w="565"/>
        <w:gridCol w:w="500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Pro1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Pro2</w:t>
            </w:r>
          </w:p>
        </w:tc>
        <w:tc>
          <w:tcPr>
            <w:tcW w:w="21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Diff1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Diff2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Combined_score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A0A7M3RPH5_SPIER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Glutathione transferase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A0A7M3Q4K1_SPIER</w:t>
            </w:r>
          </w:p>
        </w:tc>
        <w:tc>
          <w:tcPr>
            <w:tcW w:w="21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A0A7M3QQR0_SPIER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A0A7M3Q4K1_SPIER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A0A7M3QVA0_SPIER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Phosphotransferase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A0A7M3RHK2_SPIER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V-type proton ATPase proteolipid subunit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A0A7M3RNM5_SPIER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ATP synthase subunit alpha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A0A7M3Q0W2_SPIER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A0A7M3QN57_SPIER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Glyceraldehyde-3-phosphate dehydrogenase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A0A7M3PY64_SPIER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Beta-hexosaminidase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A0A7M3QF48_SPIER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GlcNAc kinase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A0A7M3RUS2_SPIER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A0A7M3QN57_SPIER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Glyceraldehyde-3-phosphate dehydrogenase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A0A7M3RXL5_SPIER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A0A7M3Q4K1_SPIER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 transferase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A0A7M3QAB2_SPIER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Glucose-6-phosphate isomerase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A0A7M3RUS2_SPIER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L-lactate dehydrogenase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A0A7M3QUD2_SPIER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Arginase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A0A7M3RNA2_SPIER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dehydrogenase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A0A7M3QVN6_SPIER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Fructose-bisphosphatase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A0A7M3RB85_SPIER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Acyl carrier protein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A0A7M3QRS4_SPIER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Fructose-bisphosphate aldolase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A0A7M3Q3N0_SPIER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 dehydrogenase, cytoplasmic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A0A7M3Q3N0_SPIER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 dehydrogenase, cytoplasmic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A0A7M3RNA2_SPIER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dehydrogenase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A0A7M3QRP6_SPIER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Fructose-bisphosphate aldolase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A0A7M3Q3N0_SPIER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 dehydrogenase, cytoplasmic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A0A7M3RNM5_SPIER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ATP synthase subunit alpha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A0A7M3RWF4_SPIER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Fructose-bisphosphate aldolase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A0A7M3Q3N0_SPIER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 dehydrogenase, cytoplasmic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A0A7M3Q813_SPIER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dehydrogenase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A0A7M3Q176_SPIER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ATP synthase subunit O, mitochondrial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A0A7M3RB85_SPIER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Acyl carrier protein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A0A7M3QN57_SPIER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Glyceraldehyde-3-phosphate dehydrogenase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A0A7M3RUJ8_SPIER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dehydrogenase (NAD(P)(+))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A0A7M3RFA3_SPIER</w:t>
            </w:r>
          </w:p>
        </w:tc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Phosphomannomutase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center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hint="eastAsia" w:ascii="Times New Roman" w:hAnsi="Times New Roman" w:cs="Times New Roman"/>
          <w:sz w:val="24"/>
        </w:rPr>
        <w:t xml:space="preserve">rotein </w:t>
      </w:r>
      <w:r>
        <w:rPr>
          <w:rFonts w:ascii="Times New Roman" w:hAnsi="Times New Roman" w:cs="Times New Roman"/>
          <w:sz w:val="24"/>
        </w:rPr>
        <w:t>interaction</w:t>
      </w:r>
      <w:r>
        <w:rPr>
          <w:rFonts w:hint="eastAsia" w:ascii="Times New Roman" w:hAnsi="Times New Roman" w:cs="Times New Roman"/>
          <w:sz w:val="24"/>
        </w:rPr>
        <w:t xml:space="preserve"> network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z w:val="24"/>
        </w:rPr>
        <w:t>proteins in genetic information processing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Style w:val="4"/>
        <w:tblW w:w="7560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108"/>
        <w:gridCol w:w="1320"/>
        <w:gridCol w:w="2108"/>
        <w:gridCol w:w="678"/>
        <w:gridCol w:w="678"/>
        <w:gridCol w:w="9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Pro1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Description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Pro2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Description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Diff1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Diff2</w:t>
            </w:r>
          </w:p>
        </w:tc>
        <w:tc>
          <w:tcPr>
            <w:tcW w:w="10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Combined_score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A0A7M3Q9T2_SPIER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 L15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A0A7M3QU30_SPIER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A0A7M3Q9L8_SPIER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A0A7M3QU61_SPIER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Translocation protein SEC62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A0A7M3RB26_SPIER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Signal recognition particle 54 kDa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A0A7M3Q9T7_SPIER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A0A7M3RBW7_SPIER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acidic ribosomal protein 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A0A7M3QJ75_SPIER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A0A7M3Q066_SPIER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A0A7M3RBA1_SPIER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I6T8V1_SPIER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L27e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A0A7M3QRE8_SPIER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A0A7M3RB26_SPIER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Signal recognition particle 54 kDa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A0A7M3Q950_SPIER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A0A7M3RBW7_SPIER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acidic ribosomal protein 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A0A7M3R840_SPIER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A0A7M3Q9T2_SPIER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A0A7M3RBW7_SPIER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acidic ribosomal protein 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A0A7M3RBA1_SPIER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A0A7M3RC38_SPIER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A0A7M3Q1Y5_SPIER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A0A7M3R5G1_SPIER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A0A7M3Q9T2_SPIER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 L15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A0A7M3QRE8_SPIER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A0A7M3Q066_SPIER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A0A7M3Q8W9_SPIER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A0A7M3QDQ4_SPIER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A0A7M3RB26_SPIER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Signal recognition particle 54 kDa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A0A7M3Q8W9_SPIER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A0A7M3Q9L8_SPIER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A0A7M3Q1Y5_SPIER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A0A7M3R087_SPIER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A0A7M3QU30_SPIER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A0A7M3QU30_SPIER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A0A7M3QRE8_SPIER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A0A7M3PUT0_SPIER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60S ribosomal protein 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A0A7M3Q9T2_SPIER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 L15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A0A7M3RPJ5_SPIER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A0A7M3QU30_SPIER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40S ribosomal protein S15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0.999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58180" cy="4732655"/>
            <wp:effectExtent l="0" t="0" r="7620" b="4445"/>
            <wp:docPr id="1" name="图片 1" descr="Supplementary 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Protein quantification results.</w:t>
      </w:r>
      <w:r>
        <w:rPr>
          <w:rFonts w:hint="eastAsia" w:ascii="Times New Roman" w:hAnsi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Heatmaps of all the identified proteins. Red indicates significant upregulation of protein expression levels, significant downregulation in blue, and white represents no statistically significant protein expression levels.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  <w:r>
        <w:rPr>
          <w:rFonts w:hint="eastAsia" w:ascii="Times New Roman" w:hAnsi="Times New Roman" w:eastAsia="宋体"/>
          <w:color w:val="auto"/>
          <w:sz w:val="24"/>
          <w:lang w:eastAsia="zh-CN"/>
        </w:rPr>
        <w:drawing>
          <wp:inline distT="0" distB="0" distL="114300" distR="114300">
            <wp:extent cx="5758180" cy="7218045"/>
            <wp:effectExtent l="0" t="0" r="13970" b="1905"/>
            <wp:docPr id="3" name="图片 3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721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S2.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GO functional enrichment for the differentially expressed proteins.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</w:rPr>
        <w:t>)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The top 20 GO enrichments of significantly upregulated proteins in adults. </w:t>
      </w:r>
      <w:r>
        <w:rPr>
          <w:rFonts w:hint="eastAsia" w:ascii="Times New Roman" w:hAnsi="Times New Roman" w:cs="Times New Roman"/>
          <w:b w:val="0"/>
          <w:bCs w:val="0"/>
          <w:sz w:val="24"/>
        </w:rPr>
        <w:t>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</w:rPr>
        <w:t>)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The top 20 GO enrichments of significantly upregulated genes in plerocercoids.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  <w:lang w:val="de-D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/>
          <w:color w:val="auto"/>
          <w:sz w:val="24"/>
          <w:lang w:val="de-D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val="de-DE" w:eastAsia="zh-CN"/>
        </w:rPr>
      </w:pPr>
      <w:r>
        <w:rPr>
          <w:rFonts w:hint="eastAsia" w:ascii="Times New Roman" w:hAnsi="Times New Roman" w:eastAsia="宋体"/>
          <w:color w:val="auto"/>
          <w:sz w:val="24"/>
          <w:lang w:val="de-DE" w:eastAsia="zh-CN"/>
        </w:rPr>
        <w:drawing>
          <wp:inline distT="0" distB="0" distL="114300" distR="114300">
            <wp:extent cx="5758180" cy="1854835"/>
            <wp:effectExtent l="0" t="0" r="13970" b="12065"/>
            <wp:docPr id="4" name="图片 4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S3.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Integrated analysis of transcriptome and proteome in plerocercoid and adult. </w:t>
      </w:r>
      <w:r>
        <w:rPr>
          <w:rFonts w:ascii="Times New Roman" w:hAnsi="Times New Roman" w:eastAsia="HelveticaNeueLTStd-Lt" w:cs="Times New Roman"/>
          <w:sz w:val="24"/>
        </w:rPr>
        <w:t>Comparison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of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differences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transcript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and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protein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HelveticaNeueLTStd-Lt" w:cs="Times New Roman"/>
          <w:sz w:val="24"/>
        </w:rPr>
        <w:t>expression</w:t>
      </w:r>
      <w:r>
        <w:rPr>
          <w:rFonts w:hint="eastAsia" w:ascii="Times New Roman" w:hAnsi="Times New Roman"/>
          <w:sz w:val="24"/>
        </w:rPr>
        <w:t xml:space="preserve"> levels. Red and blue indicate positive and negative </w:t>
      </w:r>
      <w:r>
        <w:rPr>
          <w:rFonts w:ascii="Times New Roman" w:hAnsi="Times New Roman"/>
          <w:sz w:val="24"/>
        </w:rPr>
        <w:t>correlations</w:t>
      </w:r>
      <w:r>
        <w:rPr>
          <w:rFonts w:hint="eastAsia" w:ascii="Times New Roman" w:hAnsi="Times New Roman"/>
          <w:sz w:val="24"/>
        </w:rPr>
        <w:t xml:space="preserve">, respectively. </w:t>
      </w:r>
      <w:r>
        <w:rPr>
          <w:rFonts w:hint="eastAsia" w:ascii="Times New Roman" w:hAnsi="Times New Roman"/>
          <w:i/>
          <w:iCs/>
          <w:sz w:val="24"/>
        </w:rPr>
        <w:t>P</w:t>
      </w:r>
      <w:r>
        <w:rPr>
          <w:rFonts w:hint="eastAsia" w:ascii="Times New Roman" w:hAnsi="Times New Roman"/>
          <w:sz w:val="24"/>
        </w:rPr>
        <w:t xml:space="preserve"> &lt; 0.05 represents significance, </w:t>
      </w:r>
      <w:r>
        <w:rPr>
          <w:rFonts w:hint="eastAsia" w:ascii="Times New Roman" w:hAnsi="Times New Roman"/>
          <w:i/>
          <w:iCs/>
          <w:sz w:val="24"/>
        </w:rPr>
        <w:t>P</w:t>
      </w:r>
      <w:r>
        <w:rPr>
          <w:rFonts w:hint="eastAsia" w:ascii="Times New Roman" w:hAnsi="Times New Roman"/>
          <w:sz w:val="24"/>
        </w:rPr>
        <w:t xml:space="preserve"> &lt; 0.01 represents high significance, and </w:t>
      </w:r>
      <w:r>
        <w:rPr>
          <w:rFonts w:hint="eastAsia" w:ascii="Times New Roman" w:hAnsi="Times New Roman"/>
          <w:i/>
          <w:iCs/>
          <w:sz w:val="24"/>
        </w:rPr>
        <w:t>P</w:t>
      </w:r>
      <w:r>
        <w:rPr>
          <w:rFonts w:hint="eastAsia" w:ascii="Times New Roman" w:hAnsi="Times New Roman"/>
          <w:sz w:val="24"/>
        </w:rPr>
        <w:t xml:space="preserve"> &lt; 0.001 represents extreme significance. The X</w:t>
      </w:r>
      <w:r>
        <w:rPr>
          <w:rFonts w:ascii="Times New Roman" w:hAnsi="Times New Roman"/>
          <w:sz w:val="24"/>
        </w:rPr>
        <w:t>-</w:t>
      </w:r>
      <w:r>
        <w:rPr>
          <w:rFonts w:hint="eastAsia" w:ascii="Times New Roman" w:hAnsi="Times New Roman"/>
          <w:sz w:val="24"/>
        </w:rPr>
        <w:t>axis indicates DEGs. The Y</w:t>
      </w:r>
      <w:r>
        <w:rPr>
          <w:rFonts w:ascii="Times New Roman" w:hAnsi="Times New Roman"/>
          <w:sz w:val="24"/>
        </w:rPr>
        <w:t>-</w:t>
      </w:r>
      <w:r>
        <w:rPr>
          <w:rFonts w:hint="eastAsia" w:ascii="Times New Roman" w:hAnsi="Times New Roman"/>
          <w:sz w:val="24"/>
        </w:rPr>
        <w:t>axis indicates DEPs.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ascii="Times New Roman" w:hAnsi="Times New Roman" w:cs="Times New Roman"/>
          <w:b w:val="0"/>
          <w:b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  <w:drawing>
          <wp:inline distT="0" distB="0" distL="114300" distR="114300">
            <wp:extent cx="5758180" cy="3890645"/>
            <wp:effectExtent l="0" t="0" r="7620" b="8255"/>
            <wp:docPr id="2" name="图片 2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</w:rPr>
        <w:t xml:space="preserve">KEGG pathway for </w:t>
      </w:r>
      <w:r>
        <w:rPr>
          <w:rFonts w:hint="eastAsia" w:ascii="Times New Roman" w:hAnsi="Times New Roman" w:cs="Times New Roman"/>
          <w:b w:val="0"/>
          <w:bCs w:val="0"/>
          <w:sz w:val="24"/>
        </w:rPr>
        <w:t>phagosome.</w:t>
      </w:r>
      <w:r>
        <w:rPr>
          <w:rFonts w:hint="eastAsia" w:ascii="Times New Roman" w:hAnsi="Times New Roman" w:cs="Times New Roman"/>
          <w:sz w:val="24"/>
        </w:rPr>
        <w:t xml:space="preserve"> The red square frame indicates </w:t>
      </w:r>
      <w:r>
        <w:rPr>
          <w:rFonts w:ascii="Times New Roman" w:hAnsi="Times New Roman" w:cs="Times New Roman"/>
          <w:sz w:val="24"/>
        </w:rPr>
        <w:t>upregulated</w:t>
      </w:r>
      <w:r>
        <w:rPr>
          <w:rFonts w:hint="eastAsia" w:ascii="Times New Roman" w:hAnsi="Times New Roman" w:cs="Times New Roman"/>
          <w:sz w:val="24"/>
        </w:rPr>
        <w:t xml:space="preserve"> proteins, blue represents </w:t>
      </w:r>
      <w:r>
        <w:rPr>
          <w:rFonts w:ascii="Times New Roman" w:hAnsi="Times New Roman" w:cs="Times New Roman"/>
          <w:sz w:val="24"/>
        </w:rPr>
        <w:t>downregulated</w:t>
      </w:r>
      <w:r>
        <w:rPr>
          <w:rFonts w:hint="eastAsia" w:ascii="Times New Roman" w:hAnsi="Times New Roman" w:cs="Times New Roman"/>
          <w:sz w:val="24"/>
        </w:rPr>
        <w:t xml:space="preserve"> proteins, yellow indicates </w:t>
      </w:r>
      <w:r>
        <w:rPr>
          <w:rFonts w:ascii="Times New Roman" w:hAnsi="Times New Roman" w:cs="Times New Roman"/>
          <w:sz w:val="24"/>
        </w:rPr>
        <w:t>upregulated</w:t>
      </w:r>
      <w:r>
        <w:rPr>
          <w:rFonts w:hint="eastAsia" w:ascii="Times New Roman" w:hAnsi="Times New Roman" w:cs="Times New Roman"/>
          <w:sz w:val="24"/>
        </w:rPr>
        <w:t xml:space="preserve"> genes and green represents </w:t>
      </w:r>
      <w:r>
        <w:rPr>
          <w:rFonts w:ascii="Times New Roman" w:hAnsi="Times New Roman" w:cs="Times New Roman"/>
          <w:sz w:val="24"/>
        </w:rPr>
        <w:t>downregulated</w:t>
      </w:r>
      <w:r>
        <w:rPr>
          <w:rFonts w:hint="eastAsia" w:ascii="Times New Roman" w:hAnsi="Times New Roman" w:cs="Times New Roman"/>
          <w:sz w:val="24"/>
        </w:rPr>
        <w:t xml:space="preserve"> genes.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right="6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  <w:drawing>
          <wp:inline distT="0" distB="0" distL="114300" distR="114300">
            <wp:extent cx="4137025" cy="6335395"/>
            <wp:effectExtent l="0" t="0" r="3175" b="1905"/>
            <wp:docPr id="5" name="图片 5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63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lang w:val="de-DE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</w:rPr>
        <w:t xml:space="preserve">KEGG pathway for </w:t>
      </w:r>
      <w:r>
        <w:rPr>
          <w:rFonts w:hint="eastAsia" w:ascii="Times New Roman" w:hAnsi="Times New Roman" w:cs="Times New Roman"/>
          <w:b w:val="0"/>
          <w:bCs w:val="0"/>
          <w:sz w:val="24"/>
        </w:rPr>
        <w:t>spliceosome.</w:t>
      </w:r>
      <w:r>
        <w:rPr>
          <w:rFonts w:hint="eastAsia" w:ascii="Times New Roman" w:hAnsi="Times New Roman" w:cs="Times New Roman"/>
          <w:sz w:val="24"/>
        </w:rPr>
        <w:t xml:space="preserve"> The red square frame indicates </w:t>
      </w:r>
      <w:r>
        <w:rPr>
          <w:rFonts w:ascii="Times New Roman" w:hAnsi="Times New Roman" w:cs="Times New Roman"/>
          <w:sz w:val="24"/>
        </w:rPr>
        <w:t>upregulated</w:t>
      </w:r>
      <w:r>
        <w:rPr>
          <w:rFonts w:hint="eastAsia" w:ascii="Times New Roman" w:hAnsi="Times New Roman" w:cs="Times New Roman"/>
          <w:sz w:val="24"/>
        </w:rPr>
        <w:t xml:space="preserve"> proteins, blue represents </w:t>
      </w:r>
      <w:r>
        <w:rPr>
          <w:rFonts w:ascii="Times New Roman" w:hAnsi="Times New Roman" w:cs="Times New Roman"/>
          <w:sz w:val="24"/>
        </w:rPr>
        <w:t>downregulated</w:t>
      </w:r>
      <w:r>
        <w:rPr>
          <w:rFonts w:hint="eastAsia" w:ascii="Times New Roman" w:hAnsi="Times New Roman" w:cs="Times New Roman"/>
          <w:sz w:val="24"/>
        </w:rPr>
        <w:t xml:space="preserve"> proteins, yellow indicates </w:t>
      </w:r>
      <w:r>
        <w:rPr>
          <w:rFonts w:ascii="Times New Roman" w:hAnsi="Times New Roman" w:cs="Times New Roman"/>
          <w:sz w:val="24"/>
        </w:rPr>
        <w:t>upregulated</w:t>
      </w:r>
      <w:r>
        <w:rPr>
          <w:rFonts w:hint="eastAsia" w:ascii="Times New Roman" w:hAnsi="Times New Roman" w:cs="Times New Roman"/>
          <w:sz w:val="24"/>
        </w:rPr>
        <w:t xml:space="preserve"> genes and green represents </w:t>
      </w:r>
      <w:r>
        <w:rPr>
          <w:rFonts w:ascii="Times New Roman" w:hAnsi="Times New Roman" w:cs="Times New Roman"/>
          <w:sz w:val="24"/>
        </w:rPr>
        <w:t>downregulated</w:t>
      </w:r>
      <w:r>
        <w:rPr>
          <w:rFonts w:hint="eastAsia" w:ascii="Times New Roman" w:hAnsi="Times New Roman" w:cs="Times New Roman"/>
          <w:sz w:val="24"/>
        </w:rPr>
        <w:t xml:space="preserve"> genes.</w:t>
      </w:r>
    </w:p>
    <w:sectPr>
      <w:pgSz w:w="11906" w:h="16838"/>
      <w:pgMar w:top="1417" w:right="1417" w:bottom="1417" w:left="1417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NeueLTStd-L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722D01"/>
    <w:multiLevelType w:val="singleLevel"/>
    <w:tmpl w:val="90722D01"/>
    <w:lvl w:ilvl="0" w:tentative="0">
      <w:start w:val="6"/>
      <w:numFmt w:val="upperLetter"/>
      <w:suff w:val="nothing"/>
      <w:lvlText w:val="%1-"/>
      <w:lvlJc w:val="left"/>
    </w:lvl>
  </w:abstractNum>
  <w:abstractNum w:abstractNumId="1">
    <w:nsid w:val="541A7332"/>
    <w:multiLevelType w:val="singleLevel"/>
    <w:tmpl w:val="541A7332"/>
    <w:lvl w:ilvl="0" w:tentative="0">
      <w:start w:val="6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YmEzNWUyODdjM2VkMTQ4NjkyYzZlZmYyYzljZTkifQ=="/>
  </w:docVars>
  <w:rsids>
    <w:rsidRoot w:val="00000000"/>
    <w:rsid w:val="0086457D"/>
    <w:rsid w:val="00F538F5"/>
    <w:rsid w:val="04AC7907"/>
    <w:rsid w:val="08D31AD4"/>
    <w:rsid w:val="0B633415"/>
    <w:rsid w:val="13857CA0"/>
    <w:rsid w:val="14AE4770"/>
    <w:rsid w:val="16203AC4"/>
    <w:rsid w:val="176003EC"/>
    <w:rsid w:val="181141F9"/>
    <w:rsid w:val="1CD777BF"/>
    <w:rsid w:val="1D402ADE"/>
    <w:rsid w:val="1F4038E2"/>
    <w:rsid w:val="232B6E23"/>
    <w:rsid w:val="24C64299"/>
    <w:rsid w:val="25B85841"/>
    <w:rsid w:val="35445D0C"/>
    <w:rsid w:val="3E0E070F"/>
    <w:rsid w:val="3F6D4D23"/>
    <w:rsid w:val="4085611E"/>
    <w:rsid w:val="434D583A"/>
    <w:rsid w:val="43EB2023"/>
    <w:rsid w:val="46677B45"/>
    <w:rsid w:val="4B143862"/>
    <w:rsid w:val="4C107D48"/>
    <w:rsid w:val="4E4C7FAE"/>
    <w:rsid w:val="506863A4"/>
    <w:rsid w:val="59111EBA"/>
    <w:rsid w:val="5B9C5154"/>
    <w:rsid w:val="5D2301AC"/>
    <w:rsid w:val="63240E67"/>
    <w:rsid w:val="6C3F4006"/>
    <w:rsid w:val="71B468CC"/>
    <w:rsid w:val="74CB5D4C"/>
    <w:rsid w:val="74F65925"/>
    <w:rsid w:val="75434B26"/>
    <w:rsid w:val="78C86642"/>
    <w:rsid w:val="7B19087A"/>
    <w:rsid w:val="7D5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  <w:rPr>
      <w:rFonts w:ascii="Calibri" w:hAnsi="Calibri" w:eastAsia="宋体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1170</Words>
  <Characters>9327</Characters>
  <Lines>0</Lines>
  <Paragraphs>0</Paragraphs>
  <TotalTime>34</TotalTime>
  <ScaleCrop>false</ScaleCrop>
  <LinksUpToDate>false</LinksUpToDate>
  <CharactersWithSpaces>9978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2021-04-11T07:23:00Z</dcterms:created>
  <dc:creator>86178</dc:creator>
  <cp:lastModifiedBy>张玺</cp:lastModifiedBy>
  <dcterms:modified xsi:type="dcterms:W3CDTF">2023-08-07T09:54:58Z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C6581A3B1C5A423E89A228564A579624_13</vt:lpwstr>
  </property>
</Properties>
</file>