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F0" w:rsidRPr="000D3F9E" w:rsidRDefault="000D3F9E" w:rsidP="000D3F9E">
      <w:pPr>
        <w:pStyle w:val="Caption"/>
        <w:spacing w:before="0" w:after="0" w:afterAutospacing="0" w:line="480" w:lineRule="auto"/>
        <w:rPr>
          <w:b w:val="0"/>
          <w:sz w:val="22"/>
          <w:szCs w:val="22"/>
        </w:rPr>
      </w:pPr>
      <w:bookmarkStart w:id="0" w:name="_Toc128250446"/>
      <w:bookmarkStart w:id="1" w:name="_GoBack"/>
      <w:bookmarkEnd w:id="1"/>
      <w:r w:rsidRPr="000D3F9E">
        <w:rPr>
          <w:bCs w:val="0"/>
          <w:sz w:val="22"/>
          <w:szCs w:val="22"/>
        </w:rPr>
        <w:t xml:space="preserve">Additional file </w:t>
      </w:r>
      <w:r w:rsidR="00774CE1">
        <w:rPr>
          <w:bCs w:val="0"/>
          <w:sz w:val="22"/>
          <w:szCs w:val="22"/>
        </w:rPr>
        <w:t>1</w:t>
      </w:r>
      <w:r w:rsidRPr="000D3F9E">
        <w:rPr>
          <w:bCs w:val="0"/>
          <w:sz w:val="22"/>
          <w:szCs w:val="22"/>
        </w:rPr>
        <w:t xml:space="preserve">: </w:t>
      </w:r>
      <w:r w:rsidR="007E70F0" w:rsidRPr="000D3F9E">
        <w:rPr>
          <w:bCs w:val="0"/>
          <w:sz w:val="22"/>
          <w:szCs w:val="22"/>
        </w:rPr>
        <w:t xml:space="preserve">Table </w:t>
      </w:r>
      <w:r w:rsidRPr="000D3F9E">
        <w:rPr>
          <w:bCs w:val="0"/>
          <w:sz w:val="22"/>
          <w:szCs w:val="22"/>
        </w:rPr>
        <w:t>S</w:t>
      </w:r>
      <w:r w:rsidR="00774CE1">
        <w:rPr>
          <w:bCs w:val="0"/>
          <w:sz w:val="22"/>
          <w:szCs w:val="22"/>
        </w:rPr>
        <w:t>1</w:t>
      </w:r>
      <w:r w:rsidR="007E70F0" w:rsidRPr="000D3F9E">
        <w:rPr>
          <w:bCs w:val="0"/>
          <w:sz w:val="22"/>
          <w:szCs w:val="22"/>
        </w:rPr>
        <w:t>:</w:t>
      </w:r>
      <w:r w:rsidR="007E70F0" w:rsidRPr="000D3F9E">
        <w:rPr>
          <w:b w:val="0"/>
          <w:sz w:val="22"/>
          <w:szCs w:val="22"/>
        </w:rPr>
        <w:t xml:space="preserve"> Sociodemographic and clinical characteristics of the study participants</w:t>
      </w:r>
      <w:bookmarkEnd w:id="0"/>
    </w:p>
    <w:tbl>
      <w:tblPr>
        <w:tblStyle w:val="TableGrid"/>
        <w:tblW w:w="9450" w:type="dxa"/>
        <w:tblInd w:w="108" w:type="dxa"/>
        <w:tblLook w:val="04A0" w:firstRow="1" w:lastRow="0" w:firstColumn="1" w:lastColumn="0" w:noHBand="0" w:noVBand="1"/>
      </w:tblPr>
      <w:tblGrid>
        <w:gridCol w:w="4820"/>
        <w:gridCol w:w="4630"/>
      </w:tblGrid>
      <w:tr w:rsidR="007E70F0" w:rsidTr="00040B9D">
        <w:trPr>
          <w:trHeight w:val="315"/>
        </w:trPr>
        <w:tc>
          <w:tcPr>
            <w:tcW w:w="4820" w:type="dxa"/>
            <w:tcBorders>
              <w:left w:val="nil"/>
              <w:bottom w:val="single" w:sz="4" w:space="0" w:color="auto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 xml:space="preserve">Characteristic  </w:t>
            </w:r>
          </w:p>
        </w:tc>
        <w:tc>
          <w:tcPr>
            <w:tcW w:w="4630" w:type="dxa"/>
            <w:tcBorders>
              <w:left w:val="nil"/>
              <w:bottom w:val="single" w:sz="4" w:space="0" w:color="auto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Total N = 122</w:t>
            </w:r>
          </w:p>
        </w:tc>
      </w:tr>
      <w:tr w:rsidR="007E70F0" w:rsidTr="00040B9D">
        <w:trPr>
          <w:trHeight w:val="305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Sex, n (%)</w:t>
            </w:r>
          </w:p>
        </w:tc>
        <w:tc>
          <w:tcPr>
            <w:tcW w:w="4630" w:type="dxa"/>
            <w:tcBorders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70F0" w:rsidTr="00040B9D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Male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74 (60.7)</w:t>
            </w:r>
          </w:p>
        </w:tc>
      </w:tr>
      <w:tr w:rsidR="007E70F0" w:rsidRPr="00346139" w:rsidTr="00040B9D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Female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48 (39.3)</w:t>
            </w:r>
          </w:p>
        </w:tc>
      </w:tr>
      <w:tr w:rsidR="007E70F0" w:rsidRPr="00346139" w:rsidTr="00040B9D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Age (years), median (IQR)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22.5 (18-40)</w:t>
            </w:r>
          </w:p>
        </w:tc>
      </w:tr>
      <w:tr w:rsidR="007E70F0" w:rsidTr="00040B9D">
        <w:trPr>
          <w:trHeight w:val="30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Duration of lesion (months), median (IQR)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8 (5-12)</w:t>
            </w:r>
          </w:p>
        </w:tc>
      </w:tr>
      <w:tr w:rsidR="007E70F0" w:rsidTr="00040B9D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CL type, n (%)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70F0" w:rsidTr="00040B9D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LCL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75 (61.5)</w:t>
            </w:r>
          </w:p>
        </w:tc>
      </w:tr>
      <w:tr w:rsidR="007E70F0" w:rsidTr="00040B9D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MCL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40 (32.8)</w:t>
            </w:r>
          </w:p>
        </w:tc>
      </w:tr>
      <w:tr w:rsidR="007E70F0" w:rsidTr="00040B9D">
        <w:trPr>
          <w:trHeight w:val="305"/>
        </w:trPr>
        <w:tc>
          <w:tcPr>
            <w:tcW w:w="4820" w:type="dxa"/>
            <w:tcBorders>
              <w:top w:val="nil"/>
              <w:left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DCL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:rsidR="007E70F0" w:rsidRPr="000D3F9E" w:rsidRDefault="007E70F0" w:rsidP="000D3F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F9E">
              <w:rPr>
                <w:rFonts w:ascii="Times New Roman" w:hAnsi="Times New Roman"/>
                <w:sz w:val="22"/>
                <w:szCs w:val="22"/>
              </w:rPr>
              <w:t>7 (5.7)</w:t>
            </w:r>
          </w:p>
        </w:tc>
      </w:tr>
    </w:tbl>
    <w:p w:rsidR="007E70F0" w:rsidRPr="000D3F9E" w:rsidRDefault="007E70F0" w:rsidP="00253FB0">
      <w:pPr>
        <w:spacing w:line="48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D3F9E">
        <w:rPr>
          <w:rFonts w:ascii="Times New Roman" w:hAnsi="Times New Roman" w:cs="Times New Roman"/>
          <w:i/>
          <w:iCs/>
          <w:sz w:val="18"/>
          <w:szCs w:val="18"/>
        </w:rPr>
        <w:t>Note: N: total number of patients, IQR: interquartile range, n: number of patients for variable, %: percent, LCL: localized cutaneous leishmaniasis, MCL: muco-cutaneous leishmaniasis, and DCL: diffuse cutaneous leishmaniasis</w:t>
      </w: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840236" w:rsidSect="004C231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Pr="00846395" w:rsidRDefault="00840236" w:rsidP="007E70F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E2598" w:rsidRPr="00084F89" w:rsidRDefault="00EE2598" w:rsidP="00EE2598">
      <w:pPr>
        <w:pStyle w:val="Caption"/>
        <w:spacing w:before="0" w:after="0" w:afterAutospacing="0" w:line="240" w:lineRule="auto"/>
        <w:rPr>
          <w:b w:val="0"/>
          <w:sz w:val="24"/>
          <w:szCs w:val="24"/>
        </w:rPr>
      </w:pPr>
      <w:r w:rsidRPr="00084F89">
        <w:rPr>
          <w:sz w:val="24"/>
          <w:szCs w:val="24"/>
        </w:rPr>
        <w:t xml:space="preserve">Table </w:t>
      </w:r>
      <w:r w:rsidR="00774CE1">
        <w:rPr>
          <w:sz w:val="24"/>
          <w:szCs w:val="24"/>
        </w:rPr>
        <w:t>S</w:t>
      </w:r>
      <w:r w:rsidRPr="00084F89">
        <w:rPr>
          <w:sz w:val="24"/>
          <w:szCs w:val="24"/>
        </w:rPr>
        <w:fldChar w:fldCharType="begin"/>
      </w:r>
      <w:r w:rsidRPr="00084F89">
        <w:rPr>
          <w:sz w:val="24"/>
          <w:szCs w:val="24"/>
        </w:rPr>
        <w:instrText xml:space="preserve"> SEQ Table \* ARABIC </w:instrText>
      </w:r>
      <w:r w:rsidRPr="00084F89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</w:t>
      </w:r>
      <w:r w:rsidRPr="00084F89">
        <w:rPr>
          <w:sz w:val="24"/>
          <w:szCs w:val="24"/>
        </w:rPr>
        <w:fldChar w:fldCharType="end"/>
      </w:r>
      <w:r w:rsidRPr="00084F89">
        <w:rPr>
          <w:sz w:val="24"/>
          <w:szCs w:val="24"/>
        </w:rPr>
        <w:t xml:space="preserve">: </w:t>
      </w:r>
      <w:r w:rsidRPr="00084F89">
        <w:rPr>
          <w:b w:val="0"/>
          <w:sz w:val="24"/>
          <w:szCs w:val="24"/>
        </w:rPr>
        <w:t>Diagnostic performance of kDNA PCR, SL-RNA PCR, and LAMP assay for CL diagnosis, using SSM as a reference standard</w:t>
      </w:r>
    </w:p>
    <w:tbl>
      <w:tblPr>
        <w:tblStyle w:val="TableGrid"/>
        <w:tblW w:w="1440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620"/>
        <w:gridCol w:w="1080"/>
        <w:gridCol w:w="1170"/>
        <w:gridCol w:w="1080"/>
        <w:gridCol w:w="1260"/>
        <w:gridCol w:w="2250"/>
        <w:gridCol w:w="2218"/>
        <w:gridCol w:w="1832"/>
        <w:gridCol w:w="1890"/>
      </w:tblGrid>
      <w:tr w:rsidR="00EE2598" w:rsidRPr="00E134A5" w:rsidTr="00633AF6">
        <w:tc>
          <w:tcPr>
            <w:tcW w:w="1620" w:type="dxa"/>
            <w:vMerge w:val="restart"/>
            <w:tcBorders>
              <w:left w:val="nil"/>
              <w:right w:val="nil"/>
            </w:tcBorders>
          </w:tcPr>
          <w:p w:rsidR="00EE2598" w:rsidRPr="003A7490" w:rsidRDefault="00EE2598" w:rsidP="00040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Method</w:t>
            </w:r>
          </w:p>
        </w:tc>
        <w:tc>
          <w:tcPr>
            <w:tcW w:w="2250" w:type="dxa"/>
            <w:gridSpan w:val="2"/>
            <w:tcBorders>
              <w:left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Case, n=64</w:t>
            </w:r>
          </w:p>
        </w:tc>
        <w:tc>
          <w:tcPr>
            <w:tcW w:w="2340" w:type="dxa"/>
            <w:gridSpan w:val="2"/>
            <w:tcBorders>
              <w:left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Non-case, n=58</w:t>
            </w:r>
          </w:p>
        </w:tc>
        <w:tc>
          <w:tcPr>
            <w:tcW w:w="8190" w:type="dxa"/>
            <w:gridSpan w:val="4"/>
            <w:tcBorders>
              <w:left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Diagnostic performance</w:t>
            </w:r>
          </w:p>
        </w:tc>
      </w:tr>
      <w:tr w:rsidR="003A7490" w:rsidRPr="00E134A5" w:rsidTr="00633AF6">
        <w:trPr>
          <w:trHeight w:val="386"/>
        </w:trPr>
        <w:tc>
          <w:tcPr>
            <w:tcW w:w="16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E2598" w:rsidRPr="003A7490" w:rsidRDefault="00EE2598" w:rsidP="00040B9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:rsidR="00EE2598" w:rsidRPr="003A7490" w:rsidRDefault="00EE2598" w:rsidP="00040B9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Positive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Negative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Positive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Negative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Sensitivity (95% CI)</w:t>
            </w:r>
          </w:p>
        </w:tc>
        <w:tc>
          <w:tcPr>
            <w:tcW w:w="2218" w:type="dxa"/>
            <w:tcBorders>
              <w:left w:val="nil"/>
              <w:bottom w:val="single" w:sz="4" w:space="0" w:color="auto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Specificity (95% CI)</w:t>
            </w:r>
          </w:p>
        </w:tc>
        <w:tc>
          <w:tcPr>
            <w:tcW w:w="1832" w:type="dxa"/>
            <w:tcBorders>
              <w:left w:val="nil"/>
              <w:bottom w:val="single" w:sz="4" w:space="0" w:color="auto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PPV (95% CI)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NPV(95% CI)</w:t>
            </w:r>
          </w:p>
        </w:tc>
      </w:tr>
      <w:tr w:rsidR="003A7490" w:rsidRPr="00E134A5" w:rsidTr="00633AF6"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EE2598" w:rsidRPr="003A7490" w:rsidRDefault="00EE2598" w:rsidP="00040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kDNA PCR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EE2598" w:rsidRPr="003A7490" w:rsidRDefault="00EE2598" w:rsidP="00040B9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95.3 (91.6-99.1)</w:t>
            </w:r>
          </w:p>
        </w:tc>
        <w:tc>
          <w:tcPr>
            <w:tcW w:w="2218" w:type="dxa"/>
            <w:tcBorders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46.5 (37.7-55.4)</w:t>
            </w:r>
          </w:p>
        </w:tc>
        <w:tc>
          <w:tcPr>
            <w:tcW w:w="1832" w:type="dxa"/>
            <w:tcBorders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66.3 (57.9-74.7)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90.0 (84.7-95.3)</w:t>
            </w:r>
          </w:p>
        </w:tc>
      </w:tr>
      <w:tr w:rsidR="003A7490" w:rsidRPr="00E134A5" w:rsidTr="00633AF6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EE2598" w:rsidRPr="003A7490" w:rsidRDefault="00EE2598" w:rsidP="00040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SL-RNA PCR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E2598" w:rsidRPr="003A7490" w:rsidRDefault="00EE2598" w:rsidP="00040B9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95.3 (91.6-99.1)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48.3 (39.4-57.1)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67.0 (58.7-75.4)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EE2598" w:rsidRPr="003A7490" w:rsidRDefault="00EE2598" w:rsidP="00633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90.3 (85.1-95.6)</w:t>
            </w:r>
          </w:p>
        </w:tc>
      </w:tr>
      <w:tr w:rsidR="003A7490" w:rsidRPr="00E134A5" w:rsidTr="00633AF6"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EE2598" w:rsidRPr="003A7490" w:rsidRDefault="00EE2598" w:rsidP="00040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LAMP assay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EE2598" w:rsidRPr="003A7490" w:rsidRDefault="00EE2598" w:rsidP="00040B9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48.4 (39.6-57.3)</w:t>
            </w: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87.9 (82.1-93.7)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81.6 (74.7-88.5)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:rsidR="00EE2598" w:rsidRPr="003A7490" w:rsidRDefault="00EE2598" w:rsidP="00633A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90">
              <w:rPr>
                <w:rFonts w:ascii="Times New Roman" w:hAnsi="Times New Roman"/>
                <w:sz w:val="24"/>
                <w:szCs w:val="24"/>
              </w:rPr>
              <w:t>60.7 (52.0-69.4)</w:t>
            </w:r>
          </w:p>
        </w:tc>
      </w:tr>
    </w:tbl>
    <w:p w:rsidR="00EE2598" w:rsidRDefault="00EE2598" w:rsidP="00EE2598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1912C1">
        <w:rPr>
          <w:rFonts w:ascii="Times New Roman" w:hAnsi="Times New Roman" w:cs="Times New Roman"/>
          <w:i/>
          <w:iCs/>
          <w:sz w:val="24"/>
          <w:szCs w:val="24"/>
        </w:rPr>
        <w:t>kDNA kinetoplast deoxyribonucleic acid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912C1">
        <w:rPr>
          <w:rFonts w:ascii="Times New Roman" w:hAnsi="Times New Roman" w:cs="Times New Roman"/>
          <w:i/>
          <w:iCs/>
          <w:sz w:val="24"/>
          <w:szCs w:val="24"/>
        </w:rPr>
        <w:t>PCR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1912C1">
        <w:rPr>
          <w:rFonts w:ascii="Times New Roman" w:hAnsi="Times New Roman" w:cs="Times New Roman"/>
          <w:i/>
          <w:iCs/>
          <w:sz w:val="24"/>
          <w:szCs w:val="24"/>
        </w:rPr>
        <w:t xml:space="preserve"> polymerase chain reaction, SL-RNA: spliced leader ribonucleic acid, LAMP: loop-mediated isothermal amplification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912C1">
        <w:rPr>
          <w:rFonts w:ascii="Times New Roman" w:hAnsi="Times New Roman" w:cs="Times New Roman"/>
          <w:i/>
          <w:iCs/>
          <w:sz w:val="24"/>
          <w:szCs w:val="24"/>
        </w:rPr>
        <w:t xml:space="preserve">PPV: positive predictive value,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NPV: negative predictive value, and </w:t>
      </w:r>
      <w:r w:rsidRPr="001912C1">
        <w:rPr>
          <w:rFonts w:ascii="Times New Roman" w:hAnsi="Times New Roman" w:cs="Times New Roman"/>
          <w:i/>
          <w:iCs/>
          <w:sz w:val="24"/>
          <w:szCs w:val="24"/>
        </w:rPr>
        <w:t>CI: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confidence interval</w:t>
      </w:r>
    </w:p>
    <w:p w:rsidR="00840236" w:rsidRDefault="00840236" w:rsidP="00EE2598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EE2598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EE2598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EE2598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EE2598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0236" w:rsidRDefault="00840236" w:rsidP="00EE2598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840236" w:rsidSect="004C2318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40236" w:rsidRPr="00D063E8" w:rsidRDefault="00840236" w:rsidP="00EE2598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E2598" w:rsidRPr="00EE2598" w:rsidRDefault="00EE2598" w:rsidP="00EE2598">
      <w:pPr>
        <w:pStyle w:val="Caption"/>
        <w:spacing w:before="0" w:after="0" w:afterAutospacing="0" w:line="240" w:lineRule="auto"/>
        <w:rPr>
          <w:b w:val="0"/>
          <w:sz w:val="24"/>
          <w:szCs w:val="24"/>
        </w:rPr>
      </w:pPr>
      <w:r w:rsidRPr="00EE2598">
        <w:rPr>
          <w:sz w:val="24"/>
          <w:szCs w:val="24"/>
        </w:rPr>
        <w:t>Table</w:t>
      </w:r>
      <w:r w:rsidR="00774CE1">
        <w:rPr>
          <w:sz w:val="24"/>
          <w:szCs w:val="24"/>
        </w:rPr>
        <w:t xml:space="preserve"> S</w:t>
      </w:r>
      <w:r w:rsidRPr="00EE2598">
        <w:rPr>
          <w:sz w:val="24"/>
          <w:szCs w:val="24"/>
        </w:rPr>
        <w:fldChar w:fldCharType="begin"/>
      </w:r>
      <w:r w:rsidRPr="00EE2598">
        <w:rPr>
          <w:sz w:val="24"/>
          <w:szCs w:val="24"/>
        </w:rPr>
        <w:instrText xml:space="preserve"> SEQ Table \* ARABIC </w:instrText>
      </w:r>
      <w:r w:rsidRPr="00EE2598">
        <w:rPr>
          <w:sz w:val="24"/>
          <w:szCs w:val="24"/>
        </w:rPr>
        <w:fldChar w:fldCharType="separate"/>
      </w:r>
      <w:r w:rsidRPr="00EE2598">
        <w:rPr>
          <w:noProof/>
          <w:sz w:val="24"/>
          <w:szCs w:val="24"/>
        </w:rPr>
        <w:t>3</w:t>
      </w:r>
      <w:r w:rsidRPr="00EE2598">
        <w:rPr>
          <w:sz w:val="24"/>
          <w:szCs w:val="24"/>
        </w:rPr>
        <w:fldChar w:fldCharType="end"/>
      </w:r>
      <w:r w:rsidRPr="00EE2598">
        <w:rPr>
          <w:sz w:val="24"/>
          <w:szCs w:val="24"/>
        </w:rPr>
        <w:t xml:space="preserve">: </w:t>
      </w:r>
      <w:r w:rsidRPr="00EE2598">
        <w:rPr>
          <w:b w:val="0"/>
          <w:sz w:val="24"/>
          <w:szCs w:val="24"/>
        </w:rPr>
        <w:t>User-friendliness and cost per test of SSM, kDNA PCR, SL-RNA PCR, and LAMP assay for CL diagnosis</w:t>
      </w:r>
    </w:p>
    <w:tbl>
      <w:tblPr>
        <w:tblStyle w:val="TableGrid"/>
        <w:tblW w:w="10671" w:type="dxa"/>
        <w:jc w:val="center"/>
        <w:tblLook w:val="04A0" w:firstRow="1" w:lastRow="0" w:firstColumn="1" w:lastColumn="0" w:noHBand="0" w:noVBand="1"/>
      </w:tblPr>
      <w:tblGrid>
        <w:gridCol w:w="3507"/>
        <w:gridCol w:w="1827"/>
        <w:gridCol w:w="1768"/>
        <w:gridCol w:w="1843"/>
        <w:gridCol w:w="1726"/>
      </w:tblGrid>
      <w:tr w:rsidR="00EE2598" w:rsidTr="00040B9D">
        <w:trPr>
          <w:jc w:val="center"/>
        </w:trPr>
        <w:tc>
          <w:tcPr>
            <w:tcW w:w="3544" w:type="dxa"/>
          </w:tcPr>
          <w:p w:rsidR="00EE2598" w:rsidRPr="006D29C0" w:rsidRDefault="00EE2598" w:rsidP="00040B9D">
            <w:pPr>
              <w:spacing w:line="276" w:lineRule="auto"/>
              <w:ind w:right="43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6D29C0">
              <w:rPr>
                <w:rFonts w:ascii="Times New Roman" w:hAnsi="Times New Roman"/>
                <w:b/>
                <w:bCs/>
                <w:sz w:val="24"/>
                <w:szCs w:val="24"/>
              </w:rPr>
              <w:t>Aspects of user-friendliness</w:t>
            </w:r>
          </w:p>
        </w:tc>
        <w:tc>
          <w:tcPr>
            <w:tcW w:w="7127" w:type="dxa"/>
            <w:gridSpan w:val="4"/>
          </w:tcPr>
          <w:p w:rsidR="00EE2598" w:rsidRPr="006D29C0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6D29C0">
              <w:rPr>
                <w:rFonts w:ascii="Times New Roman" w:hAnsi="Times New Roman"/>
                <w:b/>
                <w:bCs/>
                <w:sz w:val="24"/>
                <w:szCs w:val="24"/>
              </w:rPr>
              <w:t>Laboratory diagnosis methods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6D29C0" w:rsidRDefault="00EE2598" w:rsidP="00040B9D">
            <w:pPr>
              <w:spacing w:line="276" w:lineRule="auto"/>
              <w:ind w:right="43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863" w:type="dxa"/>
          </w:tcPr>
          <w:p w:rsidR="00EE2598" w:rsidRPr="006D29C0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29C0">
              <w:rPr>
                <w:rFonts w:ascii="Times New Roman" w:hAnsi="Times New Roman"/>
                <w:b/>
                <w:bCs/>
                <w:sz w:val="24"/>
                <w:szCs w:val="24"/>
              </w:rPr>
              <w:t>SSM</w:t>
            </w:r>
          </w:p>
        </w:tc>
        <w:tc>
          <w:tcPr>
            <w:tcW w:w="1644" w:type="dxa"/>
          </w:tcPr>
          <w:p w:rsidR="00EE2598" w:rsidRPr="006D29C0" w:rsidRDefault="00EE2598" w:rsidP="00040B9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29C0">
              <w:rPr>
                <w:rFonts w:ascii="Times New Roman" w:hAnsi="Times New Roman"/>
                <w:b/>
                <w:bCs/>
                <w:sz w:val="24"/>
                <w:szCs w:val="24"/>
              </w:rPr>
              <w:t>kDNA PCR</w:t>
            </w:r>
          </w:p>
        </w:tc>
        <w:tc>
          <w:tcPr>
            <w:tcW w:w="1879" w:type="dxa"/>
          </w:tcPr>
          <w:p w:rsidR="00EE2598" w:rsidRPr="006D29C0" w:rsidRDefault="00EE2598" w:rsidP="00040B9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29C0">
              <w:rPr>
                <w:rFonts w:ascii="Times New Roman" w:hAnsi="Times New Roman"/>
                <w:b/>
                <w:bCs/>
                <w:sz w:val="24"/>
                <w:szCs w:val="24"/>
              </w:rPr>
              <w:t>SL-RNA PCR</w:t>
            </w:r>
          </w:p>
        </w:tc>
        <w:tc>
          <w:tcPr>
            <w:tcW w:w="1741" w:type="dxa"/>
          </w:tcPr>
          <w:p w:rsidR="00EE2598" w:rsidRPr="006D29C0" w:rsidRDefault="00EE2598" w:rsidP="00040B9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29C0">
              <w:rPr>
                <w:rFonts w:ascii="Times New Roman" w:hAnsi="Times New Roman"/>
                <w:b/>
                <w:bCs/>
                <w:sz w:val="24"/>
                <w:szCs w:val="24"/>
              </w:rPr>
              <w:t>LAMP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6D29C0">
              <w:rPr>
                <w:rFonts w:ascii="Times New Roman" w:hAnsi="Times New Roman"/>
                <w:b/>
                <w:bCs/>
                <w:sz w:val="24"/>
                <w:szCs w:val="24"/>
              </w:rPr>
              <w:t>Time factor</w:t>
            </w:r>
          </w:p>
        </w:tc>
        <w:tc>
          <w:tcPr>
            <w:tcW w:w="1863" w:type="dxa"/>
            <w:shd w:val="clear" w:color="auto" w:fill="EEECE1" w:themeFill="background2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644" w:type="dxa"/>
            <w:shd w:val="clear" w:color="auto" w:fill="EEECE1" w:themeFill="background2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79" w:type="dxa"/>
            <w:shd w:val="clear" w:color="auto" w:fill="EEECE1" w:themeFill="background2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41" w:type="dxa"/>
            <w:shd w:val="clear" w:color="auto" w:fill="EEECE1" w:themeFill="background2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Time to prepare samples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40 min</w:t>
            </w:r>
            <w:r>
              <w:rPr>
                <w:rFonts w:ascii="Times New Roman" w:hAnsi="Times New Roman"/>
                <w:sz w:val="24"/>
                <w:szCs w:val="24"/>
              </w:rPr>
              <w:t>utes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  <w:r w:rsidRPr="007E3DFA">
              <w:rPr>
                <w:rFonts w:ascii="Times New Roman" w:hAnsi="Times New Roman"/>
                <w:sz w:val="24"/>
                <w:szCs w:val="24"/>
              </w:rPr>
              <w:t>min</w:t>
            </w:r>
            <w:r>
              <w:rPr>
                <w:rFonts w:ascii="Times New Roman" w:hAnsi="Times New Roman"/>
                <w:sz w:val="24"/>
                <w:szCs w:val="24"/>
              </w:rPr>
              <w:t>utes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169 </w:t>
            </w:r>
            <w:r w:rsidRPr="007E3DFA">
              <w:rPr>
                <w:rFonts w:ascii="Times New Roman" w:hAnsi="Times New Roman"/>
                <w:sz w:val="24"/>
                <w:szCs w:val="24"/>
              </w:rPr>
              <w:t>min</w:t>
            </w:r>
            <w:r>
              <w:rPr>
                <w:rFonts w:ascii="Times New Roman" w:hAnsi="Times New Roman"/>
                <w:sz w:val="24"/>
                <w:szCs w:val="24"/>
              </w:rPr>
              <w:t>utes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95 min</w:t>
            </w:r>
            <w:r>
              <w:rPr>
                <w:rFonts w:ascii="Times New Roman" w:hAnsi="Times New Roman"/>
                <w:sz w:val="24"/>
                <w:szCs w:val="24"/>
              </w:rPr>
              <w:t>utes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Time to analyze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30 min</w:t>
            </w:r>
            <w:r>
              <w:rPr>
                <w:rFonts w:ascii="Times New Roman" w:hAnsi="Times New Roman"/>
                <w:sz w:val="24"/>
                <w:szCs w:val="24"/>
              </w:rPr>
              <w:t>utes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  <w:r w:rsidRPr="007E3DFA">
              <w:rPr>
                <w:rFonts w:ascii="Times New Roman" w:hAnsi="Times New Roman"/>
                <w:sz w:val="24"/>
                <w:szCs w:val="24"/>
              </w:rPr>
              <w:t>min</w:t>
            </w:r>
            <w:r>
              <w:rPr>
                <w:rFonts w:ascii="Times New Roman" w:hAnsi="Times New Roman"/>
                <w:sz w:val="24"/>
                <w:szCs w:val="24"/>
              </w:rPr>
              <w:t>utes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140 min</w:t>
            </w:r>
            <w:r>
              <w:rPr>
                <w:rFonts w:ascii="Times New Roman" w:hAnsi="Times New Roman"/>
                <w:sz w:val="24"/>
                <w:szCs w:val="24"/>
              </w:rPr>
              <w:t>utes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45 min</w:t>
            </w:r>
            <w:r>
              <w:rPr>
                <w:rFonts w:ascii="Times New Roman" w:hAnsi="Times New Roman"/>
                <w:sz w:val="24"/>
                <w:szCs w:val="24"/>
              </w:rPr>
              <w:t>utes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 xml:space="preserve">Total time 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1:10 hour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4:50 hour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5:10 hour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2:20 hour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Stability time of test reagents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tabs>
                <w:tab w:val="left" w:pos="858"/>
              </w:tabs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30 months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20 months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16 months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12 months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Stability time of quality control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tabs>
                <w:tab w:val="left" w:pos="858"/>
              </w:tabs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30 months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20 months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16 months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12 months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29C0">
              <w:rPr>
                <w:rFonts w:ascii="Times New Roman" w:hAnsi="Times New Roman"/>
                <w:b/>
                <w:bCs/>
                <w:sz w:val="24"/>
                <w:szCs w:val="24"/>
              </w:rPr>
              <w:t>Ease of performance,</w:t>
            </w:r>
          </w:p>
          <w:p w:rsidR="00EE2598" w:rsidRPr="006D29C0" w:rsidRDefault="00EE2598" w:rsidP="00040B9D">
            <w:pPr>
              <w:spacing w:line="276" w:lineRule="auto"/>
              <w:ind w:right="432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6D29C0">
              <w:rPr>
                <w:rFonts w:ascii="Times New Roman" w:hAnsi="Times New Roman"/>
                <w:b/>
                <w:bCs/>
                <w:sz w:val="24"/>
                <w:szCs w:val="24"/>
              </w:rPr>
              <w:t>easy/moderate/difficult, %</w:t>
            </w:r>
          </w:p>
        </w:tc>
        <w:tc>
          <w:tcPr>
            <w:tcW w:w="1863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644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879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741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Sample preparation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100/0/0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0/83.3/16.7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0/66.7/33.3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100/0/0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Operation of analyzer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83.3/16.7/0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0/83.3/16.7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0/66.7/33.3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83.3/16.7/0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Interpretation of result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83.3/16.7/0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0/83.3/16.7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0/66.7/33.3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83.3/16.7/0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6D29C0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Susceptibility to error in procedure, low/medium/high, %</w:t>
            </w:r>
          </w:p>
        </w:tc>
        <w:tc>
          <w:tcPr>
            <w:tcW w:w="1863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644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879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741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Sample preparation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66.7/33.3/0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0/33.3/66.7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0/33.3/66.7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50/33.3/16.7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Operation of analyzer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50/50/0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33.3/16.7/50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33.3/16.7/50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50/50/0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Interpretation of result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50/50/0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33.3/16.7/50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33.3/0/66.7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50/50/0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6D29C0">
              <w:rPr>
                <w:rFonts w:ascii="Times New Roman" w:hAnsi="Times New Roman"/>
                <w:b/>
                <w:bCs/>
                <w:sz w:val="24"/>
                <w:szCs w:val="24"/>
              </w:rPr>
              <w:t>Field applicable and other, yes/no, %</w:t>
            </w:r>
          </w:p>
        </w:tc>
        <w:tc>
          <w:tcPr>
            <w:tcW w:w="1863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644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879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741" w:type="dxa"/>
            <w:shd w:val="clear" w:color="auto" w:fill="EEECE1" w:themeFill="background2"/>
          </w:tcPr>
          <w:p w:rsidR="00EE2598" w:rsidRPr="006D29C0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  <w:r w:rsidRPr="007E3DFA">
              <w:rPr>
                <w:rFonts w:ascii="Times New Roman" w:hAnsi="Times New Roman"/>
                <w:sz w:val="24"/>
                <w:szCs w:val="24"/>
              </w:rPr>
              <w:t xml:space="preserve"> need for specific sample storage other than cold chain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</w:t>
            </w:r>
          </w:p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16.7/83.3</w:t>
            </w:r>
          </w:p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16.7/83.3</w:t>
            </w:r>
          </w:p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 xml:space="preserve">Refrigerator </w:t>
            </w:r>
            <w:r w:rsidRPr="007E3DFA">
              <w:rPr>
                <w:rFonts w:ascii="Times New Roman" w:hAnsi="Times New Roman"/>
                <w:b/>
                <w:sz w:val="24"/>
                <w:szCs w:val="24"/>
              </w:rPr>
              <w:t>not</w:t>
            </w:r>
            <w:r w:rsidRPr="007E3DFA">
              <w:rPr>
                <w:rFonts w:ascii="Times New Roman" w:hAnsi="Times New Roman"/>
                <w:sz w:val="24"/>
                <w:szCs w:val="24"/>
              </w:rPr>
              <w:t xml:space="preserve"> required to store reagent and controls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</w:t>
            </w:r>
          </w:p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16.7/83.3</w:t>
            </w:r>
          </w:p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16.7/83.3</w:t>
            </w:r>
          </w:p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Device portable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50/50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50/50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Device battery operated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33.3/66.7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16.7/83.3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16.7/83.3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left="720"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9C0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  <w:r w:rsidRPr="007E3DFA">
              <w:rPr>
                <w:rFonts w:ascii="Times New Roman" w:hAnsi="Times New Roman"/>
                <w:sz w:val="24"/>
                <w:szCs w:val="24"/>
              </w:rPr>
              <w:t xml:space="preserve"> requirement of extra instruments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0/100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0/100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Possibility to quantify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83.3/16.7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66.7/33.3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right="4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Potential of</w:t>
            </w:r>
            <w:r w:rsidRPr="007E3DFA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 xml:space="preserve"> high-throughput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screening, n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87-90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87-90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right="432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SUS score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67.5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57.5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62.5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EE2598" w:rsidTr="00040B9D">
        <w:trPr>
          <w:jc w:val="center"/>
        </w:trPr>
        <w:tc>
          <w:tcPr>
            <w:tcW w:w="3544" w:type="dxa"/>
          </w:tcPr>
          <w:p w:rsidR="00EE2598" w:rsidRPr="007E3DFA" w:rsidRDefault="00EE2598" w:rsidP="00040B9D">
            <w:pPr>
              <w:spacing w:line="276" w:lineRule="auto"/>
              <w:ind w:right="432"/>
              <w:rPr>
                <w:rFonts w:ascii="Times New Roman" w:hAnsi="Times New Roman"/>
                <w:sz w:val="24"/>
                <w:szCs w:val="24"/>
              </w:rPr>
            </w:pPr>
            <w:r w:rsidRPr="007E3DFA">
              <w:rPr>
                <w:rFonts w:ascii="Times New Roman" w:hAnsi="Times New Roman"/>
                <w:sz w:val="24"/>
                <w:szCs w:val="24"/>
              </w:rPr>
              <w:t>Cost per test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(ETB)</w:t>
            </w:r>
          </w:p>
        </w:tc>
        <w:tc>
          <w:tcPr>
            <w:tcW w:w="1863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0.725</w:t>
            </w:r>
          </w:p>
        </w:tc>
        <w:tc>
          <w:tcPr>
            <w:tcW w:w="1644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866.35</w:t>
            </w:r>
          </w:p>
        </w:tc>
        <w:tc>
          <w:tcPr>
            <w:tcW w:w="1879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456.3</w:t>
            </w:r>
          </w:p>
        </w:tc>
        <w:tc>
          <w:tcPr>
            <w:tcW w:w="1741" w:type="dxa"/>
          </w:tcPr>
          <w:p w:rsidR="00EE2598" w:rsidRPr="007E3DFA" w:rsidRDefault="00EE2598" w:rsidP="00040B9D">
            <w:pPr>
              <w:spacing w:line="276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754.31</w:t>
            </w:r>
          </w:p>
        </w:tc>
      </w:tr>
    </w:tbl>
    <w:p w:rsidR="00EE2598" w:rsidRDefault="00EE2598" w:rsidP="00EE2598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12C1">
        <w:rPr>
          <w:rFonts w:ascii="Times New Roman" w:hAnsi="Times New Roman" w:cs="Times New Roman"/>
          <w:i/>
          <w:iCs/>
          <w:sz w:val="24"/>
          <w:szCs w:val="24"/>
        </w:rPr>
        <w:t xml:space="preserve">SSM: skin-slit microscopy, kDNA PCR: kinetoplast deoxyribonucleic acid polymerase chain reaction, SL-RNA: spliced leader ribonucleic acid, LAMP: loop-mediated isothermal amplification, SUS: system usability scale, ETB: Ethiopian birr, n: number, and %: </w:t>
      </w:r>
      <w:r>
        <w:rPr>
          <w:rFonts w:ascii="Times New Roman" w:hAnsi="Times New Roman" w:cs="Times New Roman"/>
          <w:i/>
          <w:iCs/>
          <w:sz w:val="24"/>
          <w:szCs w:val="24"/>
        </w:rPr>
        <w:t>percent</w:t>
      </w:r>
    </w:p>
    <w:p w:rsidR="00EE2598" w:rsidRDefault="00EE2598" w:rsidP="00EE259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6C6" w:rsidRDefault="00AD46C6"/>
    <w:sectPr w:rsidR="00AD46C6" w:rsidSect="004C231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F0"/>
    <w:rsid w:val="000D3F9E"/>
    <w:rsid w:val="00253FB0"/>
    <w:rsid w:val="003A7490"/>
    <w:rsid w:val="004C2318"/>
    <w:rsid w:val="00616CC2"/>
    <w:rsid w:val="00633AF6"/>
    <w:rsid w:val="006C4B91"/>
    <w:rsid w:val="00774CE1"/>
    <w:rsid w:val="007E70F0"/>
    <w:rsid w:val="00840236"/>
    <w:rsid w:val="00AD46C6"/>
    <w:rsid w:val="00EE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B68616-3FBE-478A-8BF6-F49C2F58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7E70F0"/>
    <w:pPr>
      <w:spacing w:after="0" w:line="240" w:lineRule="auto"/>
    </w:pPr>
    <w:rPr>
      <w:rFonts w:ascii="Calibri" w:eastAsia="DengXi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E70F0"/>
    <w:pPr>
      <w:spacing w:before="240" w:after="100" w:afterAutospacing="1" w:line="360" w:lineRule="auto"/>
      <w:jc w:val="both"/>
    </w:pPr>
    <w:rPr>
      <w:rFonts w:ascii="Times New Roman" w:eastAsia="SimSu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D752E-D4D7-4C97-B38B-F360C3CE2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506</Words>
  <Characters>2885</Characters>
  <Application>Microsoft Office Word</Application>
  <DocSecurity>0</DocSecurity>
  <Lines>24</Lines>
  <Paragraphs>6</Paragraphs>
  <ScaleCrop>false</ScaleCrop>
  <Company>by adguard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Behailu Taye</dc:creator>
  <cp:lastModifiedBy>Poornima Thiruvudaiselvi</cp:lastModifiedBy>
  <cp:revision>12</cp:revision>
  <dcterms:created xsi:type="dcterms:W3CDTF">2023-05-07T14:43:00Z</dcterms:created>
  <dcterms:modified xsi:type="dcterms:W3CDTF">2024-09-09T13:14:00Z</dcterms:modified>
</cp:coreProperties>
</file>