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3C7" w:rsidRPr="00983C52" w:rsidRDefault="00EA63C7" w:rsidP="00EA63C7">
      <w:pPr>
        <w:pBdr>
          <w:top w:val="nil"/>
          <w:left w:val="nil"/>
          <w:bottom w:val="nil"/>
          <w:right w:val="nil"/>
          <w:between w:val="nil"/>
        </w:pBdr>
        <w:spacing w:before="280" w:line="360" w:lineRule="auto"/>
        <w:rPr>
          <w:rFonts w:ascii="Times New Roman" w:eastAsia="Times New Roman" w:hAnsi="Times New Roman" w:cs="Times New Roman"/>
          <w:b/>
          <w:sz w:val="28"/>
          <w:szCs w:val="24"/>
        </w:rPr>
      </w:pPr>
      <w:r w:rsidRPr="00983C52">
        <w:rPr>
          <w:rFonts w:ascii="Times New Roman" w:eastAsia="Times New Roman" w:hAnsi="Times New Roman" w:cs="Times New Roman"/>
          <w:b/>
          <w:sz w:val="28"/>
          <w:szCs w:val="24"/>
        </w:rPr>
        <w:t>Additional file 2</w:t>
      </w:r>
      <w:bookmarkStart w:id="0" w:name="_GoBack"/>
      <w:bookmarkEnd w:id="0"/>
    </w:p>
    <w:p w:rsidR="00EA63C7" w:rsidRPr="00983C52" w:rsidRDefault="00EA63C7" w:rsidP="00EA63C7">
      <w:pPr>
        <w:pBdr>
          <w:top w:val="nil"/>
          <w:left w:val="nil"/>
          <w:bottom w:val="nil"/>
          <w:right w:val="nil"/>
          <w:between w:val="nil"/>
        </w:pBdr>
        <w:spacing w:before="280" w:line="360" w:lineRule="auto"/>
        <w:rPr>
          <w:rFonts w:ascii="Times New Roman" w:eastAsia="Times New Roman" w:hAnsi="Times New Roman" w:cs="Times New Roman"/>
          <w:sz w:val="24"/>
          <w:szCs w:val="24"/>
        </w:rPr>
      </w:pPr>
      <w:r w:rsidRPr="00983C52">
        <w:rPr>
          <w:rFonts w:ascii="Times New Roman" w:eastAsia="Times New Roman" w:hAnsi="Times New Roman" w:cs="Times New Roman"/>
          <w:b/>
          <w:sz w:val="24"/>
          <w:szCs w:val="24"/>
        </w:rPr>
        <w:t>Table. S1 Blood meal rate per bird</w:t>
      </w:r>
      <w:r w:rsidRPr="00983C52">
        <w:rPr>
          <w:rFonts w:ascii="Times New Roman" w:hAnsi="Times New Roman" w:cs="Times New Roman"/>
        </w:rPr>
        <w:t xml:space="preserve">. </w:t>
      </w:r>
      <w:r w:rsidRPr="00983C52">
        <w:rPr>
          <w:rFonts w:ascii="Times New Roman" w:hAnsi="Times New Roman" w:cs="Times New Roman"/>
          <w:sz w:val="24"/>
        </w:rPr>
        <w:t>“BF” gives the number of fully blood fed mosquitoes at the end of the experiment. “NBF” gives the number of unfed mosquitoes at the end of the experiment. “TOTAL” gives the number of uninfected mosquitoes placed in each cage at the beginning of the experiment. “BM_RATE” gives the blood meal rate which is the proportion of blood fed mosquitoes for each bird.</w:t>
      </w:r>
    </w:p>
    <w:p w:rsidR="002C17BD" w:rsidRPr="00983C52" w:rsidRDefault="00EA63C7" w:rsidP="007C60DB">
      <w:pPr>
        <w:pBdr>
          <w:top w:val="nil"/>
          <w:left w:val="nil"/>
          <w:bottom w:val="nil"/>
          <w:right w:val="nil"/>
          <w:between w:val="nil"/>
        </w:pBdr>
        <w:spacing w:before="280" w:line="360" w:lineRule="auto"/>
        <w:rPr>
          <w:rFonts w:ascii="Times New Roman" w:eastAsia="Times New Roman" w:hAnsi="Times New Roman" w:cs="Times New Roman"/>
          <w:sz w:val="24"/>
          <w:szCs w:val="24"/>
        </w:rPr>
      </w:pPr>
      <w:r w:rsidRPr="00983C52">
        <w:rPr>
          <w:rFonts w:ascii="Times New Roman" w:eastAsia="Times New Roman" w:hAnsi="Times New Roman" w:cs="Times New Roman"/>
          <w:b/>
          <w:sz w:val="24"/>
          <w:szCs w:val="24"/>
        </w:rPr>
        <w:t xml:space="preserve">Table. S2 Description of statistical models used in the study. </w:t>
      </w:r>
      <w:r w:rsidRPr="00983C52">
        <w:rPr>
          <w:rFonts w:ascii="Times New Roman" w:eastAsia="Times New Roman" w:hAnsi="Times New Roman" w:cs="Times New Roman"/>
          <w:sz w:val="24"/>
          <w:szCs w:val="24"/>
        </w:rPr>
        <w:t xml:space="preserve">“N” gives the sample size. “Maximal Model” includes the complete set of explanatory variables. “Minimal model” gives the model containing only the significant variables and their interactions. Square brackets indicate variables fitted as random factors. Curly brackets indicate the error structure used (n: normal errors, b: binomial errors). The response variable was not transformed unless otherwise stated. </w:t>
      </w:r>
    </w:p>
    <w:p w:rsidR="007C60DB" w:rsidRPr="00983C52" w:rsidRDefault="007C60DB" w:rsidP="007C60DB">
      <w:pPr>
        <w:pBdr>
          <w:top w:val="nil"/>
          <w:left w:val="nil"/>
          <w:bottom w:val="nil"/>
          <w:right w:val="nil"/>
          <w:between w:val="nil"/>
        </w:pBdr>
        <w:spacing w:before="280" w:line="360" w:lineRule="auto"/>
        <w:rPr>
          <w:rFonts w:ascii="Times New Roman" w:eastAsia="Times New Roman" w:hAnsi="Times New Roman" w:cs="Times New Roman"/>
          <w:sz w:val="24"/>
          <w:szCs w:val="24"/>
        </w:rPr>
      </w:pPr>
      <w:r w:rsidRPr="00983C52">
        <w:rPr>
          <w:rFonts w:ascii="Times New Roman" w:eastAsia="Times New Roman" w:hAnsi="Times New Roman" w:cs="Times New Roman"/>
          <w:b/>
          <w:sz w:val="24"/>
          <w:szCs w:val="24"/>
        </w:rPr>
        <w:t>Appendix 1: Influence of gametocytaemia instead of parasitaemia</w:t>
      </w:r>
    </w:p>
    <w:p w:rsidR="007C60DB" w:rsidRPr="00983C52" w:rsidRDefault="007C60DB" w:rsidP="007C60DB">
      <w:pPr>
        <w:pStyle w:val="Subtitle"/>
        <w:rPr>
          <w:rFonts w:ascii="Times New Roman" w:eastAsia="Times New Roman" w:hAnsi="Times New Roman" w:cs="Times New Roman"/>
          <w:b w:val="0"/>
        </w:rPr>
      </w:pPr>
      <w:r w:rsidRPr="00983C52">
        <w:rPr>
          <w:rFonts w:ascii="Times New Roman" w:eastAsia="Times New Roman" w:hAnsi="Times New Roman" w:cs="Times New Roman"/>
          <w:b w:val="0"/>
        </w:rPr>
        <w:t xml:space="preserve">Effect of vertebrate host gametocytaemia on oocyst production </w:t>
      </w:r>
    </w:p>
    <w:p w:rsidR="007C60DB" w:rsidRPr="00983C52" w:rsidRDefault="007C60DB" w:rsidP="007C60DB">
      <w:pPr>
        <w:rPr>
          <w:rFonts w:ascii="Times New Roman" w:eastAsia="Times New Roman" w:hAnsi="Times New Roman" w:cs="Times New Roman"/>
          <w:sz w:val="24"/>
          <w:szCs w:val="24"/>
        </w:rPr>
      </w:pPr>
      <w:r w:rsidRPr="00983C52">
        <w:rPr>
          <w:rFonts w:ascii="Times New Roman" w:eastAsia="Times New Roman" w:hAnsi="Times New Roman" w:cs="Times New Roman"/>
          <w:sz w:val="24"/>
          <w:szCs w:val="24"/>
        </w:rPr>
        <w:t xml:space="preserve">The size of the blood meal of mosquitoes was not influenced by the parasitaemia of the bird on which they fed (mean ± se, 20.07µg ± 0.055, X2=0.34, p = 0.55). Since all mosquitoes already had oocysts in their midgut when we started the dissections (day 4 post-blood meal), we were unable to study the relationship between gametocytaemia and the first appearance of oocysts. We showed that gametocytaemia of vertebrate hosts had no influence on the day post-blood meal on which the oocyst peak was reached (X2=0.96, p = 0.35) or on the density of oocysts reached during this peak (X2=2.70, p = 0.09). </w:t>
      </w:r>
    </w:p>
    <w:p w:rsidR="007C60DB" w:rsidRPr="00983C52" w:rsidRDefault="007C60DB" w:rsidP="007C60DB">
      <w:pPr>
        <w:pStyle w:val="Subtitle"/>
        <w:rPr>
          <w:rFonts w:ascii="Times New Roman" w:eastAsia="Times New Roman" w:hAnsi="Times New Roman" w:cs="Times New Roman"/>
          <w:b w:val="0"/>
        </w:rPr>
      </w:pPr>
      <w:bookmarkStart w:id="1" w:name="_heading=h.a8esgnekva3" w:colFirst="0" w:colLast="0"/>
      <w:bookmarkEnd w:id="1"/>
      <w:r w:rsidRPr="00983C52">
        <w:rPr>
          <w:rFonts w:ascii="Times New Roman" w:eastAsia="Times New Roman" w:hAnsi="Times New Roman" w:cs="Times New Roman"/>
          <w:b w:val="0"/>
        </w:rPr>
        <w:t xml:space="preserve">Effect of vertebrate host gametocytaemia on sporozoite production </w:t>
      </w:r>
    </w:p>
    <w:p w:rsidR="007C60DB" w:rsidRPr="00983C52" w:rsidRDefault="007C60DB" w:rsidP="007C60DB">
      <w:pPr>
        <w:rPr>
          <w:rFonts w:ascii="Times New Roman" w:eastAsia="Times New Roman" w:hAnsi="Times New Roman" w:cs="Times New Roman"/>
          <w:sz w:val="24"/>
          <w:szCs w:val="24"/>
        </w:rPr>
      </w:pPr>
      <w:r w:rsidRPr="00983C52">
        <w:rPr>
          <w:rFonts w:ascii="Times New Roman" w:eastAsia="Times New Roman" w:hAnsi="Times New Roman" w:cs="Times New Roman"/>
          <w:sz w:val="24"/>
          <w:szCs w:val="24"/>
        </w:rPr>
        <w:t>The time required for sporozoites to be detected in the head-thorax homogenate of 10% of infected mosquitoes was influenced by the gametocytaemia of the vertebrate hosts on which the mosquitoes fed (EIP10, F = 6.21, p = 0.037). Fitting the quadratic term (gametocytaemia²) slightly improved the model fit (X2 = 3.99, p = 0.05), suggesting the day at which sporozoites were detected was a decelerating polynomial function of vertebrate host gametocytaemia. Peak sporozoite concentration in mosquitoes were reached between day 10 and 18 post-blood meal, but the delay to reach it was not influenced by vertebrate host gametocytaemia (F = 0.96, p = 0.35). The maximum sporozoite density reached during the peak was not influenced by the gametocytaemia of the vertebrate hosts either (X² &lt; 0.01, p = 0.93) but was influenced by the oocyst load reached during the oocyst peak (X² = 7.68, p = 0.005). The higher the oocyst burden, the higher the sporozoite load.</w:t>
      </w:r>
    </w:p>
    <w:p w:rsidR="00BC2848" w:rsidRPr="00983C52" w:rsidRDefault="00BC2848"/>
    <w:sectPr w:rsidR="00BC2848" w:rsidRPr="00983C52" w:rsidSect="00983C52">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revisionView w:markup="0"/>
  <w:defaultTabStop w:val="708"/>
  <w:hyphenationZone w:val="425"/>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0DB"/>
    <w:rsid w:val="000650C7"/>
    <w:rsid w:val="00075C4B"/>
    <w:rsid w:val="00080473"/>
    <w:rsid w:val="001F774D"/>
    <w:rsid w:val="0021048F"/>
    <w:rsid w:val="00270BAC"/>
    <w:rsid w:val="002C17BD"/>
    <w:rsid w:val="00326DAF"/>
    <w:rsid w:val="003400B2"/>
    <w:rsid w:val="0038641C"/>
    <w:rsid w:val="003A0751"/>
    <w:rsid w:val="003C1D5F"/>
    <w:rsid w:val="003C76DF"/>
    <w:rsid w:val="00406203"/>
    <w:rsid w:val="0042561C"/>
    <w:rsid w:val="00467306"/>
    <w:rsid w:val="004C4647"/>
    <w:rsid w:val="004E0445"/>
    <w:rsid w:val="0053237D"/>
    <w:rsid w:val="0055537F"/>
    <w:rsid w:val="00582A9B"/>
    <w:rsid w:val="00615069"/>
    <w:rsid w:val="006355B7"/>
    <w:rsid w:val="006672DC"/>
    <w:rsid w:val="00783FBD"/>
    <w:rsid w:val="007C60DB"/>
    <w:rsid w:val="007C7E8A"/>
    <w:rsid w:val="00817EF2"/>
    <w:rsid w:val="00832DB5"/>
    <w:rsid w:val="008A725F"/>
    <w:rsid w:val="00913A88"/>
    <w:rsid w:val="00920CD2"/>
    <w:rsid w:val="00972219"/>
    <w:rsid w:val="0098249E"/>
    <w:rsid w:val="00983C52"/>
    <w:rsid w:val="009E46B5"/>
    <w:rsid w:val="00A05E3C"/>
    <w:rsid w:val="00A06139"/>
    <w:rsid w:val="00A70E03"/>
    <w:rsid w:val="00B403E3"/>
    <w:rsid w:val="00BB41A2"/>
    <w:rsid w:val="00BC2848"/>
    <w:rsid w:val="00BE5AC5"/>
    <w:rsid w:val="00C26F50"/>
    <w:rsid w:val="00C4196E"/>
    <w:rsid w:val="00C60168"/>
    <w:rsid w:val="00CF3583"/>
    <w:rsid w:val="00D2601E"/>
    <w:rsid w:val="00D72872"/>
    <w:rsid w:val="00DB0E07"/>
    <w:rsid w:val="00E24CAC"/>
    <w:rsid w:val="00EA63C7"/>
    <w:rsid w:val="00EB2AC1"/>
    <w:rsid w:val="00EB6EA0"/>
    <w:rsid w:val="00EB779C"/>
    <w:rsid w:val="00FD3DF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A7885-3B24-CC4F-8320-25C41AAE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0DB"/>
    <w:pPr>
      <w:spacing w:after="160" w:line="480" w:lineRule="auto"/>
      <w:jc w:val="both"/>
    </w:pPr>
    <w:rPr>
      <w:rFonts w:ascii="Calibri" w:eastAsia="Calibri" w:hAnsi="Calibri" w:cs="Calibri"/>
      <w:sz w:val="22"/>
      <w:szCs w:val="22"/>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7C60DB"/>
    <w:rPr>
      <w:b/>
      <w:sz w:val="24"/>
      <w:szCs w:val="24"/>
    </w:rPr>
  </w:style>
  <w:style w:type="character" w:customStyle="1" w:styleId="SubtitleChar">
    <w:name w:val="Subtitle Char"/>
    <w:basedOn w:val="DefaultParagraphFont"/>
    <w:link w:val="Subtitle"/>
    <w:uiPriority w:val="11"/>
    <w:rsid w:val="007C60DB"/>
    <w:rPr>
      <w:rFonts w:ascii="Calibri" w:eastAsia="Calibri" w:hAnsi="Calibri" w:cs="Calibri"/>
      <w:b/>
      <w:lang w:val="en-US" w:eastAsia="fr-FR"/>
    </w:rPr>
  </w:style>
  <w:style w:type="paragraph" w:styleId="BalloonText">
    <w:name w:val="Balloon Text"/>
    <w:basedOn w:val="Normal"/>
    <w:link w:val="BalloonTextChar"/>
    <w:uiPriority w:val="99"/>
    <w:semiHidden/>
    <w:unhideWhenUsed/>
    <w:rsid w:val="007C60D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C60DB"/>
    <w:rPr>
      <w:rFonts w:ascii="Times New Roman" w:eastAsia="Calibri" w:hAnsi="Times New Roman" w:cs="Times New Roman"/>
      <w:sz w:val="18"/>
      <w:szCs w:val="18"/>
      <w:lang w:val="en-US" w:eastAsia="fr-FR"/>
    </w:rPr>
  </w:style>
  <w:style w:type="character" w:styleId="LineNumber">
    <w:name w:val="line number"/>
    <w:basedOn w:val="DefaultParagraphFont"/>
    <w:uiPriority w:val="99"/>
    <w:semiHidden/>
    <w:unhideWhenUsed/>
    <w:rsid w:val="00EA6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2247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Isaïa</dc:creator>
  <cp:keywords/>
  <dc:description/>
  <cp:lastModifiedBy>Manju  Pichandi</cp:lastModifiedBy>
  <cp:revision>3</cp:revision>
  <dcterms:created xsi:type="dcterms:W3CDTF">2024-11-24T10:32:00Z</dcterms:created>
  <dcterms:modified xsi:type="dcterms:W3CDTF">2025-01-07T10:38:00Z</dcterms:modified>
</cp:coreProperties>
</file>