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23FFEC" w14:textId="412E5099" w:rsidR="009B13E3" w:rsidRPr="00761B4F" w:rsidRDefault="009B13E3">
      <w:pPr>
        <w:rPr>
          <w:rStyle w:val="Hyperlink"/>
          <w:rFonts w:eastAsiaTheme="majorEastAsia"/>
          <w:b/>
          <w:color w:val="000000" w:themeColor="text1"/>
          <w:sz w:val="28"/>
          <w:szCs w:val="28"/>
          <w:u w:val="none"/>
        </w:rPr>
      </w:pPr>
      <w:r w:rsidRPr="00761B4F">
        <w:rPr>
          <w:rStyle w:val="Hyperlink"/>
          <w:rFonts w:eastAsiaTheme="majorEastAsia"/>
          <w:b/>
          <w:color w:val="000000" w:themeColor="text1"/>
          <w:sz w:val="28"/>
          <w:szCs w:val="28"/>
          <w:u w:val="none"/>
        </w:rPr>
        <w:t>Supplementary Information</w:t>
      </w:r>
    </w:p>
    <w:p w14:paraId="01C4D7F5" w14:textId="77777777" w:rsidR="009B13E3" w:rsidRPr="00761B4F" w:rsidRDefault="009B13E3">
      <w:pPr>
        <w:rPr>
          <w:rStyle w:val="Hyperlink"/>
          <w:rFonts w:eastAsiaTheme="majorEastAsia"/>
          <w:b/>
          <w:color w:val="000000" w:themeColor="text1"/>
          <w:sz w:val="28"/>
          <w:szCs w:val="28"/>
          <w:u w:val="none"/>
        </w:rPr>
      </w:pPr>
    </w:p>
    <w:p w14:paraId="6D88744F" w14:textId="77777777" w:rsidR="009B13E3" w:rsidRPr="00761B4F" w:rsidRDefault="00761B4F" w:rsidP="009B13E3">
      <w:pPr>
        <w:rPr>
          <w:b/>
          <w:bCs/>
          <w:color w:val="000000" w:themeColor="text1"/>
        </w:rPr>
      </w:pPr>
      <w:hyperlink r:id="rId5" w:history="1">
        <w:r w:rsidR="009B13E3" w:rsidRPr="00761B4F">
          <w:rPr>
            <w:rStyle w:val="Hyperlink"/>
            <w:b/>
            <w:bCs/>
            <w:color w:val="000000" w:themeColor="text1"/>
            <w:u w:val="none"/>
          </w:rPr>
          <w:t>Additional file 1: Supplementary Table S1</w:t>
        </w:r>
      </w:hyperlink>
    </w:p>
    <w:p w14:paraId="63B270AF" w14:textId="77777777" w:rsidR="009B13E3" w:rsidRPr="00761B4F" w:rsidRDefault="009B13E3">
      <w:pPr>
        <w:rPr>
          <w:b/>
          <w:bCs/>
          <w:color w:val="000000" w:themeColor="text1"/>
        </w:rPr>
      </w:pPr>
    </w:p>
    <w:p w14:paraId="6B59B7A2" w14:textId="77777777" w:rsidR="00DE5334" w:rsidRPr="00761B4F" w:rsidRDefault="00DE5334">
      <w:pPr>
        <w:rPr>
          <w:color w:val="000000" w:themeColor="text1"/>
        </w:rPr>
      </w:pPr>
    </w:p>
    <w:p w14:paraId="6B17E7C0" w14:textId="4ACA0936" w:rsidR="009B13E3" w:rsidRPr="00761B4F" w:rsidRDefault="009B13E3">
      <w:pPr>
        <w:rPr>
          <w:color w:val="000000" w:themeColor="text1"/>
        </w:rPr>
      </w:pPr>
      <w:r w:rsidRPr="00761B4F">
        <w:rPr>
          <w:color w:val="000000" w:themeColor="text1"/>
        </w:rPr>
        <w:t>Summary of the methodology of the previous study - cross-sectional study on the prevalence of anti-</w:t>
      </w:r>
      <w:r w:rsidRPr="00761B4F">
        <w:rPr>
          <w:i/>
          <w:iCs/>
          <w:color w:val="000000" w:themeColor="text1"/>
        </w:rPr>
        <w:t>Leishmania</w:t>
      </w:r>
      <w:r w:rsidRPr="00761B4F">
        <w:rPr>
          <w:color w:val="000000" w:themeColor="text1"/>
        </w:rPr>
        <w:t xml:space="preserve"> antibodies in blood donors in Mainla</w:t>
      </w:r>
      <w:bookmarkStart w:id="0" w:name="_GoBack"/>
      <w:bookmarkEnd w:id="0"/>
      <w:r w:rsidRPr="00761B4F">
        <w:rPr>
          <w:color w:val="000000" w:themeColor="text1"/>
        </w:rPr>
        <w:t>nd Portugal</w:t>
      </w:r>
      <w:r w:rsidR="004D5524" w:rsidRPr="00761B4F">
        <w:rPr>
          <w:color w:val="000000" w:themeColor="text1"/>
        </w:rPr>
        <w:t xml:space="preserve"> (1).</w:t>
      </w:r>
      <w:r w:rsidRPr="00761B4F">
        <w:rPr>
          <w:color w:val="000000" w:themeColor="text1"/>
        </w:rPr>
        <w:t xml:space="preserve"> Samples obtained for that study (stored </w:t>
      </w:r>
      <w:r w:rsidR="00195F17" w:rsidRPr="00761B4F">
        <w:rPr>
          <w:color w:val="000000" w:themeColor="text1"/>
        </w:rPr>
        <w:t xml:space="preserve">at a temperature of -20ºC) </w:t>
      </w:r>
      <w:r w:rsidRPr="00761B4F">
        <w:rPr>
          <w:color w:val="000000" w:themeColor="text1"/>
        </w:rPr>
        <w:t>were used for the present study.</w:t>
      </w:r>
    </w:p>
    <w:p w14:paraId="09C73D6D" w14:textId="77777777" w:rsidR="00DE5334" w:rsidRPr="00761B4F" w:rsidRDefault="00DE5334">
      <w:pPr>
        <w:rPr>
          <w:color w:val="000000" w:themeColor="text1"/>
        </w:rPr>
      </w:pPr>
    </w:p>
    <w:p w14:paraId="09486226" w14:textId="77777777" w:rsidR="009E07D2" w:rsidRPr="00761B4F" w:rsidRDefault="009E07D2">
      <w:pPr>
        <w:rPr>
          <w:color w:val="000000" w:themeColor="text1"/>
        </w:rPr>
      </w:pPr>
    </w:p>
    <w:p w14:paraId="27F6D887" w14:textId="77777777" w:rsidR="009B13E3" w:rsidRPr="00761B4F" w:rsidRDefault="009B13E3">
      <w:pPr>
        <w:rPr>
          <w:color w:val="000000" w:themeColor="text1"/>
        </w:rPr>
      </w:pPr>
    </w:p>
    <w:tbl>
      <w:tblPr>
        <w:tblStyle w:val="TableGrid"/>
        <w:tblW w:w="0" w:type="auto"/>
        <w:tblLook w:val="04A0" w:firstRow="1" w:lastRow="0" w:firstColumn="1" w:lastColumn="0" w:noHBand="0" w:noVBand="1"/>
      </w:tblPr>
      <w:tblGrid>
        <w:gridCol w:w="2547"/>
        <w:gridCol w:w="5947"/>
      </w:tblGrid>
      <w:tr w:rsidR="00761B4F" w:rsidRPr="00761B4F" w14:paraId="3E1EAD99" w14:textId="77777777" w:rsidTr="00B318A6">
        <w:tc>
          <w:tcPr>
            <w:tcW w:w="8494" w:type="dxa"/>
            <w:gridSpan w:val="2"/>
          </w:tcPr>
          <w:p w14:paraId="543631BB" w14:textId="5DF893DF" w:rsidR="004D5524" w:rsidRPr="00761B4F" w:rsidRDefault="004D5524">
            <w:pPr>
              <w:rPr>
                <w:b/>
                <w:bCs/>
                <w:color w:val="000000" w:themeColor="text1"/>
              </w:rPr>
            </w:pPr>
            <w:r w:rsidRPr="00761B4F">
              <w:rPr>
                <w:b/>
                <w:bCs/>
                <w:color w:val="000000" w:themeColor="text1"/>
              </w:rPr>
              <w:t>Population, materials, and methods</w:t>
            </w:r>
          </w:p>
        </w:tc>
      </w:tr>
      <w:tr w:rsidR="00761B4F" w:rsidRPr="00761B4F" w14:paraId="573ABDB2" w14:textId="77777777" w:rsidTr="004D5524">
        <w:tc>
          <w:tcPr>
            <w:tcW w:w="2547" w:type="dxa"/>
          </w:tcPr>
          <w:p w14:paraId="39F6982E" w14:textId="7801E2D5" w:rsidR="009B13E3" w:rsidRPr="00761B4F" w:rsidRDefault="009B13E3">
            <w:pPr>
              <w:rPr>
                <w:b/>
                <w:bCs/>
                <w:color w:val="000000" w:themeColor="text1"/>
                <w:sz w:val="20"/>
                <w:szCs w:val="20"/>
              </w:rPr>
            </w:pPr>
            <w:r w:rsidRPr="00761B4F">
              <w:rPr>
                <w:b/>
                <w:bCs/>
                <w:color w:val="000000" w:themeColor="text1"/>
                <w:sz w:val="20"/>
                <w:szCs w:val="20"/>
              </w:rPr>
              <w:t xml:space="preserve">Study population </w:t>
            </w:r>
          </w:p>
        </w:tc>
        <w:tc>
          <w:tcPr>
            <w:tcW w:w="5947" w:type="dxa"/>
          </w:tcPr>
          <w:p w14:paraId="4438EF22" w14:textId="0CFDD058" w:rsidR="009B13E3" w:rsidRPr="00761B4F" w:rsidRDefault="009B13E3">
            <w:pPr>
              <w:rPr>
                <w:color w:val="000000" w:themeColor="text1"/>
                <w:sz w:val="20"/>
                <w:szCs w:val="20"/>
              </w:rPr>
            </w:pPr>
            <w:r w:rsidRPr="00761B4F">
              <w:rPr>
                <w:color w:val="000000" w:themeColor="text1"/>
                <w:sz w:val="20"/>
                <w:szCs w:val="20"/>
              </w:rPr>
              <w:t xml:space="preserve">This cross-sectional national study was carried out in blood donors in mainland Portugal, which is in Southwest Europe, bordering Spain and the Atlantic Ocean. According to the 2021 national census, the population of mainland Portugal aged 15 to 64 years was 6,257,752 inhabitants </w:t>
            </w:r>
            <w:r w:rsidR="000D08D0" w:rsidRPr="00761B4F">
              <w:rPr>
                <w:color w:val="000000" w:themeColor="text1"/>
                <w:sz w:val="20"/>
                <w:szCs w:val="20"/>
              </w:rPr>
              <w:t>(2)</w:t>
            </w:r>
            <w:r w:rsidRPr="00761B4F">
              <w:rPr>
                <w:color w:val="000000" w:themeColor="text1"/>
                <w:sz w:val="20"/>
                <w:szCs w:val="20"/>
              </w:rPr>
              <w:t xml:space="preserve">. To ensure a nationwide coverage of sampling, this study was performed in collaboration with the Portuguese Institute of Blood and Transplantation (IPST) and with the </w:t>
            </w:r>
            <w:proofErr w:type="spellStart"/>
            <w:r w:rsidRPr="00761B4F">
              <w:rPr>
                <w:color w:val="000000" w:themeColor="text1"/>
                <w:sz w:val="20"/>
                <w:szCs w:val="20"/>
              </w:rPr>
              <w:t>immunohemotherapy</w:t>
            </w:r>
            <w:proofErr w:type="spellEnd"/>
            <w:r w:rsidRPr="00761B4F">
              <w:rPr>
                <w:color w:val="000000" w:themeColor="text1"/>
                <w:sz w:val="20"/>
                <w:szCs w:val="20"/>
              </w:rPr>
              <w:t xml:space="preserve"> departments (IHDs) of five hospital centers in the Alentejo and Algarve regions. The IPST and the IHDs perform regular blood collections in fixed centers as well as in shifting stations in rural and urban areas. In 2021, over 190,000 blood donations were performed in these institutions. Individuals are considered eligible for donation after a strict triage conducted by a trained health professional, to exclude acute disease and several chronic conditions and risk behaviors. Additionally, capillary hemoglobin levels are determined; men with less than 13.5 g/dl and women with less than 12.5 g/dl are automatically excluded from donating.</w:t>
            </w:r>
          </w:p>
        </w:tc>
      </w:tr>
      <w:tr w:rsidR="00761B4F" w:rsidRPr="00761B4F" w14:paraId="7DF50947" w14:textId="77777777" w:rsidTr="004D5524">
        <w:tc>
          <w:tcPr>
            <w:tcW w:w="2547" w:type="dxa"/>
          </w:tcPr>
          <w:p w14:paraId="038C4769" w14:textId="05CAF868" w:rsidR="009B13E3" w:rsidRPr="00761B4F" w:rsidRDefault="009B13E3">
            <w:pPr>
              <w:rPr>
                <w:b/>
                <w:bCs/>
                <w:color w:val="000000" w:themeColor="text1"/>
                <w:sz w:val="20"/>
                <w:szCs w:val="20"/>
              </w:rPr>
            </w:pPr>
            <w:r w:rsidRPr="00761B4F">
              <w:rPr>
                <w:b/>
                <w:bCs/>
                <w:color w:val="000000" w:themeColor="text1"/>
                <w:sz w:val="20"/>
                <w:szCs w:val="20"/>
              </w:rPr>
              <w:t>Sample size calculation</w:t>
            </w:r>
          </w:p>
        </w:tc>
        <w:tc>
          <w:tcPr>
            <w:tcW w:w="5947" w:type="dxa"/>
          </w:tcPr>
          <w:p w14:paraId="55B0EE80" w14:textId="7E3C798C" w:rsidR="009B13E3" w:rsidRPr="00761B4F" w:rsidRDefault="009B13E3" w:rsidP="009B13E3">
            <w:pPr>
              <w:rPr>
                <w:color w:val="000000" w:themeColor="text1"/>
                <w:sz w:val="20"/>
                <w:szCs w:val="20"/>
              </w:rPr>
            </w:pPr>
            <w:r w:rsidRPr="00761B4F">
              <w:rPr>
                <w:color w:val="000000" w:themeColor="text1"/>
                <w:sz w:val="20"/>
                <w:szCs w:val="20"/>
              </w:rPr>
              <w:t xml:space="preserve">Sample size was estimated using the </w:t>
            </w:r>
            <w:proofErr w:type="spellStart"/>
            <w:r w:rsidRPr="00761B4F">
              <w:rPr>
                <w:color w:val="000000" w:themeColor="text1"/>
                <w:sz w:val="20"/>
                <w:szCs w:val="20"/>
              </w:rPr>
              <w:t>Epitools</w:t>
            </w:r>
            <w:proofErr w:type="spellEnd"/>
            <w:r w:rsidRPr="00761B4F">
              <w:rPr>
                <w:color w:val="000000" w:themeColor="text1"/>
                <w:sz w:val="20"/>
                <w:szCs w:val="20"/>
                <w:vertAlign w:val="superscript"/>
              </w:rPr>
              <w:t>©</w:t>
            </w:r>
            <w:r w:rsidRPr="00761B4F">
              <w:rPr>
                <w:color w:val="000000" w:themeColor="text1"/>
                <w:sz w:val="20"/>
                <w:szCs w:val="20"/>
              </w:rPr>
              <w:t xml:space="preserve"> Epidemiological Calculators </w:t>
            </w:r>
            <w:r w:rsidR="000D08D0" w:rsidRPr="00761B4F">
              <w:rPr>
                <w:color w:val="000000" w:themeColor="text1"/>
                <w:sz w:val="20"/>
                <w:szCs w:val="20"/>
              </w:rPr>
              <w:t>(3,4)</w:t>
            </w:r>
            <w:r w:rsidRPr="00761B4F">
              <w:rPr>
                <w:color w:val="000000" w:themeColor="text1"/>
                <w:sz w:val="20"/>
                <w:szCs w:val="20"/>
              </w:rPr>
              <w:t>. At least 3200 individuals were needed to estimate a 95% confidence interval (CI) for prevalence, considering an expected maximum global (national) seroprevalence of 9% (based on Spanish regional studies</w:t>
            </w:r>
            <w:r w:rsidR="000D08D0" w:rsidRPr="00761B4F">
              <w:rPr>
                <w:color w:val="000000" w:themeColor="text1"/>
                <w:sz w:val="20"/>
                <w:szCs w:val="20"/>
              </w:rPr>
              <w:t xml:space="preserve"> (5,6,7</w:t>
            </w:r>
            <w:r w:rsidRPr="00761B4F">
              <w:rPr>
                <w:color w:val="000000" w:themeColor="text1"/>
                <w:sz w:val="20"/>
                <w:szCs w:val="20"/>
              </w:rPr>
              <w:t>) and a minimum sensitivity and specificity of the serological test used of 85% and 90%, respectively, and considering a desired precision of 0.02 to a 95% CI. Additionally, this sample size would allow the detection of small differences in seroprevalence between NUTS3 regions, with a power of 95%, using a Chi-square test.</w:t>
            </w:r>
          </w:p>
          <w:p w14:paraId="379C3048" w14:textId="6CD40E69" w:rsidR="009B13E3" w:rsidRPr="00761B4F" w:rsidRDefault="009B13E3">
            <w:pPr>
              <w:rPr>
                <w:color w:val="000000" w:themeColor="text1"/>
                <w:sz w:val="20"/>
                <w:szCs w:val="20"/>
              </w:rPr>
            </w:pPr>
            <w:r w:rsidRPr="00761B4F">
              <w:rPr>
                <w:color w:val="000000" w:themeColor="text1"/>
                <w:sz w:val="20"/>
                <w:szCs w:val="20"/>
              </w:rPr>
              <w:t>Sampling was stratified by municipality: the number of participants enrolled from each municipality was proportional to the fraction of the mainland population (aged 15–64 years) living in that region, according to the most recent census data and assuming a similar distribution for blood donors. For five NUTS3 regions in southern Portugal (Alto Alentejo, Alentejo Central, Baixo Alentejo, Alentejo Litoral, and Algarve), where higher seroprevalence was expected a priori (according to human incidence data derived from VL cases reported to the National Surveillance System)</w:t>
            </w:r>
            <w:r w:rsidR="000D08D0" w:rsidRPr="00761B4F">
              <w:rPr>
                <w:color w:val="000000" w:themeColor="text1"/>
                <w:sz w:val="20"/>
                <w:szCs w:val="20"/>
              </w:rPr>
              <w:t xml:space="preserve"> (8)</w:t>
            </w:r>
            <w:r w:rsidRPr="00761B4F">
              <w:rPr>
                <w:color w:val="000000" w:themeColor="text1"/>
                <w:sz w:val="20"/>
                <w:szCs w:val="20"/>
              </w:rPr>
              <w:t>, recruitment of additional participants was planned in order to increase the precision of estimates, increasing the total sample size to 3494.</w:t>
            </w:r>
          </w:p>
        </w:tc>
      </w:tr>
      <w:tr w:rsidR="00761B4F" w:rsidRPr="00761B4F" w14:paraId="5B24EA74" w14:textId="77777777" w:rsidTr="004D5524">
        <w:tc>
          <w:tcPr>
            <w:tcW w:w="2547" w:type="dxa"/>
          </w:tcPr>
          <w:p w14:paraId="4A3B1BFC" w14:textId="77777777" w:rsidR="009B13E3" w:rsidRPr="00761B4F" w:rsidRDefault="009B13E3" w:rsidP="009B13E3">
            <w:pPr>
              <w:rPr>
                <w:b/>
                <w:bCs/>
                <w:color w:val="000000" w:themeColor="text1"/>
                <w:sz w:val="20"/>
                <w:szCs w:val="20"/>
              </w:rPr>
            </w:pPr>
            <w:r w:rsidRPr="00761B4F">
              <w:rPr>
                <w:b/>
                <w:bCs/>
                <w:color w:val="000000" w:themeColor="text1"/>
                <w:sz w:val="20"/>
                <w:szCs w:val="20"/>
              </w:rPr>
              <w:t>Eligibility criteria</w:t>
            </w:r>
          </w:p>
          <w:p w14:paraId="3C71E1CD" w14:textId="77777777" w:rsidR="009B13E3" w:rsidRPr="00761B4F" w:rsidRDefault="009B13E3">
            <w:pPr>
              <w:rPr>
                <w:b/>
                <w:bCs/>
                <w:color w:val="000000" w:themeColor="text1"/>
                <w:sz w:val="20"/>
                <w:szCs w:val="20"/>
              </w:rPr>
            </w:pPr>
          </w:p>
        </w:tc>
        <w:tc>
          <w:tcPr>
            <w:tcW w:w="5947" w:type="dxa"/>
          </w:tcPr>
          <w:p w14:paraId="77F05CCC" w14:textId="1E30BACF" w:rsidR="009B13E3" w:rsidRPr="00761B4F" w:rsidRDefault="009B13E3">
            <w:pPr>
              <w:rPr>
                <w:color w:val="000000" w:themeColor="text1"/>
                <w:sz w:val="20"/>
                <w:szCs w:val="20"/>
              </w:rPr>
            </w:pPr>
            <w:r w:rsidRPr="00761B4F">
              <w:rPr>
                <w:color w:val="000000" w:themeColor="text1"/>
                <w:sz w:val="20"/>
                <w:szCs w:val="20"/>
              </w:rPr>
              <w:t>Individuals enrolled in this study presented to one of the institutions collaborating in the study from February to June 2022 and were considered fit for blood donation. Only individuals aged 18 to 65 years were included. Blood donation must have been completed, including collection of a serum sample for routine serological testing</w:t>
            </w:r>
            <w:r w:rsidR="000D08D0" w:rsidRPr="00761B4F">
              <w:rPr>
                <w:color w:val="000000" w:themeColor="text1"/>
                <w:sz w:val="20"/>
                <w:szCs w:val="20"/>
              </w:rPr>
              <w:t>.</w:t>
            </w:r>
          </w:p>
        </w:tc>
      </w:tr>
      <w:tr w:rsidR="00761B4F" w:rsidRPr="00761B4F" w14:paraId="67A0E1D4" w14:textId="77777777" w:rsidTr="004D5524">
        <w:tc>
          <w:tcPr>
            <w:tcW w:w="2547" w:type="dxa"/>
          </w:tcPr>
          <w:p w14:paraId="714A2C88" w14:textId="77777777" w:rsidR="009B13E3" w:rsidRPr="00761B4F" w:rsidRDefault="009B13E3" w:rsidP="009B13E3">
            <w:pPr>
              <w:rPr>
                <w:b/>
                <w:bCs/>
                <w:color w:val="000000" w:themeColor="text1"/>
                <w:sz w:val="20"/>
                <w:szCs w:val="20"/>
              </w:rPr>
            </w:pPr>
            <w:r w:rsidRPr="00761B4F">
              <w:rPr>
                <w:b/>
                <w:bCs/>
                <w:color w:val="000000" w:themeColor="text1"/>
                <w:sz w:val="20"/>
                <w:szCs w:val="20"/>
              </w:rPr>
              <w:t>Data and sample collection</w:t>
            </w:r>
          </w:p>
          <w:p w14:paraId="74462E8B" w14:textId="77777777" w:rsidR="009B13E3" w:rsidRPr="00761B4F" w:rsidRDefault="009B13E3" w:rsidP="009B13E3">
            <w:pPr>
              <w:rPr>
                <w:b/>
                <w:bCs/>
                <w:color w:val="000000" w:themeColor="text1"/>
                <w:sz w:val="20"/>
                <w:szCs w:val="20"/>
              </w:rPr>
            </w:pPr>
          </w:p>
        </w:tc>
        <w:tc>
          <w:tcPr>
            <w:tcW w:w="5947" w:type="dxa"/>
          </w:tcPr>
          <w:p w14:paraId="0093D617" w14:textId="7CD0BC2D" w:rsidR="009B13E3" w:rsidRPr="00761B4F" w:rsidRDefault="009B13E3" w:rsidP="009B13E3">
            <w:pPr>
              <w:rPr>
                <w:color w:val="000000" w:themeColor="text1"/>
                <w:sz w:val="20"/>
                <w:szCs w:val="20"/>
              </w:rPr>
            </w:pPr>
            <w:r w:rsidRPr="00761B4F">
              <w:rPr>
                <w:color w:val="000000" w:themeColor="text1"/>
                <w:sz w:val="20"/>
                <w:szCs w:val="20"/>
              </w:rPr>
              <w:t xml:space="preserve">Participant enrollment was performed in non-randomly selected blood collection sessions, to ensure a maximum number of municipalities were surveyed. In some municipalities, more than one session was required to complete the calculated sample sizes, and, in this case, different zones of the municipality were preferably surveyed. Blood donation sessions exclusive to specific professional groups (such as police officers or firefighters) were generally avoided. A fixed number of participants was set for each session (1 to 8). Blood donors were randomly invited to the study, according to </w:t>
            </w:r>
            <w:r w:rsidR="000D08D0" w:rsidRPr="00761B4F">
              <w:rPr>
                <w:color w:val="000000" w:themeColor="text1"/>
                <w:sz w:val="20"/>
                <w:szCs w:val="20"/>
              </w:rPr>
              <w:t>the hour</w:t>
            </w:r>
            <w:r w:rsidRPr="00761B4F">
              <w:rPr>
                <w:color w:val="000000" w:themeColor="text1"/>
                <w:sz w:val="20"/>
                <w:szCs w:val="20"/>
              </w:rPr>
              <w:t xml:space="preserve"> of presentation at the blood collection center/station–considering non-consecutive, pre-defined time slots. This procedure differed in one center (in the Lisbon Metropolitan Area), due to logistic reasons, where all donors in each session were invited consecutively, by order of arrival, until the sample size for the municipality was fulfilled.</w:t>
            </w:r>
          </w:p>
          <w:p w14:paraId="437481B5" w14:textId="5D0AAA41" w:rsidR="009B13E3" w:rsidRPr="00761B4F" w:rsidRDefault="009B13E3" w:rsidP="009B13E3">
            <w:pPr>
              <w:rPr>
                <w:color w:val="000000" w:themeColor="text1"/>
                <w:sz w:val="20"/>
                <w:szCs w:val="20"/>
              </w:rPr>
            </w:pPr>
            <w:r w:rsidRPr="00761B4F">
              <w:rPr>
                <w:color w:val="000000" w:themeColor="text1"/>
                <w:sz w:val="20"/>
                <w:szCs w:val="20"/>
              </w:rPr>
              <w:t xml:space="preserve">Recruitment was performed in both fixed donation centers and mobile stations, except in the Algarve region. The participants were informed about the study and signed an informed consent declaration. Each participant completed a self-administered structured paper questionnaire about sociodemographic aspects. This questionnaire was pretested in a convenience sample of 40 blood donors from the Norte and </w:t>
            </w:r>
            <w:proofErr w:type="spellStart"/>
            <w:r w:rsidR="000D08D0" w:rsidRPr="00761B4F">
              <w:rPr>
                <w:color w:val="000000" w:themeColor="text1"/>
                <w:sz w:val="20"/>
                <w:szCs w:val="20"/>
              </w:rPr>
              <w:t>Área</w:t>
            </w:r>
            <w:proofErr w:type="spellEnd"/>
            <w:r w:rsidR="000D08D0" w:rsidRPr="00761B4F">
              <w:rPr>
                <w:color w:val="000000" w:themeColor="text1"/>
                <w:sz w:val="20"/>
                <w:szCs w:val="20"/>
              </w:rPr>
              <w:t xml:space="preserve"> </w:t>
            </w:r>
            <w:proofErr w:type="spellStart"/>
            <w:r w:rsidR="000D08D0" w:rsidRPr="00761B4F">
              <w:rPr>
                <w:color w:val="000000" w:themeColor="text1"/>
                <w:sz w:val="20"/>
                <w:szCs w:val="20"/>
              </w:rPr>
              <w:t>Metropolitana</w:t>
            </w:r>
            <w:proofErr w:type="spellEnd"/>
            <w:r w:rsidR="000D08D0" w:rsidRPr="00761B4F">
              <w:rPr>
                <w:color w:val="000000" w:themeColor="text1"/>
                <w:sz w:val="20"/>
                <w:szCs w:val="20"/>
              </w:rPr>
              <w:t xml:space="preserve"> de </w:t>
            </w:r>
            <w:proofErr w:type="spellStart"/>
            <w:r w:rsidR="000D08D0" w:rsidRPr="00761B4F">
              <w:rPr>
                <w:color w:val="000000" w:themeColor="text1"/>
                <w:sz w:val="20"/>
                <w:szCs w:val="20"/>
              </w:rPr>
              <w:t>Lisboa</w:t>
            </w:r>
            <w:proofErr w:type="spellEnd"/>
            <w:r w:rsidR="000D08D0" w:rsidRPr="00761B4F">
              <w:rPr>
                <w:color w:val="000000" w:themeColor="text1"/>
                <w:sz w:val="20"/>
                <w:szCs w:val="20"/>
              </w:rPr>
              <w:t xml:space="preserve"> </w:t>
            </w:r>
            <w:r w:rsidRPr="00761B4F">
              <w:rPr>
                <w:color w:val="000000" w:themeColor="text1"/>
                <w:sz w:val="20"/>
                <w:szCs w:val="20"/>
              </w:rPr>
              <w:t xml:space="preserve">regions. 1.5 ml of serum taken from the peripheral blood sample collected for routine serological testing was sent to the </w:t>
            </w:r>
            <w:proofErr w:type="spellStart"/>
            <w:r w:rsidRPr="00761B4F">
              <w:rPr>
                <w:color w:val="000000" w:themeColor="text1"/>
                <w:sz w:val="20"/>
                <w:szCs w:val="20"/>
              </w:rPr>
              <w:t>Instituto</w:t>
            </w:r>
            <w:proofErr w:type="spellEnd"/>
            <w:r w:rsidRPr="00761B4F">
              <w:rPr>
                <w:color w:val="000000" w:themeColor="text1"/>
                <w:sz w:val="20"/>
                <w:szCs w:val="20"/>
              </w:rPr>
              <w:t xml:space="preserve"> de </w:t>
            </w:r>
            <w:proofErr w:type="spellStart"/>
            <w:r w:rsidRPr="00761B4F">
              <w:rPr>
                <w:color w:val="000000" w:themeColor="text1"/>
                <w:sz w:val="20"/>
                <w:szCs w:val="20"/>
              </w:rPr>
              <w:t>Higiene</w:t>
            </w:r>
            <w:proofErr w:type="spellEnd"/>
            <w:r w:rsidRPr="00761B4F">
              <w:rPr>
                <w:color w:val="000000" w:themeColor="text1"/>
                <w:sz w:val="20"/>
                <w:szCs w:val="20"/>
              </w:rPr>
              <w:t xml:space="preserve"> e </w:t>
            </w:r>
            <w:proofErr w:type="spellStart"/>
            <w:r w:rsidRPr="00761B4F">
              <w:rPr>
                <w:color w:val="000000" w:themeColor="text1"/>
                <w:sz w:val="20"/>
                <w:szCs w:val="20"/>
              </w:rPr>
              <w:t>Medicina</w:t>
            </w:r>
            <w:proofErr w:type="spellEnd"/>
            <w:r w:rsidRPr="00761B4F">
              <w:rPr>
                <w:color w:val="000000" w:themeColor="text1"/>
                <w:sz w:val="20"/>
                <w:szCs w:val="20"/>
              </w:rPr>
              <w:t xml:space="preserve"> Tropical (IHMT) and stored at − 20 ºC for the study.</w:t>
            </w:r>
          </w:p>
        </w:tc>
      </w:tr>
      <w:tr w:rsidR="009B13E3" w:rsidRPr="00761B4F" w14:paraId="432D8545" w14:textId="77777777" w:rsidTr="004D5524">
        <w:tc>
          <w:tcPr>
            <w:tcW w:w="2547" w:type="dxa"/>
          </w:tcPr>
          <w:p w14:paraId="692099A4" w14:textId="77777777" w:rsidR="009B13E3" w:rsidRPr="00761B4F" w:rsidRDefault="009B13E3" w:rsidP="009B13E3">
            <w:pPr>
              <w:rPr>
                <w:b/>
                <w:bCs/>
                <w:color w:val="000000" w:themeColor="text1"/>
                <w:sz w:val="20"/>
                <w:szCs w:val="20"/>
                <w:lang w:val="pt-PT"/>
              </w:rPr>
            </w:pPr>
            <w:r w:rsidRPr="00761B4F">
              <w:rPr>
                <w:b/>
                <w:bCs/>
                <w:color w:val="000000" w:themeColor="text1"/>
                <w:sz w:val="20"/>
                <w:szCs w:val="20"/>
                <w:lang w:val="pt-PT"/>
              </w:rPr>
              <w:t>Serological study</w:t>
            </w:r>
          </w:p>
          <w:p w14:paraId="0177F96D" w14:textId="77777777" w:rsidR="009B13E3" w:rsidRPr="00761B4F" w:rsidRDefault="009B13E3" w:rsidP="009B13E3">
            <w:pPr>
              <w:rPr>
                <w:b/>
                <w:bCs/>
                <w:color w:val="000000" w:themeColor="text1"/>
                <w:sz w:val="20"/>
                <w:szCs w:val="20"/>
              </w:rPr>
            </w:pPr>
          </w:p>
        </w:tc>
        <w:tc>
          <w:tcPr>
            <w:tcW w:w="5947" w:type="dxa"/>
          </w:tcPr>
          <w:p w14:paraId="72A87215" w14:textId="2D87AFE6" w:rsidR="009B13E3" w:rsidRPr="00761B4F" w:rsidRDefault="009B13E3" w:rsidP="009E07D2">
            <w:pPr>
              <w:rPr>
                <w:color w:val="000000" w:themeColor="text1"/>
                <w:sz w:val="20"/>
                <w:szCs w:val="20"/>
              </w:rPr>
            </w:pPr>
            <w:r w:rsidRPr="00761B4F">
              <w:rPr>
                <w:color w:val="000000" w:themeColor="text1"/>
                <w:sz w:val="20"/>
                <w:szCs w:val="20"/>
              </w:rPr>
              <w:t>Antileishmanial antibody detection in each serum sample was performed using enzyme-linked immunosorbent assay (ELISA) (</w:t>
            </w:r>
            <w:proofErr w:type="spellStart"/>
            <w:r w:rsidRPr="00761B4F">
              <w:rPr>
                <w:i/>
                <w:iCs/>
                <w:color w:val="000000" w:themeColor="text1"/>
                <w:sz w:val="20"/>
                <w:szCs w:val="20"/>
              </w:rPr>
              <w:t>Leishmania</w:t>
            </w:r>
            <w:proofErr w:type="spellEnd"/>
            <w:r w:rsidRPr="00761B4F">
              <w:rPr>
                <w:color w:val="000000" w:themeColor="text1"/>
                <w:sz w:val="20"/>
                <w:szCs w:val="20"/>
              </w:rPr>
              <w:t xml:space="preserve"> ELISA </w:t>
            </w:r>
            <w:proofErr w:type="spellStart"/>
            <w:r w:rsidRPr="00761B4F">
              <w:rPr>
                <w:color w:val="000000" w:themeColor="text1"/>
                <w:sz w:val="20"/>
                <w:szCs w:val="20"/>
              </w:rPr>
              <w:t>IgG+IgM</w:t>
            </w:r>
            <w:proofErr w:type="spellEnd"/>
            <w:r w:rsidRPr="00761B4F">
              <w:rPr>
                <w:color w:val="000000" w:themeColor="text1"/>
                <w:sz w:val="20"/>
                <w:szCs w:val="20"/>
              </w:rPr>
              <w:t xml:space="preserve">, </w:t>
            </w:r>
            <w:proofErr w:type="spellStart"/>
            <w:r w:rsidRPr="00761B4F">
              <w:rPr>
                <w:color w:val="000000" w:themeColor="text1"/>
                <w:sz w:val="20"/>
                <w:szCs w:val="20"/>
              </w:rPr>
              <w:t>Vircell</w:t>
            </w:r>
            <w:proofErr w:type="spellEnd"/>
            <w:r w:rsidRPr="00761B4F">
              <w:rPr>
                <w:color w:val="000000" w:themeColor="text1"/>
                <w:sz w:val="20"/>
                <w:szCs w:val="20"/>
                <w:vertAlign w:val="superscript"/>
              </w:rPr>
              <w:t>®</w:t>
            </w:r>
            <w:r w:rsidRPr="00761B4F">
              <w:rPr>
                <w:color w:val="000000" w:themeColor="text1"/>
                <w:sz w:val="20"/>
                <w:szCs w:val="20"/>
              </w:rPr>
              <w:t>, Spain), following the manufacturer’s instructions and cut-offs. These kits simultaneously detect immunoglobulin M (IgM) and/or IgG antibodies against </w:t>
            </w:r>
            <w:r w:rsidRPr="00761B4F">
              <w:rPr>
                <w:i/>
                <w:iCs/>
                <w:color w:val="000000" w:themeColor="text1"/>
                <w:sz w:val="20"/>
                <w:szCs w:val="20"/>
              </w:rPr>
              <w:t>Leishmania</w:t>
            </w:r>
            <w:r w:rsidRPr="00761B4F">
              <w:rPr>
                <w:color w:val="000000" w:themeColor="text1"/>
                <w:sz w:val="20"/>
                <w:szCs w:val="20"/>
              </w:rPr>
              <w:t>; the wells of the plate are coated with an unspecified </w:t>
            </w:r>
            <w:r w:rsidRPr="00761B4F">
              <w:rPr>
                <w:i/>
                <w:iCs/>
                <w:color w:val="000000" w:themeColor="text1"/>
                <w:sz w:val="20"/>
                <w:szCs w:val="20"/>
              </w:rPr>
              <w:t>L. infantum</w:t>
            </w:r>
            <w:r w:rsidRPr="00761B4F">
              <w:rPr>
                <w:color w:val="000000" w:themeColor="text1"/>
                <w:sz w:val="20"/>
                <w:szCs w:val="20"/>
              </w:rPr>
              <w:t> antigen. The sensitivity and specificity of the ELISA, according to the manufacturer, are 97% and 99%, respectively. A single determination was performed for each serum sample. Samples were classified as positive, negative, or borderline (when optical density was less than 10% lower or higher than the average value of the borderline controls). Participants from whom positive samples were taken were considered to have been exposed to </w:t>
            </w:r>
            <w:r w:rsidRPr="00761B4F">
              <w:rPr>
                <w:i/>
                <w:iCs/>
                <w:color w:val="000000" w:themeColor="text1"/>
                <w:sz w:val="20"/>
                <w:szCs w:val="20"/>
              </w:rPr>
              <w:t>Leishmania</w:t>
            </w:r>
            <w:r w:rsidRPr="00761B4F">
              <w:rPr>
                <w:color w:val="000000" w:themeColor="text1"/>
                <w:sz w:val="20"/>
                <w:szCs w:val="20"/>
              </w:rPr>
              <w:t xml:space="preserve">—either past or current asymptomatic infection. </w:t>
            </w:r>
          </w:p>
        </w:tc>
      </w:tr>
    </w:tbl>
    <w:p w14:paraId="21453BE3" w14:textId="77777777" w:rsidR="009B13E3" w:rsidRPr="00761B4F" w:rsidRDefault="009B13E3">
      <w:pPr>
        <w:rPr>
          <w:b/>
          <w:bCs/>
          <w:color w:val="000000" w:themeColor="text1"/>
        </w:rPr>
      </w:pPr>
    </w:p>
    <w:p w14:paraId="476A4BF0" w14:textId="77777777" w:rsidR="009B13E3" w:rsidRPr="00761B4F" w:rsidRDefault="009B13E3">
      <w:pPr>
        <w:rPr>
          <w:b/>
          <w:bCs/>
          <w:color w:val="000000" w:themeColor="text1"/>
        </w:rPr>
      </w:pPr>
    </w:p>
    <w:p w14:paraId="06C79E3E" w14:textId="77777777" w:rsidR="009E07D2" w:rsidRPr="00761B4F" w:rsidRDefault="009E07D2">
      <w:pPr>
        <w:rPr>
          <w:b/>
          <w:bCs/>
          <w:color w:val="000000" w:themeColor="text1"/>
          <w:lang w:val="en-GB"/>
        </w:rPr>
      </w:pPr>
    </w:p>
    <w:p w14:paraId="49A66B1A" w14:textId="77777777" w:rsidR="009E07D2" w:rsidRPr="00761B4F" w:rsidRDefault="009E07D2">
      <w:pPr>
        <w:rPr>
          <w:b/>
          <w:bCs/>
          <w:color w:val="000000" w:themeColor="text1"/>
          <w:lang w:val="en-GB"/>
        </w:rPr>
      </w:pPr>
    </w:p>
    <w:p w14:paraId="75100715" w14:textId="77777777" w:rsidR="009E07D2" w:rsidRPr="00761B4F" w:rsidRDefault="009E07D2">
      <w:pPr>
        <w:rPr>
          <w:b/>
          <w:bCs/>
          <w:color w:val="000000" w:themeColor="text1"/>
          <w:lang w:val="en-GB"/>
        </w:rPr>
      </w:pPr>
    </w:p>
    <w:p w14:paraId="4A578F02" w14:textId="77777777" w:rsidR="009E07D2" w:rsidRPr="00761B4F" w:rsidRDefault="009E07D2">
      <w:pPr>
        <w:rPr>
          <w:b/>
          <w:bCs/>
          <w:color w:val="000000" w:themeColor="text1"/>
          <w:lang w:val="en-GB"/>
        </w:rPr>
      </w:pPr>
    </w:p>
    <w:p w14:paraId="18AE8388" w14:textId="77777777" w:rsidR="009E07D2" w:rsidRPr="00761B4F" w:rsidRDefault="009E07D2">
      <w:pPr>
        <w:rPr>
          <w:b/>
          <w:bCs/>
          <w:color w:val="000000" w:themeColor="text1"/>
          <w:lang w:val="en-GB"/>
        </w:rPr>
      </w:pPr>
    </w:p>
    <w:p w14:paraId="56877083" w14:textId="77777777" w:rsidR="009E07D2" w:rsidRPr="00761B4F" w:rsidRDefault="009E07D2">
      <w:pPr>
        <w:rPr>
          <w:b/>
          <w:bCs/>
          <w:color w:val="000000" w:themeColor="text1"/>
          <w:lang w:val="en-GB"/>
        </w:rPr>
      </w:pPr>
    </w:p>
    <w:p w14:paraId="45587676" w14:textId="77777777" w:rsidR="009E07D2" w:rsidRPr="00761B4F" w:rsidRDefault="009E07D2">
      <w:pPr>
        <w:rPr>
          <w:b/>
          <w:bCs/>
          <w:color w:val="000000" w:themeColor="text1"/>
          <w:lang w:val="en-GB"/>
        </w:rPr>
      </w:pPr>
    </w:p>
    <w:p w14:paraId="49E23557" w14:textId="77777777" w:rsidR="009E07D2" w:rsidRPr="00761B4F" w:rsidRDefault="009E07D2">
      <w:pPr>
        <w:rPr>
          <w:b/>
          <w:bCs/>
          <w:color w:val="000000" w:themeColor="text1"/>
          <w:lang w:val="en-GB"/>
        </w:rPr>
      </w:pPr>
    </w:p>
    <w:p w14:paraId="57B514F3" w14:textId="77777777" w:rsidR="009E07D2" w:rsidRPr="00761B4F" w:rsidRDefault="009E07D2">
      <w:pPr>
        <w:rPr>
          <w:b/>
          <w:bCs/>
          <w:color w:val="000000" w:themeColor="text1"/>
          <w:lang w:val="en-GB"/>
        </w:rPr>
      </w:pPr>
    </w:p>
    <w:p w14:paraId="47B75946" w14:textId="77777777" w:rsidR="009E07D2" w:rsidRPr="00761B4F" w:rsidRDefault="009E07D2">
      <w:pPr>
        <w:rPr>
          <w:b/>
          <w:bCs/>
          <w:color w:val="000000" w:themeColor="text1"/>
          <w:lang w:val="en-GB"/>
        </w:rPr>
      </w:pPr>
    </w:p>
    <w:p w14:paraId="7C1A2541" w14:textId="77777777" w:rsidR="009E07D2" w:rsidRPr="00761B4F" w:rsidRDefault="009E07D2">
      <w:pPr>
        <w:rPr>
          <w:b/>
          <w:bCs/>
          <w:color w:val="000000" w:themeColor="text1"/>
          <w:lang w:val="en-GB"/>
        </w:rPr>
      </w:pPr>
    </w:p>
    <w:p w14:paraId="27FC4037" w14:textId="77777777" w:rsidR="009E07D2" w:rsidRPr="00761B4F" w:rsidRDefault="009E07D2">
      <w:pPr>
        <w:rPr>
          <w:b/>
          <w:bCs/>
          <w:color w:val="000000" w:themeColor="text1"/>
          <w:lang w:val="en-GB"/>
        </w:rPr>
      </w:pPr>
    </w:p>
    <w:p w14:paraId="6ED97B25" w14:textId="77777777" w:rsidR="009E07D2" w:rsidRPr="00761B4F" w:rsidRDefault="009E07D2">
      <w:pPr>
        <w:rPr>
          <w:b/>
          <w:bCs/>
          <w:color w:val="000000" w:themeColor="text1"/>
          <w:lang w:val="en-GB"/>
        </w:rPr>
      </w:pPr>
    </w:p>
    <w:p w14:paraId="0F11BDE5" w14:textId="77777777" w:rsidR="009E07D2" w:rsidRPr="00761B4F" w:rsidRDefault="009E07D2">
      <w:pPr>
        <w:rPr>
          <w:b/>
          <w:bCs/>
          <w:color w:val="000000" w:themeColor="text1"/>
          <w:lang w:val="en-GB"/>
        </w:rPr>
      </w:pPr>
    </w:p>
    <w:p w14:paraId="68ECCC66" w14:textId="77777777" w:rsidR="009E07D2" w:rsidRPr="00761B4F" w:rsidRDefault="009E07D2">
      <w:pPr>
        <w:rPr>
          <w:b/>
          <w:bCs/>
          <w:color w:val="000000" w:themeColor="text1"/>
          <w:lang w:val="en-GB"/>
        </w:rPr>
      </w:pPr>
    </w:p>
    <w:p w14:paraId="0E42D798" w14:textId="77777777" w:rsidR="009E07D2" w:rsidRPr="00761B4F" w:rsidRDefault="009E07D2">
      <w:pPr>
        <w:rPr>
          <w:b/>
          <w:bCs/>
          <w:color w:val="000000" w:themeColor="text1"/>
          <w:lang w:val="en-GB"/>
        </w:rPr>
      </w:pPr>
    </w:p>
    <w:p w14:paraId="3E3030DC" w14:textId="5F6A5B71" w:rsidR="009B13E3" w:rsidRPr="00761B4F" w:rsidRDefault="00A772CB">
      <w:pPr>
        <w:rPr>
          <w:b/>
          <w:bCs/>
          <w:color w:val="000000" w:themeColor="text1"/>
          <w:lang w:val="pt-PT"/>
        </w:rPr>
      </w:pPr>
      <w:r w:rsidRPr="00761B4F">
        <w:rPr>
          <w:b/>
          <w:bCs/>
          <w:color w:val="000000" w:themeColor="text1"/>
          <w:lang w:val="pt-PT"/>
        </w:rPr>
        <w:t>References</w:t>
      </w:r>
    </w:p>
    <w:p w14:paraId="2FB5BB54" w14:textId="1C89BE19" w:rsidR="009E07D2" w:rsidRPr="00761B4F" w:rsidRDefault="009E07D2" w:rsidP="000D08D0">
      <w:pPr>
        <w:pStyle w:val="ListParagraph"/>
        <w:numPr>
          <w:ilvl w:val="0"/>
          <w:numId w:val="1"/>
        </w:numPr>
        <w:rPr>
          <w:color w:val="000000" w:themeColor="text1"/>
          <w:sz w:val="20"/>
          <w:szCs w:val="20"/>
          <w:lang w:val="pt-PT"/>
        </w:rPr>
      </w:pPr>
      <w:r w:rsidRPr="00761B4F">
        <w:rPr>
          <w:color w:val="000000" w:themeColor="text1"/>
          <w:sz w:val="20"/>
          <w:szCs w:val="20"/>
          <w:lang w:val="pt-PT"/>
        </w:rPr>
        <w:t>Rocha, R., Gonçalves, L., Conceição, C. </w:t>
      </w:r>
      <w:r w:rsidRPr="00761B4F">
        <w:rPr>
          <w:i/>
          <w:iCs/>
          <w:color w:val="000000" w:themeColor="text1"/>
          <w:sz w:val="20"/>
          <w:szCs w:val="20"/>
          <w:lang w:val="pt-PT"/>
        </w:rPr>
        <w:t>et al.</w:t>
      </w:r>
      <w:r w:rsidRPr="00761B4F">
        <w:rPr>
          <w:color w:val="000000" w:themeColor="text1"/>
          <w:sz w:val="20"/>
          <w:szCs w:val="20"/>
          <w:lang w:val="pt-PT"/>
        </w:rPr>
        <w:t> </w:t>
      </w:r>
      <w:r w:rsidRPr="00761B4F">
        <w:rPr>
          <w:color w:val="000000" w:themeColor="text1"/>
          <w:sz w:val="20"/>
          <w:szCs w:val="20"/>
        </w:rPr>
        <w:t>Prevalence of asymptomatic </w:t>
      </w:r>
      <w:r w:rsidRPr="00761B4F">
        <w:rPr>
          <w:i/>
          <w:iCs/>
          <w:color w:val="000000" w:themeColor="text1"/>
          <w:sz w:val="20"/>
          <w:szCs w:val="20"/>
        </w:rPr>
        <w:t>Leishmania</w:t>
      </w:r>
      <w:r w:rsidRPr="00761B4F">
        <w:rPr>
          <w:color w:val="000000" w:themeColor="text1"/>
          <w:sz w:val="20"/>
          <w:szCs w:val="20"/>
        </w:rPr>
        <w:t> infection and knowledge, perceptions, and practices in blood donors in mainland Portugal. </w:t>
      </w:r>
      <w:r w:rsidRPr="00761B4F">
        <w:rPr>
          <w:i/>
          <w:iCs/>
          <w:color w:val="000000" w:themeColor="text1"/>
          <w:sz w:val="20"/>
          <w:szCs w:val="20"/>
        </w:rPr>
        <w:t>Parasites Vectors</w:t>
      </w:r>
      <w:r w:rsidRPr="00761B4F">
        <w:rPr>
          <w:color w:val="000000" w:themeColor="text1"/>
          <w:sz w:val="20"/>
          <w:szCs w:val="20"/>
        </w:rPr>
        <w:t> </w:t>
      </w:r>
      <w:r w:rsidRPr="00761B4F">
        <w:rPr>
          <w:b/>
          <w:bCs/>
          <w:color w:val="000000" w:themeColor="text1"/>
          <w:sz w:val="20"/>
          <w:szCs w:val="20"/>
        </w:rPr>
        <w:t>16</w:t>
      </w:r>
      <w:r w:rsidRPr="00761B4F">
        <w:rPr>
          <w:color w:val="000000" w:themeColor="text1"/>
          <w:sz w:val="20"/>
          <w:szCs w:val="20"/>
        </w:rPr>
        <w:t>, 357 (2023). https://doi.org/10.1186/s13071-023-05980-1</w:t>
      </w:r>
      <w:r w:rsidR="00A772CB" w:rsidRPr="00761B4F">
        <w:rPr>
          <w:color w:val="000000" w:themeColor="text1"/>
          <w:sz w:val="20"/>
          <w:szCs w:val="20"/>
          <w:lang w:val="pt-PT"/>
        </w:rPr>
        <w:t xml:space="preserve"> </w:t>
      </w:r>
    </w:p>
    <w:p w14:paraId="0C9E1DCE" w14:textId="35559805" w:rsidR="000D08D0" w:rsidRPr="00761B4F" w:rsidRDefault="000D08D0" w:rsidP="000D08D0">
      <w:pPr>
        <w:pStyle w:val="ListParagraph"/>
        <w:numPr>
          <w:ilvl w:val="0"/>
          <w:numId w:val="1"/>
        </w:numPr>
        <w:rPr>
          <w:color w:val="000000" w:themeColor="text1"/>
          <w:sz w:val="20"/>
          <w:szCs w:val="20"/>
          <w:lang w:val="pt-PT"/>
        </w:rPr>
      </w:pPr>
      <w:r w:rsidRPr="00761B4F">
        <w:rPr>
          <w:color w:val="000000" w:themeColor="text1"/>
          <w:sz w:val="20"/>
          <w:szCs w:val="20"/>
          <w:lang w:val="pt-PT"/>
        </w:rPr>
        <w:t>INE. Resultados Provisórios–Censos 2021. Resultados Provisórios. 2021.</w:t>
      </w:r>
    </w:p>
    <w:p w14:paraId="28EA21AF" w14:textId="77777777" w:rsidR="000D08D0" w:rsidRPr="00761B4F" w:rsidRDefault="000D08D0" w:rsidP="000D08D0">
      <w:pPr>
        <w:pStyle w:val="ListParagraph"/>
        <w:numPr>
          <w:ilvl w:val="0"/>
          <w:numId w:val="1"/>
        </w:numPr>
        <w:rPr>
          <w:color w:val="000000" w:themeColor="text1"/>
          <w:sz w:val="20"/>
          <w:szCs w:val="20"/>
        </w:rPr>
      </w:pPr>
      <w:r w:rsidRPr="00761B4F">
        <w:rPr>
          <w:color w:val="000000" w:themeColor="text1"/>
          <w:sz w:val="20"/>
          <w:szCs w:val="20"/>
        </w:rPr>
        <w:t xml:space="preserve">Sargent E. </w:t>
      </w:r>
      <w:proofErr w:type="spellStart"/>
      <w:r w:rsidRPr="00761B4F">
        <w:rPr>
          <w:color w:val="000000" w:themeColor="text1"/>
          <w:sz w:val="20"/>
          <w:szCs w:val="20"/>
        </w:rPr>
        <w:t>Epitools</w:t>
      </w:r>
      <w:proofErr w:type="spellEnd"/>
      <w:r w:rsidRPr="00761B4F">
        <w:rPr>
          <w:color w:val="000000" w:themeColor="text1"/>
          <w:sz w:val="20"/>
          <w:szCs w:val="20"/>
        </w:rPr>
        <w:t xml:space="preserve"> Epidemiological Calculators. </w:t>
      </w:r>
      <w:proofErr w:type="spellStart"/>
      <w:r w:rsidRPr="00761B4F">
        <w:rPr>
          <w:color w:val="000000" w:themeColor="text1"/>
          <w:sz w:val="20"/>
          <w:szCs w:val="20"/>
        </w:rPr>
        <w:t>Ausvet</w:t>
      </w:r>
      <w:proofErr w:type="spellEnd"/>
      <w:r w:rsidRPr="00761B4F">
        <w:rPr>
          <w:color w:val="000000" w:themeColor="text1"/>
          <w:sz w:val="20"/>
          <w:szCs w:val="20"/>
        </w:rPr>
        <w:t>. 2018. </w:t>
      </w:r>
      <w:hyperlink r:id="rId6" w:history="1">
        <w:r w:rsidRPr="00761B4F">
          <w:rPr>
            <w:rStyle w:val="Hyperlink"/>
            <w:color w:val="000000" w:themeColor="text1"/>
            <w:sz w:val="20"/>
            <w:szCs w:val="20"/>
          </w:rPr>
          <w:t>https://epitools.ausvet.com.au/</w:t>
        </w:r>
      </w:hyperlink>
      <w:r w:rsidRPr="00761B4F">
        <w:rPr>
          <w:color w:val="000000" w:themeColor="text1"/>
          <w:sz w:val="20"/>
          <w:szCs w:val="20"/>
        </w:rPr>
        <w:t>. Accessed 22 Feb 2023</w:t>
      </w:r>
    </w:p>
    <w:p w14:paraId="391AF2BE" w14:textId="77777777" w:rsidR="000D08D0" w:rsidRPr="00761B4F" w:rsidRDefault="000D08D0" w:rsidP="000D08D0">
      <w:pPr>
        <w:pStyle w:val="ListParagraph"/>
        <w:numPr>
          <w:ilvl w:val="0"/>
          <w:numId w:val="1"/>
        </w:numPr>
        <w:rPr>
          <w:color w:val="000000" w:themeColor="text1"/>
          <w:sz w:val="20"/>
          <w:szCs w:val="20"/>
          <w:lang w:val="pt-PT"/>
        </w:rPr>
      </w:pPr>
      <w:r w:rsidRPr="00761B4F">
        <w:rPr>
          <w:color w:val="000000" w:themeColor="text1"/>
          <w:sz w:val="20"/>
          <w:szCs w:val="20"/>
        </w:rPr>
        <w:t xml:space="preserve">Humphry RW, Cameron A, Gunn GJ. A practical approach to calculate sample size for herd prevalence surveys. </w:t>
      </w:r>
      <w:r w:rsidRPr="00761B4F">
        <w:rPr>
          <w:color w:val="000000" w:themeColor="text1"/>
          <w:sz w:val="20"/>
          <w:szCs w:val="20"/>
          <w:lang w:val="pt-PT"/>
        </w:rPr>
        <w:t>Prev Vet Med. 2004;65:173–88.</w:t>
      </w:r>
    </w:p>
    <w:p w14:paraId="3C75E05A" w14:textId="36C7248C" w:rsidR="00A772CB" w:rsidRPr="00761B4F" w:rsidRDefault="000D08D0" w:rsidP="00A772CB">
      <w:pPr>
        <w:pStyle w:val="ListParagraph"/>
        <w:numPr>
          <w:ilvl w:val="0"/>
          <w:numId w:val="1"/>
        </w:numPr>
        <w:rPr>
          <w:color w:val="000000" w:themeColor="text1"/>
          <w:sz w:val="20"/>
          <w:szCs w:val="20"/>
          <w:lang w:val="en-GB"/>
        </w:rPr>
      </w:pPr>
      <w:r w:rsidRPr="00761B4F">
        <w:rPr>
          <w:color w:val="000000" w:themeColor="text1"/>
          <w:sz w:val="20"/>
          <w:szCs w:val="20"/>
          <w:lang w:val="en-GB"/>
        </w:rPr>
        <w:t xml:space="preserve">Aliaga L, Ceballos J, Sampedro A, </w:t>
      </w:r>
      <w:proofErr w:type="spellStart"/>
      <w:r w:rsidRPr="00761B4F">
        <w:rPr>
          <w:color w:val="000000" w:themeColor="text1"/>
          <w:sz w:val="20"/>
          <w:szCs w:val="20"/>
          <w:lang w:val="en-GB"/>
        </w:rPr>
        <w:t>Cobo</w:t>
      </w:r>
      <w:proofErr w:type="spellEnd"/>
      <w:r w:rsidRPr="00761B4F">
        <w:rPr>
          <w:color w:val="000000" w:themeColor="text1"/>
          <w:sz w:val="20"/>
          <w:szCs w:val="20"/>
          <w:lang w:val="en-GB"/>
        </w:rPr>
        <w:t xml:space="preserve"> F, </w:t>
      </w:r>
      <w:proofErr w:type="spellStart"/>
      <w:r w:rsidRPr="00761B4F">
        <w:rPr>
          <w:color w:val="000000" w:themeColor="text1"/>
          <w:sz w:val="20"/>
          <w:szCs w:val="20"/>
          <w:lang w:val="en-GB"/>
        </w:rPr>
        <w:t>López-Nevot</w:t>
      </w:r>
      <w:proofErr w:type="spellEnd"/>
      <w:r w:rsidRPr="00761B4F">
        <w:rPr>
          <w:color w:val="000000" w:themeColor="text1"/>
          <w:sz w:val="20"/>
          <w:szCs w:val="20"/>
          <w:lang w:val="en-GB"/>
        </w:rPr>
        <w:t xml:space="preserve"> MÁ, Merino-Espinosa G, et al. </w:t>
      </w:r>
      <w:r w:rsidRPr="00761B4F">
        <w:rPr>
          <w:color w:val="000000" w:themeColor="text1"/>
          <w:sz w:val="20"/>
          <w:szCs w:val="20"/>
        </w:rPr>
        <w:t>Asymptomatic Leishmania infection in blood donors from the Southern of Spain. Infection. 2019</w:t>
      </w:r>
      <w:proofErr w:type="gramStart"/>
      <w:r w:rsidRPr="00761B4F">
        <w:rPr>
          <w:color w:val="000000" w:themeColor="text1"/>
          <w:sz w:val="20"/>
          <w:szCs w:val="20"/>
        </w:rPr>
        <w:t>;47:739</w:t>
      </w:r>
      <w:proofErr w:type="gramEnd"/>
      <w:r w:rsidRPr="00761B4F">
        <w:rPr>
          <w:color w:val="000000" w:themeColor="text1"/>
          <w:sz w:val="20"/>
          <w:szCs w:val="20"/>
        </w:rPr>
        <w:t>–47.</w:t>
      </w:r>
    </w:p>
    <w:p w14:paraId="1F60D0FD" w14:textId="35156017" w:rsidR="000D08D0" w:rsidRPr="00761B4F" w:rsidRDefault="000D08D0" w:rsidP="00A772CB">
      <w:pPr>
        <w:pStyle w:val="ListParagraph"/>
        <w:numPr>
          <w:ilvl w:val="0"/>
          <w:numId w:val="1"/>
        </w:numPr>
        <w:rPr>
          <w:color w:val="000000" w:themeColor="text1"/>
          <w:sz w:val="20"/>
          <w:szCs w:val="20"/>
          <w:lang w:val="en-GB"/>
        </w:rPr>
      </w:pPr>
      <w:r w:rsidRPr="00761B4F">
        <w:rPr>
          <w:color w:val="000000" w:themeColor="text1"/>
          <w:sz w:val="20"/>
          <w:szCs w:val="20"/>
          <w:lang w:val="es-ES"/>
        </w:rPr>
        <w:t xml:space="preserve">Pérez-Cutillas P, Goyena E, Chitimia L, De la Rúa P, Bernal LJ, </w:t>
      </w:r>
      <w:proofErr w:type="spellStart"/>
      <w:r w:rsidRPr="00761B4F">
        <w:rPr>
          <w:color w:val="000000" w:themeColor="text1"/>
          <w:sz w:val="20"/>
          <w:szCs w:val="20"/>
          <w:lang w:val="es-ES"/>
        </w:rPr>
        <w:t>Fisa</w:t>
      </w:r>
      <w:proofErr w:type="spellEnd"/>
      <w:r w:rsidRPr="00761B4F">
        <w:rPr>
          <w:color w:val="000000" w:themeColor="text1"/>
          <w:sz w:val="20"/>
          <w:szCs w:val="20"/>
          <w:lang w:val="es-ES"/>
        </w:rPr>
        <w:t xml:space="preserve"> R, et al. </w:t>
      </w:r>
      <w:r w:rsidRPr="00761B4F">
        <w:rPr>
          <w:color w:val="000000" w:themeColor="text1"/>
          <w:sz w:val="20"/>
          <w:szCs w:val="20"/>
        </w:rPr>
        <w:t>Spatial distribution of human asymptomatic </w:t>
      </w:r>
      <w:r w:rsidRPr="00761B4F">
        <w:rPr>
          <w:i/>
          <w:iCs/>
          <w:color w:val="000000" w:themeColor="text1"/>
          <w:sz w:val="20"/>
          <w:szCs w:val="20"/>
        </w:rPr>
        <w:t>Leishmania infantum</w:t>
      </w:r>
      <w:r w:rsidRPr="00761B4F">
        <w:rPr>
          <w:color w:val="000000" w:themeColor="text1"/>
          <w:sz w:val="20"/>
          <w:szCs w:val="20"/>
        </w:rPr>
        <w:t> infection in southeast Spain: a study of environmental, demographic and social risk factors. Acta Trop. 2015</w:t>
      </w:r>
      <w:proofErr w:type="gramStart"/>
      <w:r w:rsidRPr="00761B4F">
        <w:rPr>
          <w:color w:val="000000" w:themeColor="text1"/>
          <w:sz w:val="20"/>
          <w:szCs w:val="20"/>
        </w:rPr>
        <w:t>;146:127</w:t>
      </w:r>
      <w:proofErr w:type="gramEnd"/>
      <w:r w:rsidRPr="00761B4F">
        <w:rPr>
          <w:color w:val="000000" w:themeColor="text1"/>
          <w:sz w:val="20"/>
          <w:szCs w:val="20"/>
        </w:rPr>
        <w:t>–34.</w:t>
      </w:r>
    </w:p>
    <w:p w14:paraId="521AFD84" w14:textId="77777777" w:rsidR="009E07D2" w:rsidRPr="00761B4F" w:rsidRDefault="000D08D0" w:rsidP="009E07D2">
      <w:pPr>
        <w:pStyle w:val="ListParagraph"/>
        <w:numPr>
          <w:ilvl w:val="0"/>
          <w:numId w:val="1"/>
        </w:numPr>
        <w:rPr>
          <w:color w:val="000000" w:themeColor="text1"/>
          <w:sz w:val="20"/>
          <w:szCs w:val="20"/>
          <w:lang w:val="en-GB"/>
        </w:rPr>
      </w:pPr>
      <w:r w:rsidRPr="00761B4F">
        <w:rPr>
          <w:color w:val="000000" w:themeColor="text1"/>
          <w:sz w:val="20"/>
          <w:szCs w:val="20"/>
          <w:lang w:val="en-GB"/>
        </w:rPr>
        <w:t xml:space="preserve">Martín-Sánchez J, Rodríguez-Granger J, Morillas-Márquez F, Merino-Espinosa G, Sampedro A, Aliaga L, et al. </w:t>
      </w:r>
      <w:r w:rsidRPr="00761B4F">
        <w:rPr>
          <w:color w:val="000000" w:themeColor="text1"/>
          <w:sz w:val="20"/>
          <w:szCs w:val="20"/>
        </w:rPr>
        <w:t>Leishmaniasis due to </w:t>
      </w:r>
      <w:r w:rsidRPr="00761B4F">
        <w:rPr>
          <w:i/>
          <w:iCs/>
          <w:color w:val="000000" w:themeColor="text1"/>
          <w:sz w:val="20"/>
          <w:szCs w:val="20"/>
        </w:rPr>
        <w:t>Leishmania infantum</w:t>
      </w:r>
      <w:r w:rsidRPr="00761B4F">
        <w:rPr>
          <w:color w:val="000000" w:themeColor="text1"/>
          <w:sz w:val="20"/>
          <w:szCs w:val="20"/>
        </w:rPr>
        <w:t xml:space="preserve">: integration of human, animal and environmental data through a one health approach. </w:t>
      </w:r>
      <w:proofErr w:type="spellStart"/>
      <w:r w:rsidRPr="00761B4F">
        <w:rPr>
          <w:color w:val="000000" w:themeColor="text1"/>
          <w:sz w:val="20"/>
          <w:szCs w:val="20"/>
        </w:rPr>
        <w:t>Transbound</w:t>
      </w:r>
      <w:proofErr w:type="spellEnd"/>
      <w:r w:rsidRPr="00761B4F">
        <w:rPr>
          <w:color w:val="000000" w:themeColor="text1"/>
          <w:sz w:val="20"/>
          <w:szCs w:val="20"/>
        </w:rPr>
        <w:t xml:space="preserve"> </w:t>
      </w:r>
      <w:proofErr w:type="spellStart"/>
      <w:r w:rsidRPr="00761B4F">
        <w:rPr>
          <w:color w:val="000000" w:themeColor="text1"/>
          <w:sz w:val="20"/>
          <w:szCs w:val="20"/>
        </w:rPr>
        <w:t>Emerg</w:t>
      </w:r>
      <w:proofErr w:type="spellEnd"/>
      <w:r w:rsidRPr="00761B4F">
        <w:rPr>
          <w:color w:val="000000" w:themeColor="text1"/>
          <w:sz w:val="20"/>
          <w:szCs w:val="20"/>
        </w:rPr>
        <w:t xml:space="preserve"> Dis. 2020</w:t>
      </w:r>
      <w:proofErr w:type="gramStart"/>
      <w:r w:rsidRPr="00761B4F">
        <w:rPr>
          <w:color w:val="000000" w:themeColor="text1"/>
          <w:sz w:val="20"/>
          <w:szCs w:val="20"/>
        </w:rPr>
        <w:t>;67:2423</w:t>
      </w:r>
      <w:proofErr w:type="gramEnd"/>
      <w:r w:rsidRPr="00761B4F">
        <w:rPr>
          <w:color w:val="000000" w:themeColor="text1"/>
          <w:sz w:val="20"/>
          <w:szCs w:val="20"/>
        </w:rPr>
        <w:t>–34.</w:t>
      </w:r>
    </w:p>
    <w:p w14:paraId="2A86DAAC" w14:textId="52F31289" w:rsidR="000D08D0" w:rsidRPr="00761B4F" w:rsidRDefault="000D08D0" w:rsidP="009E07D2">
      <w:pPr>
        <w:pStyle w:val="ListParagraph"/>
        <w:numPr>
          <w:ilvl w:val="0"/>
          <w:numId w:val="1"/>
        </w:numPr>
        <w:rPr>
          <w:color w:val="000000" w:themeColor="text1"/>
          <w:sz w:val="20"/>
          <w:szCs w:val="20"/>
          <w:lang w:val="pt-PT"/>
        </w:rPr>
      </w:pPr>
      <w:r w:rsidRPr="00761B4F">
        <w:rPr>
          <w:color w:val="000000" w:themeColor="text1"/>
          <w:sz w:val="20"/>
          <w:szCs w:val="20"/>
          <w:lang w:val="pt-PT"/>
        </w:rPr>
        <w:t>SPMS. Doenças de Declaração Obrigatória . Portal da Transparência. 2018. </w:t>
      </w:r>
      <w:hyperlink r:id="rId7" w:history="1">
        <w:r w:rsidRPr="00761B4F">
          <w:rPr>
            <w:rStyle w:val="Hyperlink"/>
            <w:color w:val="000000" w:themeColor="text1"/>
            <w:sz w:val="20"/>
            <w:szCs w:val="20"/>
            <w:lang w:val="pt-PT"/>
          </w:rPr>
          <w:t>https://transparencia.sns.gov.pt/explore/dataset/doencas-de-declaracao-obrigatoria/table/?disjunctive.regiao_de_saude_de_notificacao&amp;disjunctive.residencia_nut_iii&amp;disjunctive.doenca_de_declaracao_obrigatoria&amp;disjunctive.sexo&amp;disjunctive.grupo_etario&amp;sort</w:t>
        </w:r>
      </w:hyperlink>
      <w:r w:rsidRPr="00761B4F">
        <w:rPr>
          <w:color w:val="000000" w:themeColor="text1"/>
          <w:sz w:val="20"/>
          <w:szCs w:val="20"/>
          <w:lang w:val="pt-PT"/>
        </w:rPr>
        <w:t xml:space="preserve">. </w:t>
      </w:r>
      <w:r w:rsidRPr="00761B4F">
        <w:rPr>
          <w:color w:val="000000" w:themeColor="text1"/>
          <w:sz w:val="20"/>
          <w:szCs w:val="20"/>
        </w:rPr>
        <w:t>Accessed 22 Feb 2023</w:t>
      </w:r>
    </w:p>
    <w:p w14:paraId="43617622" w14:textId="77777777" w:rsidR="000D08D0" w:rsidRPr="00761B4F" w:rsidRDefault="000D08D0" w:rsidP="009E07D2">
      <w:pPr>
        <w:ind w:left="360"/>
        <w:rPr>
          <w:color w:val="000000" w:themeColor="text1"/>
          <w:sz w:val="20"/>
          <w:szCs w:val="20"/>
          <w:lang w:val="pt-PT"/>
        </w:rPr>
      </w:pPr>
    </w:p>
    <w:p w14:paraId="40A5A87D" w14:textId="77777777" w:rsidR="00A772CB" w:rsidRPr="00761B4F" w:rsidRDefault="00A772CB">
      <w:pPr>
        <w:rPr>
          <w:color w:val="000000" w:themeColor="text1"/>
          <w:sz w:val="20"/>
          <w:szCs w:val="20"/>
        </w:rPr>
      </w:pPr>
    </w:p>
    <w:sectPr w:rsidR="00A772CB" w:rsidRPr="00761B4F" w:rsidSect="00761B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03310"/>
    <w:multiLevelType w:val="multilevel"/>
    <w:tmpl w:val="68AE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B059E0"/>
    <w:multiLevelType w:val="hybridMultilevel"/>
    <w:tmpl w:val="DF88F7C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revisionView w:markup="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E3"/>
    <w:rsid w:val="00045CC3"/>
    <w:rsid w:val="000D08D0"/>
    <w:rsid w:val="00195F17"/>
    <w:rsid w:val="0030591D"/>
    <w:rsid w:val="003B1AB1"/>
    <w:rsid w:val="004D5524"/>
    <w:rsid w:val="00761B4F"/>
    <w:rsid w:val="009B13E3"/>
    <w:rsid w:val="009E07D2"/>
    <w:rsid w:val="00A772CB"/>
    <w:rsid w:val="00DE533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20FA3"/>
  <w15:chartTrackingRefBased/>
  <w15:docId w15:val="{CE5F7A7E-E4FC-4E74-82CA-2FEF3E33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3E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B1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1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1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3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3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3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3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1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1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3E3"/>
    <w:rPr>
      <w:rFonts w:eastAsiaTheme="majorEastAsia" w:cstheme="majorBidi"/>
      <w:color w:val="272727" w:themeColor="text1" w:themeTint="D8"/>
    </w:rPr>
  </w:style>
  <w:style w:type="paragraph" w:styleId="Title">
    <w:name w:val="Title"/>
    <w:basedOn w:val="Normal"/>
    <w:next w:val="Normal"/>
    <w:link w:val="TitleChar"/>
    <w:uiPriority w:val="10"/>
    <w:qFormat/>
    <w:rsid w:val="009B13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3E3"/>
    <w:pPr>
      <w:spacing w:before="160"/>
      <w:jc w:val="center"/>
    </w:pPr>
    <w:rPr>
      <w:i/>
      <w:iCs/>
      <w:color w:val="404040" w:themeColor="text1" w:themeTint="BF"/>
    </w:rPr>
  </w:style>
  <w:style w:type="character" w:customStyle="1" w:styleId="QuoteChar">
    <w:name w:val="Quote Char"/>
    <w:basedOn w:val="DefaultParagraphFont"/>
    <w:link w:val="Quote"/>
    <w:uiPriority w:val="29"/>
    <w:rsid w:val="009B13E3"/>
    <w:rPr>
      <w:i/>
      <w:iCs/>
      <w:color w:val="404040" w:themeColor="text1" w:themeTint="BF"/>
    </w:rPr>
  </w:style>
  <w:style w:type="paragraph" w:styleId="ListParagraph">
    <w:name w:val="List Paragraph"/>
    <w:basedOn w:val="Normal"/>
    <w:uiPriority w:val="34"/>
    <w:qFormat/>
    <w:rsid w:val="009B13E3"/>
    <w:pPr>
      <w:ind w:left="720"/>
      <w:contextualSpacing/>
    </w:pPr>
  </w:style>
  <w:style w:type="character" w:styleId="IntenseEmphasis">
    <w:name w:val="Intense Emphasis"/>
    <w:basedOn w:val="DefaultParagraphFont"/>
    <w:uiPriority w:val="21"/>
    <w:qFormat/>
    <w:rsid w:val="009B13E3"/>
    <w:rPr>
      <w:i/>
      <w:iCs/>
      <w:color w:val="0F4761" w:themeColor="accent1" w:themeShade="BF"/>
    </w:rPr>
  </w:style>
  <w:style w:type="paragraph" w:styleId="IntenseQuote">
    <w:name w:val="Intense Quote"/>
    <w:basedOn w:val="Normal"/>
    <w:next w:val="Normal"/>
    <w:link w:val="IntenseQuoteChar"/>
    <w:uiPriority w:val="30"/>
    <w:qFormat/>
    <w:rsid w:val="009B1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3E3"/>
    <w:rPr>
      <w:i/>
      <w:iCs/>
      <w:color w:val="0F4761" w:themeColor="accent1" w:themeShade="BF"/>
    </w:rPr>
  </w:style>
  <w:style w:type="character" w:styleId="IntenseReference">
    <w:name w:val="Intense Reference"/>
    <w:basedOn w:val="DefaultParagraphFont"/>
    <w:uiPriority w:val="32"/>
    <w:qFormat/>
    <w:rsid w:val="009B13E3"/>
    <w:rPr>
      <w:b/>
      <w:bCs/>
      <w:smallCaps/>
      <w:color w:val="0F4761" w:themeColor="accent1" w:themeShade="BF"/>
      <w:spacing w:val="5"/>
    </w:rPr>
  </w:style>
  <w:style w:type="character" w:styleId="Hyperlink">
    <w:name w:val="Hyperlink"/>
    <w:basedOn w:val="DefaultParagraphFont"/>
    <w:uiPriority w:val="99"/>
    <w:unhideWhenUsed/>
    <w:rsid w:val="009B13E3"/>
    <w:rPr>
      <w:color w:val="467886" w:themeColor="hyperlink"/>
      <w:u w:val="single"/>
    </w:rPr>
  </w:style>
  <w:style w:type="character" w:customStyle="1" w:styleId="UnresolvedMention">
    <w:name w:val="Unresolved Mention"/>
    <w:basedOn w:val="DefaultParagraphFont"/>
    <w:uiPriority w:val="99"/>
    <w:semiHidden/>
    <w:unhideWhenUsed/>
    <w:rsid w:val="009B13E3"/>
    <w:rPr>
      <w:color w:val="605E5C"/>
      <w:shd w:val="clear" w:color="auto" w:fill="E1DFDD"/>
    </w:rPr>
  </w:style>
  <w:style w:type="table" w:styleId="TableGrid">
    <w:name w:val="Table Grid"/>
    <w:basedOn w:val="TableNormal"/>
    <w:uiPriority w:val="39"/>
    <w:rsid w:val="009B1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08D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542894">
      <w:bodyDiv w:val="1"/>
      <w:marLeft w:val="0"/>
      <w:marRight w:val="0"/>
      <w:marTop w:val="0"/>
      <w:marBottom w:val="0"/>
      <w:divBdr>
        <w:top w:val="none" w:sz="0" w:space="0" w:color="auto"/>
        <w:left w:val="none" w:sz="0" w:space="0" w:color="auto"/>
        <w:bottom w:val="none" w:sz="0" w:space="0" w:color="auto"/>
        <w:right w:val="none" w:sz="0" w:space="0" w:color="auto"/>
      </w:divBdr>
    </w:div>
    <w:div w:id="758723182">
      <w:bodyDiv w:val="1"/>
      <w:marLeft w:val="0"/>
      <w:marRight w:val="0"/>
      <w:marTop w:val="0"/>
      <w:marBottom w:val="0"/>
      <w:divBdr>
        <w:top w:val="none" w:sz="0" w:space="0" w:color="auto"/>
        <w:left w:val="none" w:sz="0" w:space="0" w:color="auto"/>
        <w:bottom w:val="none" w:sz="0" w:space="0" w:color="auto"/>
        <w:right w:val="none" w:sz="0" w:space="0" w:color="auto"/>
      </w:divBdr>
    </w:div>
    <w:div w:id="978463208">
      <w:bodyDiv w:val="1"/>
      <w:marLeft w:val="0"/>
      <w:marRight w:val="0"/>
      <w:marTop w:val="0"/>
      <w:marBottom w:val="0"/>
      <w:divBdr>
        <w:top w:val="none" w:sz="0" w:space="0" w:color="auto"/>
        <w:left w:val="none" w:sz="0" w:space="0" w:color="auto"/>
        <w:bottom w:val="none" w:sz="0" w:space="0" w:color="auto"/>
        <w:right w:val="none" w:sz="0" w:space="0" w:color="auto"/>
      </w:divBdr>
    </w:div>
    <w:div w:id="1118258519">
      <w:bodyDiv w:val="1"/>
      <w:marLeft w:val="0"/>
      <w:marRight w:val="0"/>
      <w:marTop w:val="0"/>
      <w:marBottom w:val="0"/>
      <w:divBdr>
        <w:top w:val="none" w:sz="0" w:space="0" w:color="auto"/>
        <w:left w:val="none" w:sz="0" w:space="0" w:color="auto"/>
        <w:bottom w:val="none" w:sz="0" w:space="0" w:color="auto"/>
        <w:right w:val="none" w:sz="0" w:space="0" w:color="auto"/>
      </w:divBdr>
    </w:div>
    <w:div w:id="1146312090">
      <w:bodyDiv w:val="1"/>
      <w:marLeft w:val="0"/>
      <w:marRight w:val="0"/>
      <w:marTop w:val="0"/>
      <w:marBottom w:val="0"/>
      <w:divBdr>
        <w:top w:val="none" w:sz="0" w:space="0" w:color="auto"/>
        <w:left w:val="none" w:sz="0" w:space="0" w:color="auto"/>
        <w:bottom w:val="none" w:sz="0" w:space="0" w:color="auto"/>
        <w:right w:val="none" w:sz="0" w:space="0" w:color="auto"/>
      </w:divBdr>
    </w:div>
    <w:div w:id="1254243535">
      <w:bodyDiv w:val="1"/>
      <w:marLeft w:val="0"/>
      <w:marRight w:val="0"/>
      <w:marTop w:val="0"/>
      <w:marBottom w:val="0"/>
      <w:divBdr>
        <w:top w:val="none" w:sz="0" w:space="0" w:color="auto"/>
        <w:left w:val="none" w:sz="0" w:space="0" w:color="auto"/>
        <w:bottom w:val="none" w:sz="0" w:space="0" w:color="auto"/>
        <w:right w:val="none" w:sz="0" w:space="0" w:color="auto"/>
      </w:divBdr>
    </w:div>
    <w:div w:id="1845365403">
      <w:bodyDiv w:val="1"/>
      <w:marLeft w:val="0"/>
      <w:marRight w:val="0"/>
      <w:marTop w:val="0"/>
      <w:marBottom w:val="0"/>
      <w:divBdr>
        <w:top w:val="none" w:sz="0" w:space="0" w:color="auto"/>
        <w:left w:val="none" w:sz="0" w:space="0" w:color="auto"/>
        <w:bottom w:val="none" w:sz="0" w:space="0" w:color="auto"/>
        <w:right w:val="none" w:sz="0" w:space="0" w:color="auto"/>
      </w:divBdr>
    </w:div>
    <w:div w:id="1927499875">
      <w:bodyDiv w:val="1"/>
      <w:marLeft w:val="0"/>
      <w:marRight w:val="0"/>
      <w:marTop w:val="0"/>
      <w:marBottom w:val="0"/>
      <w:divBdr>
        <w:top w:val="none" w:sz="0" w:space="0" w:color="auto"/>
        <w:left w:val="none" w:sz="0" w:space="0" w:color="auto"/>
        <w:bottom w:val="none" w:sz="0" w:space="0" w:color="auto"/>
        <w:right w:val="none" w:sz="0" w:space="0" w:color="auto"/>
      </w:divBdr>
    </w:div>
    <w:div w:id="1968974315">
      <w:bodyDiv w:val="1"/>
      <w:marLeft w:val="0"/>
      <w:marRight w:val="0"/>
      <w:marTop w:val="0"/>
      <w:marBottom w:val="0"/>
      <w:divBdr>
        <w:top w:val="none" w:sz="0" w:space="0" w:color="auto"/>
        <w:left w:val="none" w:sz="0" w:space="0" w:color="auto"/>
        <w:bottom w:val="none" w:sz="0" w:space="0" w:color="auto"/>
        <w:right w:val="none" w:sz="0" w:space="0" w:color="auto"/>
      </w:divBdr>
    </w:div>
    <w:div w:id="200192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nsparencia.sns.gov.pt/explore/dataset/doencas-de-declaracao-obrigatoria/table/?disjunctive.regiao_de_saude_de_notificacao&amp;disjunctive.residencia_nut_iii&amp;disjunctive.doenca_de_declaracao_obrigatoria&amp;disjunctive.sexo&amp;disjunctive.grupo_etario&amp;s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itools.ausvet.com.au/" TargetMode="External"/><Relationship Id="rId5" Type="http://schemas.openxmlformats.org/officeDocument/2006/relationships/hyperlink" Target="https://static-content.springer.com/esm/art%3A10.1186%2Fs13071-024-06640-8/MediaObjects/13071_2024_6640_MOESM1_ESM.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Rocha</dc:creator>
  <cp:keywords/>
  <dc:description/>
  <cp:lastModifiedBy>Chandravadhana Ramesh</cp:lastModifiedBy>
  <cp:revision>9</cp:revision>
  <dcterms:created xsi:type="dcterms:W3CDTF">2025-01-08T16:17:00Z</dcterms:created>
  <dcterms:modified xsi:type="dcterms:W3CDTF">2025-02-17T14:08:00Z</dcterms:modified>
</cp:coreProperties>
</file>