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FA3F0" w14:textId="77777777" w:rsidR="00F02B0D" w:rsidRDefault="00F02B0D" w:rsidP="00F02B0D">
      <w:r w:rsidRPr="00910A61">
        <w:rPr>
          <w:b/>
          <w:bCs/>
        </w:rPr>
        <w:t xml:space="preserve">Supplementary Table </w:t>
      </w:r>
      <w:r>
        <w:rPr>
          <w:b/>
          <w:bCs/>
        </w:rPr>
        <w:t>2</w:t>
      </w:r>
      <w:r w:rsidRPr="00910A61">
        <w:rPr>
          <w:b/>
          <w:bCs/>
        </w:rPr>
        <w:t>.</w:t>
      </w:r>
      <w:r>
        <w:t xml:space="preserve"> </w:t>
      </w:r>
      <w:r w:rsidRPr="007F0565">
        <w:t xml:space="preserve">Label comprehension questionnaire results for the </w:t>
      </w:r>
      <w:proofErr w:type="spellStart"/>
      <w:r w:rsidRPr="007F0565">
        <w:t>Pf</w:t>
      </w:r>
      <w:proofErr w:type="spellEnd"/>
      <w:r w:rsidRPr="007F0565">
        <w:t xml:space="preserve"> (</w:t>
      </w:r>
      <w:proofErr w:type="spellStart"/>
      <w:r w:rsidRPr="007F0565">
        <w:t>pLDH</w:t>
      </w:r>
      <w:proofErr w:type="spellEnd"/>
      <w:r w:rsidRPr="007F0565">
        <w:t xml:space="preserve">) and </w:t>
      </w:r>
      <w:proofErr w:type="spellStart"/>
      <w:r w:rsidRPr="007F0565">
        <w:t>Pf</w:t>
      </w:r>
      <w:proofErr w:type="spellEnd"/>
      <w:r w:rsidRPr="007F0565">
        <w:t xml:space="preserve"> (</w:t>
      </w:r>
      <w:proofErr w:type="spellStart"/>
      <w:r w:rsidRPr="007F0565">
        <w:t>pLDH</w:t>
      </w:r>
      <w:proofErr w:type="spellEnd"/>
      <w:r w:rsidRPr="007F0565">
        <w:t>/HRPII) tests.</w:t>
      </w:r>
    </w:p>
    <w:tbl>
      <w:tblPr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164"/>
        <w:gridCol w:w="1364"/>
        <w:gridCol w:w="1366"/>
      </w:tblGrid>
      <w:tr w:rsidR="00F02B0D" w:rsidRPr="0047640B" w14:paraId="0E2EB5A4" w14:textId="77777777" w:rsidTr="003025C4">
        <w:trPr>
          <w:trHeight w:val="760"/>
        </w:trPr>
        <w:tc>
          <w:tcPr>
            <w:tcW w:w="3465" w:type="pct"/>
            <w:vMerge w:val="restart"/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0FFDC" w14:textId="77777777" w:rsidR="00F02B0D" w:rsidRPr="0047640B" w:rsidRDefault="00F02B0D" w:rsidP="003025C4">
            <w:pPr>
              <w:pStyle w:val="PATHtableheading-white"/>
              <w:ind w:left="144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7640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1535" w:type="pct"/>
            <w:gridSpan w:val="2"/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47450" w14:textId="77777777" w:rsidR="00F02B0D" w:rsidRPr="0047640B" w:rsidRDefault="00F02B0D" w:rsidP="003025C4">
            <w:pPr>
              <w:pStyle w:val="PATHtableheading-white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7640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Correct responses</w:t>
            </w:r>
          </w:p>
          <w:p w14:paraId="4BFEEF4A" w14:textId="77777777" w:rsidR="00F02B0D" w:rsidRPr="0047640B" w:rsidRDefault="00F02B0D" w:rsidP="003025C4">
            <w:pPr>
              <w:pStyle w:val="PATHtabletext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47640B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</w:tc>
      </w:tr>
      <w:tr w:rsidR="00F02B0D" w:rsidRPr="0047640B" w14:paraId="2C07E0DD" w14:textId="77777777" w:rsidTr="003025C4">
        <w:trPr>
          <w:trHeight w:val="760"/>
        </w:trPr>
        <w:tc>
          <w:tcPr>
            <w:tcW w:w="3465" w:type="pct"/>
            <w:vMerge/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AFA32" w14:textId="77777777" w:rsidR="00F02B0D" w:rsidRPr="0047640B" w:rsidRDefault="00F02B0D" w:rsidP="003025C4">
            <w:pPr>
              <w:pStyle w:val="PATHtableheading-white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67" w:type="pct"/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D0AAF" w14:textId="77777777" w:rsidR="00F02B0D" w:rsidRDefault="00F02B0D" w:rsidP="003025C4">
            <w:pPr>
              <w:pStyle w:val="PATHtableheading-white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BIOCREDIT</w:t>
            </w:r>
          </w:p>
          <w:p w14:paraId="376FB018" w14:textId="77777777" w:rsidR="00F02B0D" w:rsidRPr="0047640B" w:rsidRDefault="00F02B0D" w:rsidP="003025C4">
            <w:pPr>
              <w:pStyle w:val="PATHtableheading-white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4764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Pf</w:t>
            </w:r>
            <w:proofErr w:type="spellEnd"/>
            <w:r w:rsidRPr="004764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4764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pLDH</w:t>
            </w:r>
            <w:proofErr w:type="spellEnd"/>
            <w:r w:rsidRPr="004764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) Test</w:t>
            </w:r>
          </w:p>
        </w:tc>
        <w:tc>
          <w:tcPr>
            <w:tcW w:w="767" w:type="pct"/>
            <w:shd w:val="clear" w:color="auto" w:fill="BFBFBF" w:themeFill="background1" w:themeFillShade="BF"/>
          </w:tcPr>
          <w:p w14:paraId="52C35E5C" w14:textId="77777777" w:rsidR="00F02B0D" w:rsidRPr="0047640B" w:rsidRDefault="00F02B0D" w:rsidP="003025C4">
            <w:pPr>
              <w:pStyle w:val="PATHtableheading-white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BIOCREDIT </w:t>
            </w:r>
            <w:proofErr w:type="spellStart"/>
            <w:r w:rsidRPr="004764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Pf</w:t>
            </w:r>
            <w:proofErr w:type="spellEnd"/>
            <w:r w:rsidRPr="004764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4764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pLDH</w:t>
            </w:r>
            <w:proofErr w:type="spellEnd"/>
            <w:r w:rsidRPr="0047640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/HRPII) Test</w:t>
            </w:r>
          </w:p>
        </w:tc>
      </w:tr>
      <w:tr w:rsidR="00F02B0D" w:rsidRPr="0047640B" w14:paraId="6E7294A1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A5846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 xml:space="preserve">True or false: the test can be used to detect infection with </w:t>
            </w:r>
            <w:proofErr w:type="spellStart"/>
            <w:r w:rsidRPr="0047640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Pf</w:t>
            </w:r>
            <w:proofErr w:type="spellEnd"/>
            <w:r w:rsidRPr="0047640B">
              <w:rPr>
                <w:rFonts w:asciiTheme="majorBidi" w:hAnsiTheme="majorBidi" w:cstheme="majorBidi"/>
                <w:sz w:val="20"/>
                <w:szCs w:val="20"/>
              </w:rPr>
              <w:t xml:space="preserve"> parasite causing malaria in humans.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9550A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10 (100.0%)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5CB031C7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16 (100.0%)</w:t>
            </w:r>
          </w:p>
        </w:tc>
      </w:tr>
      <w:tr w:rsidR="00F02B0D" w:rsidRPr="0047640B" w14:paraId="2EA10BC5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CCF90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What does the test measure?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39085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10 (100.0%)</w:t>
            </w:r>
          </w:p>
        </w:tc>
        <w:tc>
          <w:tcPr>
            <w:tcW w:w="767" w:type="pct"/>
            <w:shd w:val="clear" w:color="auto" w:fill="FFC000"/>
            <w:vAlign w:val="center"/>
          </w:tcPr>
          <w:p w14:paraId="167C038E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13 (81.3%)</w:t>
            </w:r>
          </w:p>
        </w:tc>
      </w:tr>
      <w:tr w:rsidR="00F02B0D" w:rsidRPr="0047640B" w14:paraId="1D54B2B6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D4C58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Which plasmodium antigen can be detected using the test?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6CC9E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9 (90.0%)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2394C4F5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15 (93.8%)</w:t>
            </w:r>
          </w:p>
        </w:tc>
      </w:tr>
      <w:tr w:rsidR="00F02B0D" w:rsidRPr="0047640B" w14:paraId="30B053BF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8C370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The test can be used with which type(s) of samples?</w:t>
            </w:r>
          </w:p>
        </w:tc>
        <w:tc>
          <w:tcPr>
            <w:tcW w:w="767" w:type="pct"/>
            <w:shd w:val="clear" w:color="auto" w:fill="FFC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E78ED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7 (70.0%)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628202BF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16 (100.0%)</w:t>
            </w:r>
          </w:p>
        </w:tc>
      </w:tr>
      <w:tr w:rsidR="00F02B0D" w:rsidRPr="0047640B" w14:paraId="75BA7523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9919D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At what temperature should the test kit be stored?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41BF5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10 (100.0%)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79D183CE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15 (93.8%)</w:t>
            </w:r>
          </w:p>
        </w:tc>
      </w:tr>
      <w:tr w:rsidR="00F02B0D" w:rsidRPr="0047640B" w14:paraId="1B555488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CB0EF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When should you apply the assay buffer to the test device?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C85FD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10 (100.0%)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57FCE11F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16 (100.0%)</w:t>
            </w:r>
          </w:p>
        </w:tc>
      </w:tr>
      <w:tr w:rsidR="00F02B0D" w:rsidRPr="0047640B" w14:paraId="2D2B1838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898F5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How much blood is required to run the test?</w:t>
            </w:r>
          </w:p>
        </w:tc>
        <w:tc>
          <w:tcPr>
            <w:tcW w:w="767" w:type="pct"/>
            <w:shd w:val="clear" w:color="auto" w:fill="FFC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0C7A6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7 (70.0%)</w:t>
            </w:r>
          </w:p>
        </w:tc>
        <w:tc>
          <w:tcPr>
            <w:tcW w:w="767" w:type="pct"/>
            <w:shd w:val="clear" w:color="auto" w:fill="FFC000"/>
            <w:vAlign w:val="center"/>
          </w:tcPr>
          <w:p w14:paraId="6A67DA35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12 (75.0%)</w:t>
            </w:r>
          </w:p>
        </w:tc>
      </w:tr>
      <w:tr w:rsidR="00F02B0D" w:rsidRPr="0047640B" w14:paraId="13EE49CD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CF2F5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How many drops of assay buffer should you add to the test device?</w:t>
            </w:r>
          </w:p>
        </w:tc>
        <w:tc>
          <w:tcPr>
            <w:tcW w:w="767" w:type="pct"/>
            <w:shd w:val="clear" w:color="auto" w:fill="A8001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1A04F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5 (50.0%)</w:t>
            </w:r>
          </w:p>
        </w:tc>
        <w:tc>
          <w:tcPr>
            <w:tcW w:w="767" w:type="pct"/>
            <w:shd w:val="clear" w:color="auto" w:fill="A8001E"/>
            <w:vAlign w:val="center"/>
          </w:tcPr>
          <w:p w14:paraId="673FC17A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10 (62.5%)</w:t>
            </w:r>
          </w:p>
        </w:tc>
      </w:tr>
      <w:tr w:rsidR="00F02B0D" w:rsidRPr="0047640B" w14:paraId="4016D4B8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20734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How many test lines can you see on the device (including control line)?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B2589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9 (90.0%)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2A4BFC32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16 (100.0%)</w:t>
            </w:r>
          </w:p>
        </w:tc>
      </w:tr>
      <w:tr w:rsidR="00F02B0D" w:rsidRPr="0047640B" w14:paraId="79353B3C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B666B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How long should you wait to interpret the test results?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4ECF7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10 (100.0%)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50C38E41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16 (100.0%)</w:t>
            </w:r>
          </w:p>
        </w:tc>
      </w:tr>
      <w:tr w:rsidR="00F02B0D" w:rsidRPr="0047640B" w14:paraId="62AFB613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E7505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True or false: You can read the test result after 35 minutes.</w:t>
            </w:r>
          </w:p>
        </w:tc>
        <w:tc>
          <w:tcPr>
            <w:tcW w:w="767" w:type="pct"/>
            <w:shd w:val="clear" w:color="auto" w:fill="FFC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BFCFC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7 (70.0%)</w:t>
            </w:r>
          </w:p>
        </w:tc>
        <w:tc>
          <w:tcPr>
            <w:tcW w:w="767" w:type="pct"/>
            <w:shd w:val="clear" w:color="auto" w:fill="C00000"/>
            <w:vAlign w:val="center"/>
          </w:tcPr>
          <w:p w14:paraId="053523EC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8 (50.0%)</w:t>
            </w:r>
          </w:p>
        </w:tc>
      </w:tr>
      <w:tr w:rsidR="00F02B0D" w:rsidRPr="0047640B" w14:paraId="5918E57C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8F097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True or false: with the presence of any test line, no matter how faint, the result is considered positive</w:t>
            </w:r>
          </w:p>
        </w:tc>
        <w:tc>
          <w:tcPr>
            <w:tcW w:w="767" w:type="pct"/>
            <w:shd w:val="clear" w:color="auto" w:fill="FFC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283BB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8 (80.0%)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06648397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15 (93.8%)</w:t>
            </w:r>
          </w:p>
        </w:tc>
      </w:tr>
      <w:tr w:rsidR="00F02B0D" w:rsidRPr="0047640B" w14:paraId="6C7A034F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8B7A4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Can you re-use the test device?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9D024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10 (100.0%)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7D52CC71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16 (100.0%)</w:t>
            </w:r>
          </w:p>
        </w:tc>
      </w:tr>
      <w:tr w:rsidR="00F02B0D" w:rsidRPr="0047640B" w14:paraId="1E1832BF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DDC12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Where should the blood sample be applied to the test device?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06772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10 (100.0%)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309D5024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16 (100.0%)</w:t>
            </w:r>
          </w:p>
        </w:tc>
      </w:tr>
      <w:tr w:rsidR="00F02B0D" w:rsidRPr="0047640B" w14:paraId="1890F6D0" w14:textId="77777777" w:rsidTr="003025C4">
        <w:trPr>
          <w:trHeight w:val="20"/>
        </w:trPr>
        <w:tc>
          <w:tcPr>
            <w:tcW w:w="346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F8FAC" w14:textId="77777777" w:rsidR="00F02B0D" w:rsidRPr="0047640B" w:rsidRDefault="00F02B0D" w:rsidP="003025C4">
            <w:pPr>
              <w:pStyle w:val="PATHtabletext"/>
              <w:spacing w:line="240" w:lineRule="auto"/>
              <w:ind w:left="144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Where should the assay buffer be applied to the test device?</w:t>
            </w:r>
          </w:p>
        </w:tc>
        <w:tc>
          <w:tcPr>
            <w:tcW w:w="767" w:type="pct"/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77B7E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10 (100.0%)</w:t>
            </w:r>
          </w:p>
        </w:tc>
        <w:tc>
          <w:tcPr>
            <w:tcW w:w="767" w:type="pct"/>
            <w:shd w:val="clear" w:color="auto" w:fill="92D050"/>
            <w:vAlign w:val="center"/>
          </w:tcPr>
          <w:p w14:paraId="21E991F4" w14:textId="77777777" w:rsidR="00F02B0D" w:rsidRPr="0047640B" w:rsidRDefault="00F02B0D" w:rsidP="003025C4">
            <w:pPr>
              <w:pStyle w:val="PATHtabletext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640B">
              <w:rPr>
                <w:rFonts w:asciiTheme="majorBidi" w:hAnsiTheme="majorBidi" w:cstheme="majorBidi"/>
                <w:sz w:val="20"/>
                <w:szCs w:val="20"/>
              </w:rPr>
              <w:t>16 (100.0%)</w:t>
            </w:r>
          </w:p>
        </w:tc>
      </w:tr>
    </w:tbl>
    <w:p w14:paraId="0C5953BF" w14:textId="77777777" w:rsidR="00F02B0D" w:rsidRPr="00592980" w:rsidRDefault="00F02B0D" w:rsidP="00F02B0D">
      <w:pPr>
        <w:rPr>
          <w:sz w:val="4"/>
          <w:szCs w:val="4"/>
        </w:rPr>
      </w:pPr>
    </w:p>
    <w:tbl>
      <w:tblPr>
        <w:tblW w:w="1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</w:tblGrid>
      <w:tr w:rsidR="00F02B0D" w:rsidRPr="00026A00" w14:paraId="2BC33099" w14:textId="77777777" w:rsidTr="003025C4">
        <w:trPr>
          <w:trHeight w:val="20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E731E" w14:textId="77777777" w:rsidR="00F02B0D" w:rsidRPr="00592980" w:rsidRDefault="00F02B0D" w:rsidP="003025C4">
            <w:pPr>
              <w:pStyle w:val="PATHbodytext"/>
              <w:spacing w:after="0" w:line="240" w:lineRule="auto"/>
              <w:rPr>
                <w:rFonts w:asciiTheme="majorBidi" w:hAnsiTheme="majorBidi" w:cstheme="majorBidi"/>
                <w:szCs w:val="20"/>
              </w:rPr>
            </w:pPr>
            <w:r w:rsidRPr="00592980">
              <w:rPr>
                <w:rFonts w:asciiTheme="majorBidi" w:hAnsiTheme="majorBidi" w:cstheme="majorBidi"/>
                <w:b/>
                <w:bCs/>
                <w:szCs w:val="20"/>
              </w:rPr>
              <w:t>Key</w:t>
            </w:r>
          </w:p>
        </w:tc>
      </w:tr>
      <w:tr w:rsidR="00F02B0D" w:rsidRPr="00026A00" w14:paraId="0B5D12AC" w14:textId="77777777" w:rsidTr="003025C4">
        <w:trPr>
          <w:trHeight w:val="20"/>
        </w:trPr>
        <w:tc>
          <w:tcPr>
            <w:tcW w:w="15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C2A3B" w14:textId="77777777" w:rsidR="00F02B0D" w:rsidRPr="00592980" w:rsidRDefault="00F02B0D" w:rsidP="003025C4">
            <w:pPr>
              <w:pStyle w:val="PATHbodytext"/>
              <w:spacing w:after="0" w:line="240" w:lineRule="auto"/>
              <w:rPr>
                <w:rFonts w:asciiTheme="majorBidi" w:hAnsiTheme="majorBidi" w:cstheme="majorBidi"/>
                <w:szCs w:val="20"/>
              </w:rPr>
            </w:pPr>
            <w:r w:rsidRPr="00592980">
              <w:rPr>
                <w:rFonts w:asciiTheme="majorBidi" w:hAnsiTheme="majorBidi" w:cstheme="majorBidi"/>
                <w:szCs w:val="20"/>
              </w:rPr>
              <w:t xml:space="preserve">&gt;85% </w:t>
            </w:r>
          </w:p>
        </w:tc>
      </w:tr>
      <w:tr w:rsidR="00F02B0D" w:rsidRPr="00026A00" w14:paraId="3DE94CC4" w14:textId="77777777" w:rsidTr="003025C4">
        <w:trPr>
          <w:trHeight w:val="20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20011" w14:textId="77777777" w:rsidR="00F02B0D" w:rsidRPr="00592980" w:rsidRDefault="00F02B0D" w:rsidP="003025C4">
            <w:pPr>
              <w:pStyle w:val="PATHbodytext"/>
              <w:spacing w:after="0" w:line="240" w:lineRule="auto"/>
              <w:rPr>
                <w:rFonts w:asciiTheme="majorBidi" w:hAnsiTheme="majorBidi" w:cstheme="majorBidi"/>
                <w:szCs w:val="20"/>
              </w:rPr>
            </w:pPr>
            <w:r w:rsidRPr="00592980">
              <w:rPr>
                <w:rFonts w:asciiTheme="majorBidi" w:hAnsiTheme="majorBidi" w:cstheme="majorBidi"/>
                <w:szCs w:val="20"/>
              </w:rPr>
              <w:t xml:space="preserve">70%-85% </w:t>
            </w:r>
          </w:p>
        </w:tc>
      </w:tr>
      <w:tr w:rsidR="00F02B0D" w:rsidRPr="00026A00" w14:paraId="48B134DC" w14:textId="77777777" w:rsidTr="003025C4">
        <w:trPr>
          <w:trHeight w:val="20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8001E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2C4B5" w14:textId="77777777" w:rsidR="00F02B0D" w:rsidRPr="00592980" w:rsidRDefault="00F02B0D" w:rsidP="003025C4">
            <w:pPr>
              <w:pStyle w:val="PATHbodytext"/>
              <w:spacing w:after="0" w:line="240" w:lineRule="auto"/>
              <w:rPr>
                <w:rFonts w:asciiTheme="majorBidi" w:hAnsiTheme="majorBidi" w:cstheme="majorBidi"/>
                <w:szCs w:val="20"/>
              </w:rPr>
            </w:pPr>
            <w:r w:rsidRPr="00592980">
              <w:rPr>
                <w:rFonts w:asciiTheme="majorBidi" w:hAnsiTheme="majorBidi" w:cstheme="majorBidi"/>
                <w:szCs w:val="20"/>
              </w:rPr>
              <w:t xml:space="preserve">&lt;70% </w:t>
            </w:r>
          </w:p>
        </w:tc>
      </w:tr>
    </w:tbl>
    <w:p w14:paraId="5145C558" w14:textId="77777777" w:rsidR="00F02B0D" w:rsidRDefault="00F02B0D" w:rsidP="00F02B0D">
      <w:pPr>
        <w:rPr>
          <w:b/>
          <w:bCs/>
        </w:rPr>
      </w:pPr>
    </w:p>
    <w:p w14:paraId="5BB84525" w14:textId="77777777" w:rsidR="00AB5D02" w:rsidRPr="00994B8C" w:rsidRDefault="00AB5D02" w:rsidP="00994B8C"/>
    <w:sectPr w:rsidR="00AB5D02" w:rsidRPr="00994B8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C0771" w14:textId="77777777" w:rsidR="00A8161C" w:rsidRDefault="00A8161C" w:rsidP="001B4BC5">
      <w:pPr>
        <w:spacing w:after="0"/>
      </w:pPr>
      <w:r>
        <w:separator/>
      </w:r>
    </w:p>
  </w:endnote>
  <w:endnote w:type="continuationSeparator" w:id="0">
    <w:p w14:paraId="685028E1" w14:textId="77777777" w:rsidR="00A8161C" w:rsidRDefault="00A8161C" w:rsidP="001B4B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0E3A4" w14:textId="77777777" w:rsidR="00A8161C" w:rsidRDefault="00A8161C" w:rsidP="001B4BC5">
      <w:pPr>
        <w:spacing w:after="0"/>
      </w:pPr>
      <w:r>
        <w:separator/>
      </w:r>
    </w:p>
  </w:footnote>
  <w:footnote w:type="continuationSeparator" w:id="0">
    <w:p w14:paraId="7F3CB2CA" w14:textId="77777777" w:rsidR="00A8161C" w:rsidRDefault="00A8161C" w:rsidP="001B4B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D110D" w14:textId="5F1DEB5A" w:rsidR="001B4BC5" w:rsidRPr="001B4BC5" w:rsidRDefault="001B4BC5">
    <w:pPr>
      <w:pStyle w:val="Header"/>
      <w:rPr>
        <w:i/>
        <w:iCs/>
      </w:rPr>
    </w:pPr>
    <w:r>
      <w:rPr>
        <w:i/>
        <w:iCs/>
      </w:rPr>
      <w:t xml:space="preserve">Manuscript: </w:t>
    </w:r>
    <w:r w:rsidRPr="001B4BC5">
      <w:t>Performance and usability evaluation of three LDH-based malaria rapid diagnostic tests in Kédougou, Senegal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C5"/>
    <w:rsid w:val="001B4BC5"/>
    <w:rsid w:val="001D1AD4"/>
    <w:rsid w:val="00235E16"/>
    <w:rsid w:val="005B6F64"/>
    <w:rsid w:val="006E5544"/>
    <w:rsid w:val="007A3D80"/>
    <w:rsid w:val="007C4A3C"/>
    <w:rsid w:val="00820875"/>
    <w:rsid w:val="008A543B"/>
    <w:rsid w:val="00933294"/>
    <w:rsid w:val="00994B8C"/>
    <w:rsid w:val="00A616B2"/>
    <w:rsid w:val="00A8161C"/>
    <w:rsid w:val="00AB5D02"/>
    <w:rsid w:val="00B2412C"/>
    <w:rsid w:val="00D93B3B"/>
    <w:rsid w:val="00F02B0D"/>
    <w:rsid w:val="00F4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79F01"/>
  <w15:chartTrackingRefBased/>
  <w15:docId w15:val="{0A691163-1212-47FB-A886-84C189DB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BC5"/>
    <w:pPr>
      <w:spacing w:line="240" w:lineRule="auto"/>
    </w:pPr>
    <w:rPr>
      <w:rFonts w:ascii="Times New Roman" w:eastAsiaTheme="minorHAnsi" w:hAnsi="Times New Roman" w:cs="Times New Roman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B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BC5"/>
    <w:rPr>
      <w:b/>
      <w:bCs/>
      <w:smallCaps/>
      <w:color w:val="0F4761" w:themeColor="accent1" w:themeShade="BF"/>
      <w:spacing w:val="5"/>
    </w:rPr>
  </w:style>
  <w:style w:type="paragraph" w:customStyle="1" w:styleId="PATHbodytext">
    <w:name w:val="PATH body text"/>
    <w:link w:val="PATHbodytextChar"/>
    <w:uiPriority w:val="9"/>
    <w:qFormat/>
    <w:rsid w:val="001B4BC5"/>
    <w:pPr>
      <w:spacing w:after="120" w:line="288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character" w:customStyle="1" w:styleId="PATHbodytextChar">
    <w:name w:val="PATH body text Char"/>
    <w:basedOn w:val="DefaultParagraphFont"/>
    <w:link w:val="PATHbodytext"/>
    <w:uiPriority w:val="9"/>
    <w:rsid w:val="001B4BC5"/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PATHtableheading-black">
    <w:name w:val="PATH table heading-black"/>
    <w:basedOn w:val="PATHtabletext"/>
    <w:next w:val="PATHtabletext"/>
    <w:link w:val="PATHtableheading-blackChar"/>
    <w:uiPriority w:val="29"/>
    <w:qFormat/>
    <w:rsid w:val="001B4BC5"/>
    <w:rPr>
      <w:b/>
    </w:rPr>
  </w:style>
  <w:style w:type="paragraph" w:customStyle="1" w:styleId="PATHtabletext">
    <w:name w:val="PATH table text"/>
    <w:link w:val="PATHtabletextChar"/>
    <w:uiPriority w:val="29"/>
    <w:qFormat/>
    <w:rsid w:val="001B4BC5"/>
    <w:pPr>
      <w:spacing w:after="0" w:line="288" w:lineRule="auto"/>
    </w:pPr>
    <w:rPr>
      <w:rFonts w:ascii="Arial" w:eastAsiaTheme="minorHAnsi" w:hAnsi="Arial"/>
      <w:kern w:val="0"/>
      <w:sz w:val="18"/>
      <w:szCs w:val="16"/>
      <w:lang w:eastAsia="en-US"/>
      <w14:ligatures w14:val="none"/>
    </w:rPr>
  </w:style>
  <w:style w:type="character" w:customStyle="1" w:styleId="PATHtableheading-blackChar">
    <w:name w:val="PATH table heading-black Char"/>
    <w:basedOn w:val="DefaultParagraphFont"/>
    <w:link w:val="PATHtableheading-black"/>
    <w:uiPriority w:val="29"/>
    <w:rsid w:val="001B4BC5"/>
    <w:rPr>
      <w:rFonts w:ascii="Arial" w:eastAsiaTheme="minorHAnsi" w:hAnsi="Arial"/>
      <w:b/>
      <w:kern w:val="0"/>
      <w:sz w:val="18"/>
      <w:szCs w:val="16"/>
      <w:lang w:eastAsia="en-US"/>
      <w14:ligatures w14:val="none"/>
    </w:rPr>
  </w:style>
  <w:style w:type="character" w:customStyle="1" w:styleId="PATHtabletextChar">
    <w:name w:val="PATH table text Char"/>
    <w:basedOn w:val="DefaultParagraphFont"/>
    <w:link w:val="PATHtabletext"/>
    <w:uiPriority w:val="29"/>
    <w:rsid w:val="001B4BC5"/>
    <w:rPr>
      <w:rFonts w:ascii="Arial" w:eastAsiaTheme="minorHAnsi" w:hAnsi="Arial"/>
      <w:kern w:val="0"/>
      <w:sz w:val="18"/>
      <w:szCs w:val="16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B4BC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4BC5"/>
    <w:rPr>
      <w:rFonts w:ascii="Times New Roman" w:eastAsiaTheme="minorHAnsi" w:hAnsi="Times New Roman" w:cs="Times New Roman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4BC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4BC5"/>
    <w:rPr>
      <w:rFonts w:ascii="Times New Roman" w:eastAsiaTheme="minorHAnsi" w:hAnsi="Times New Roman" w:cs="Times New Roman"/>
      <w:kern w:val="0"/>
      <w:sz w:val="22"/>
      <w:szCs w:val="22"/>
      <w:lang w:eastAsia="en-US"/>
      <w14:ligatures w14:val="none"/>
    </w:rPr>
  </w:style>
  <w:style w:type="paragraph" w:customStyle="1" w:styleId="PATHtableheading-white">
    <w:name w:val="PATH table heading-white"/>
    <w:basedOn w:val="Normal"/>
    <w:next w:val="PATHtabletext"/>
    <w:link w:val="PATHtableheading-whiteChar"/>
    <w:uiPriority w:val="29"/>
    <w:qFormat/>
    <w:rsid w:val="00994B8C"/>
    <w:pPr>
      <w:spacing w:after="0" w:line="288" w:lineRule="auto"/>
    </w:pPr>
    <w:rPr>
      <w:rFonts w:ascii="Arial" w:hAnsi="Arial" w:cstheme="minorBidi"/>
      <w:b/>
      <w:color w:val="FFFFFF" w:themeColor="background1"/>
      <w:sz w:val="18"/>
      <w:szCs w:val="16"/>
    </w:rPr>
  </w:style>
  <w:style w:type="character" w:customStyle="1" w:styleId="PATHtableheading-whiteChar">
    <w:name w:val="PATH table heading-white Char"/>
    <w:basedOn w:val="DefaultParagraphFont"/>
    <w:link w:val="PATHtableheading-white"/>
    <w:uiPriority w:val="29"/>
    <w:rsid w:val="00994B8C"/>
    <w:rPr>
      <w:rFonts w:ascii="Arial" w:eastAsiaTheme="minorHAnsi" w:hAnsi="Arial"/>
      <w:b/>
      <w:color w:val="FFFFFF" w:themeColor="background1"/>
      <w:kern w:val="0"/>
      <w:sz w:val="18"/>
      <w:szCs w:val="16"/>
      <w:lang w:eastAsia="en-US"/>
      <w14:ligatures w14:val="none"/>
    </w:rPr>
  </w:style>
  <w:style w:type="paragraph" w:styleId="NoSpacing">
    <w:name w:val="No Spacing"/>
    <w:uiPriority w:val="1"/>
    <w:qFormat/>
    <w:rsid w:val="006E5544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Zobrist</dc:creator>
  <cp:keywords/>
  <dc:description/>
  <cp:lastModifiedBy>Stephanie Zobrist</cp:lastModifiedBy>
  <cp:revision>4</cp:revision>
  <dcterms:created xsi:type="dcterms:W3CDTF">2024-12-19T19:25:00Z</dcterms:created>
  <dcterms:modified xsi:type="dcterms:W3CDTF">2024-12-19T19:26:00Z</dcterms:modified>
</cp:coreProperties>
</file>