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4A9" w:rsidRPr="00D914A9" w:rsidRDefault="00D914A9" w:rsidP="00D914A9">
      <w:pPr>
        <w:spacing w:after="0" w:line="480" w:lineRule="auto"/>
        <w:ind w:left="567" w:hanging="567"/>
        <w:rPr>
          <w:rFonts w:ascii="Times New Roman" w:hAnsi="Times New Roman" w:cs="Times New Roman"/>
          <w:b/>
          <w:sz w:val="24"/>
          <w:szCs w:val="24"/>
        </w:rPr>
      </w:pPr>
      <w:r w:rsidRPr="00D914A9">
        <w:rPr>
          <w:rFonts w:ascii="Times New Roman" w:hAnsi="Times New Roman" w:cs="Times New Roman"/>
          <w:b/>
          <w:sz w:val="24"/>
          <w:szCs w:val="24"/>
        </w:rPr>
        <w:t>Additional Fil</w:t>
      </w:r>
      <w:bookmarkStart w:id="0" w:name="_GoBack"/>
      <w:bookmarkEnd w:id="0"/>
      <w:r w:rsidRPr="00D914A9">
        <w:rPr>
          <w:rFonts w:ascii="Times New Roman" w:hAnsi="Times New Roman" w:cs="Times New Roman"/>
          <w:b/>
          <w:sz w:val="24"/>
          <w:szCs w:val="24"/>
        </w:rPr>
        <w:t>e 1</w:t>
      </w:r>
    </w:p>
    <w:p w:rsidR="00D914A9" w:rsidRPr="00D914A9" w:rsidRDefault="00D914A9" w:rsidP="00D914A9">
      <w:pPr>
        <w:spacing w:after="0" w:line="480" w:lineRule="auto"/>
        <w:ind w:left="567" w:hanging="567"/>
        <w:rPr>
          <w:rFonts w:ascii="Times New Roman" w:hAnsi="Times New Roman" w:cs="Times New Roman"/>
          <w:bCs/>
          <w:sz w:val="24"/>
          <w:szCs w:val="24"/>
        </w:rPr>
      </w:pPr>
      <w:r w:rsidRPr="00D914A9">
        <w:rPr>
          <w:noProof/>
          <w:lang w:eastAsia="en-IN"/>
        </w:rPr>
        <w:drawing>
          <wp:inline distT="0" distB="0" distL="0" distR="0" wp14:anchorId="7F69B5E0" wp14:editId="15735F51">
            <wp:extent cx="5943600" cy="2479675"/>
            <wp:effectExtent l="0" t="0" r="0" b="0"/>
            <wp:docPr id="148159776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7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4A9" w:rsidRPr="00D914A9" w:rsidRDefault="00D914A9" w:rsidP="00D914A9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914A9">
        <w:rPr>
          <w:rFonts w:ascii="Times New Roman" w:hAnsi="Times New Roman" w:cs="Times New Roman"/>
          <w:bCs/>
          <w:sz w:val="24"/>
          <w:szCs w:val="24"/>
        </w:rPr>
        <w:t>Fig. S1. Normalized Difference Vegetation Index (NDVI) classification in Redlands (A) and Opa-Locka (B) study sites.</w:t>
      </w:r>
    </w:p>
    <w:p w:rsidR="00170217" w:rsidRPr="00D914A9" w:rsidRDefault="00170217"/>
    <w:sectPr w:rsidR="00170217" w:rsidRPr="00D914A9" w:rsidSect="00D914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4A9"/>
    <w:rsid w:val="00170217"/>
    <w:rsid w:val="00221FAE"/>
    <w:rsid w:val="00D91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B7BB36-1841-4BAF-82A1-7FFF7A3B1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D914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Sumithra Dhandapani</dc:creator>
  <cp:keywords/>
  <dc:description/>
  <cp:lastModifiedBy>Sumithra Dhandapani</cp:lastModifiedBy>
  <cp:revision>1</cp:revision>
  <dcterms:created xsi:type="dcterms:W3CDTF">2026-05-04T01:54:00Z</dcterms:created>
  <dcterms:modified xsi:type="dcterms:W3CDTF">2026-05-04T01:55:00Z</dcterms:modified>
</cp:coreProperties>
</file>