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83EF3" w14:textId="1F9C7709" w:rsidR="00EF306D" w:rsidRPr="00EA5A3A" w:rsidRDefault="00034F5D">
      <w:pPr>
        <w:rPr>
          <w:rFonts w:ascii="Times New Roman" w:hAnsi="Times New Roman" w:cs="Times New Roman"/>
        </w:rPr>
      </w:pPr>
      <w:r w:rsidRPr="00EA5A3A">
        <w:rPr>
          <w:rFonts w:ascii="Times New Roman" w:hAnsi="Times New Roman" w:cs="Times New Roman"/>
          <w:b/>
          <w:bCs/>
        </w:rPr>
        <w:t>Table S3</w:t>
      </w:r>
      <w:r w:rsidR="0019353C" w:rsidRPr="00EA5A3A">
        <w:rPr>
          <w:rFonts w:ascii="Times New Roman" w:hAnsi="Times New Roman" w:cs="Times New Roman"/>
          <w:b/>
          <w:bCs/>
        </w:rPr>
        <w:t>.</w:t>
      </w:r>
      <w:r w:rsidR="0019353C" w:rsidRPr="00EA5A3A">
        <w:rPr>
          <w:rFonts w:ascii="Times New Roman" w:hAnsi="Times New Roman" w:cs="Times New Roman"/>
        </w:rPr>
        <w:t xml:space="preserve"> Standardized sand fly activity and linked decadal meteorological variables during the main entomological season, Sicily, 2022–2024.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1082"/>
        <w:gridCol w:w="746"/>
        <w:gridCol w:w="850"/>
        <w:gridCol w:w="621"/>
        <w:gridCol w:w="768"/>
        <w:gridCol w:w="639"/>
        <w:gridCol w:w="1240"/>
        <w:gridCol w:w="1333"/>
        <w:gridCol w:w="1540"/>
        <w:gridCol w:w="1194"/>
        <w:gridCol w:w="1232"/>
        <w:gridCol w:w="1310"/>
        <w:gridCol w:w="1257"/>
      </w:tblGrid>
      <w:tr w:rsidR="0019353C" w:rsidRPr="00EA5A3A" w14:paraId="0AE695CF" w14:textId="77777777" w:rsidTr="00EA5A3A">
        <w:trPr>
          <w:tblHeader/>
          <w:tblCellSpacing w:w="15" w:type="dxa"/>
        </w:trPr>
        <w:tc>
          <w:tcPr>
            <w:tcW w:w="0" w:type="auto"/>
            <w:tcBorders>
              <w:bottom w:val="single" w:sz="4" w:space="0" w:color="auto"/>
            </w:tcBorders>
            <w:vAlign w:val="center"/>
            <w:hideMark/>
          </w:tcPr>
          <w:p w14:paraId="12F2FEED"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Year</w:t>
            </w:r>
          </w:p>
        </w:tc>
        <w:tc>
          <w:tcPr>
            <w:tcW w:w="0" w:type="auto"/>
            <w:tcBorders>
              <w:bottom w:val="single" w:sz="4" w:space="0" w:color="auto"/>
            </w:tcBorders>
            <w:vAlign w:val="center"/>
            <w:hideMark/>
          </w:tcPr>
          <w:p w14:paraId="0F2A94E1" w14:textId="77777777" w:rsidR="0019353C" w:rsidRPr="00EA5A3A" w:rsidRDefault="0019353C" w:rsidP="0019353C">
            <w:pPr>
              <w:spacing w:after="0" w:line="240" w:lineRule="auto"/>
              <w:jc w:val="center"/>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Province</w:t>
            </w:r>
          </w:p>
        </w:tc>
        <w:tc>
          <w:tcPr>
            <w:tcW w:w="0" w:type="auto"/>
            <w:tcBorders>
              <w:bottom w:val="single" w:sz="4" w:space="0" w:color="auto"/>
            </w:tcBorders>
            <w:vAlign w:val="center"/>
            <w:hideMark/>
          </w:tcPr>
          <w:p w14:paraId="6F9E39DA" w14:textId="77777777" w:rsidR="0019353C" w:rsidRPr="00EA5A3A" w:rsidRDefault="0019353C" w:rsidP="0019353C">
            <w:pPr>
              <w:spacing w:after="0" w:line="240" w:lineRule="auto"/>
              <w:jc w:val="center"/>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Capture period</w:t>
            </w:r>
          </w:p>
        </w:tc>
        <w:tc>
          <w:tcPr>
            <w:tcW w:w="0" w:type="auto"/>
            <w:tcBorders>
              <w:bottom w:val="single" w:sz="4" w:space="0" w:color="auto"/>
            </w:tcBorders>
            <w:vAlign w:val="center"/>
            <w:hideMark/>
          </w:tcPr>
          <w:p w14:paraId="241E504A" w14:textId="77777777" w:rsidR="0019353C" w:rsidRPr="00EA5A3A" w:rsidRDefault="0019353C" w:rsidP="0019353C">
            <w:pPr>
              <w:spacing w:after="0" w:line="240" w:lineRule="auto"/>
              <w:jc w:val="center"/>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Sampling months</w:t>
            </w:r>
          </w:p>
        </w:tc>
        <w:tc>
          <w:tcPr>
            <w:tcW w:w="0" w:type="auto"/>
            <w:tcBorders>
              <w:bottom w:val="single" w:sz="4" w:space="0" w:color="auto"/>
            </w:tcBorders>
            <w:vAlign w:val="center"/>
            <w:hideMark/>
          </w:tcPr>
          <w:p w14:paraId="39FAF688"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Trap-nights, n</w:t>
            </w:r>
          </w:p>
        </w:tc>
        <w:tc>
          <w:tcPr>
            <w:tcW w:w="0" w:type="auto"/>
            <w:tcBorders>
              <w:bottom w:val="single" w:sz="4" w:space="0" w:color="auto"/>
            </w:tcBorders>
            <w:vAlign w:val="center"/>
            <w:hideMark/>
          </w:tcPr>
          <w:p w14:paraId="6BD09C77"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Positive trap-nights, n (%)</w:t>
            </w:r>
          </w:p>
        </w:tc>
        <w:tc>
          <w:tcPr>
            <w:tcW w:w="0" w:type="auto"/>
            <w:tcBorders>
              <w:bottom w:val="single" w:sz="4" w:space="0" w:color="auto"/>
            </w:tcBorders>
            <w:vAlign w:val="center"/>
            <w:hideMark/>
          </w:tcPr>
          <w:p w14:paraId="3D0F7200"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Sand flies, n</w:t>
            </w:r>
          </w:p>
        </w:tc>
        <w:tc>
          <w:tcPr>
            <w:tcW w:w="0" w:type="auto"/>
            <w:tcBorders>
              <w:bottom w:val="single" w:sz="4" w:space="0" w:color="auto"/>
            </w:tcBorders>
            <w:vAlign w:val="center"/>
            <w:hideMark/>
          </w:tcPr>
          <w:p w14:paraId="14952BB7"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Captures/trap-night</w:t>
            </w:r>
          </w:p>
        </w:tc>
        <w:tc>
          <w:tcPr>
            <w:tcW w:w="0" w:type="auto"/>
            <w:tcBorders>
              <w:bottom w:val="single" w:sz="4" w:space="0" w:color="auto"/>
            </w:tcBorders>
            <w:vAlign w:val="center"/>
            <w:hideMark/>
          </w:tcPr>
          <w:p w14:paraId="39BACA6C" w14:textId="77777777" w:rsidR="0019353C" w:rsidRPr="00EA5A3A" w:rsidRDefault="0019353C" w:rsidP="0019353C">
            <w:pPr>
              <w:spacing w:after="0" w:line="240" w:lineRule="auto"/>
              <w:jc w:val="center"/>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Peak capture month/window</w:t>
            </w:r>
          </w:p>
        </w:tc>
        <w:tc>
          <w:tcPr>
            <w:tcW w:w="0" w:type="auto"/>
            <w:tcBorders>
              <w:bottom w:val="single" w:sz="4" w:space="0" w:color="auto"/>
            </w:tcBorders>
            <w:vAlign w:val="center"/>
            <w:hideMark/>
          </w:tcPr>
          <w:p w14:paraId="4DF45AE3" w14:textId="77777777" w:rsidR="0019353C" w:rsidRPr="00EA5A3A" w:rsidRDefault="0019353C" w:rsidP="0019353C">
            <w:pPr>
              <w:spacing w:after="0" w:line="240" w:lineRule="auto"/>
              <w:jc w:val="center"/>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SIAS station(s) used</w:t>
            </w:r>
          </w:p>
        </w:tc>
        <w:tc>
          <w:tcPr>
            <w:tcW w:w="0" w:type="auto"/>
            <w:tcBorders>
              <w:bottom w:val="single" w:sz="4" w:space="0" w:color="auto"/>
            </w:tcBorders>
            <w:vAlign w:val="center"/>
            <w:hideMark/>
          </w:tcPr>
          <w:p w14:paraId="324FA582"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Mean temperature of matched decades, °C</w:t>
            </w:r>
          </w:p>
        </w:tc>
        <w:tc>
          <w:tcPr>
            <w:tcW w:w="0" w:type="auto"/>
            <w:tcBorders>
              <w:bottom w:val="single" w:sz="4" w:space="0" w:color="auto"/>
            </w:tcBorders>
            <w:vAlign w:val="center"/>
            <w:hideMark/>
          </w:tcPr>
          <w:p w14:paraId="348D4D69"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Mean precipitation of matched decades, mm</w:t>
            </w:r>
          </w:p>
        </w:tc>
        <w:tc>
          <w:tcPr>
            <w:tcW w:w="0" w:type="auto"/>
            <w:tcBorders>
              <w:bottom w:val="single" w:sz="4" w:space="0" w:color="auto"/>
            </w:tcBorders>
            <w:vAlign w:val="center"/>
            <w:hideMark/>
          </w:tcPr>
          <w:p w14:paraId="2BDF7F2D"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Cumulative precipitation of unique matched decades, mm</w:t>
            </w:r>
          </w:p>
        </w:tc>
        <w:tc>
          <w:tcPr>
            <w:tcW w:w="0" w:type="auto"/>
            <w:tcBorders>
              <w:bottom w:val="single" w:sz="4" w:space="0" w:color="auto"/>
            </w:tcBorders>
            <w:vAlign w:val="center"/>
            <w:hideMark/>
          </w:tcPr>
          <w:p w14:paraId="381EA682" w14:textId="77777777" w:rsidR="0019353C" w:rsidRPr="00EA5A3A" w:rsidRDefault="0019353C" w:rsidP="0019353C">
            <w:pPr>
              <w:spacing w:after="0" w:line="240" w:lineRule="auto"/>
              <w:jc w:val="right"/>
              <w:rPr>
                <w:rFonts w:ascii="Times New Roman" w:eastAsia="Times New Roman" w:hAnsi="Times New Roman" w:cs="Times New Roman"/>
                <w:b/>
                <w:bCs/>
                <w:kern w:val="0"/>
                <w:sz w:val="18"/>
                <w:szCs w:val="18"/>
                <w:lang w:eastAsia="it-IT"/>
                <w14:ligatures w14:val="none"/>
              </w:rPr>
            </w:pPr>
            <w:r w:rsidRPr="00EA5A3A">
              <w:rPr>
                <w:rFonts w:ascii="Times New Roman" w:eastAsia="Times New Roman" w:hAnsi="Times New Roman" w:cs="Times New Roman"/>
                <w:b/>
                <w:bCs/>
                <w:kern w:val="0"/>
                <w:sz w:val="18"/>
                <w:szCs w:val="18"/>
                <w:lang w:eastAsia="it-IT"/>
                <w14:ligatures w14:val="none"/>
              </w:rPr>
              <w:t>Mean precipitation in previous 3 decades, mm</w:t>
            </w:r>
          </w:p>
        </w:tc>
      </w:tr>
      <w:tr w:rsidR="0019353C" w:rsidRPr="00EA5A3A" w14:paraId="042C23C9" w14:textId="77777777">
        <w:trPr>
          <w:tblCellSpacing w:w="15" w:type="dxa"/>
        </w:trPr>
        <w:tc>
          <w:tcPr>
            <w:tcW w:w="0" w:type="auto"/>
            <w:vAlign w:val="center"/>
            <w:hideMark/>
          </w:tcPr>
          <w:p w14:paraId="4B0DCBBD"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2022</w:t>
            </w:r>
          </w:p>
        </w:tc>
        <w:tc>
          <w:tcPr>
            <w:tcW w:w="0" w:type="auto"/>
            <w:vAlign w:val="center"/>
            <w:hideMark/>
          </w:tcPr>
          <w:p w14:paraId="6B4DEB92"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Agrigento</w:t>
            </w:r>
          </w:p>
        </w:tc>
        <w:tc>
          <w:tcPr>
            <w:tcW w:w="0" w:type="auto"/>
            <w:vAlign w:val="center"/>
            <w:hideMark/>
          </w:tcPr>
          <w:p w14:paraId="27533F0B"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01 Jun–26 Oct</w:t>
            </w:r>
          </w:p>
        </w:tc>
        <w:tc>
          <w:tcPr>
            <w:tcW w:w="0" w:type="auto"/>
            <w:vAlign w:val="center"/>
            <w:hideMark/>
          </w:tcPr>
          <w:p w14:paraId="3FA65E57"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Jun, Aug, Sep, Oct</w:t>
            </w:r>
          </w:p>
        </w:tc>
        <w:tc>
          <w:tcPr>
            <w:tcW w:w="0" w:type="auto"/>
            <w:vAlign w:val="center"/>
            <w:hideMark/>
          </w:tcPr>
          <w:p w14:paraId="6C7E052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5</w:t>
            </w:r>
          </w:p>
        </w:tc>
        <w:tc>
          <w:tcPr>
            <w:tcW w:w="0" w:type="auto"/>
            <w:vAlign w:val="center"/>
            <w:hideMark/>
          </w:tcPr>
          <w:p w14:paraId="39995375"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5 (100.0)</w:t>
            </w:r>
          </w:p>
        </w:tc>
        <w:tc>
          <w:tcPr>
            <w:tcW w:w="0" w:type="auto"/>
            <w:vAlign w:val="center"/>
            <w:hideMark/>
          </w:tcPr>
          <w:p w14:paraId="4A238DB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2,938</w:t>
            </w:r>
          </w:p>
        </w:tc>
        <w:tc>
          <w:tcPr>
            <w:tcW w:w="0" w:type="auto"/>
            <w:vAlign w:val="center"/>
            <w:hideMark/>
          </w:tcPr>
          <w:p w14:paraId="50FF7F24"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587.6</w:t>
            </w:r>
          </w:p>
        </w:tc>
        <w:tc>
          <w:tcPr>
            <w:tcW w:w="0" w:type="auto"/>
            <w:vAlign w:val="center"/>
            <w:hideMark/>
          </w:tcPr>
          <w:p w14:paraId="74BD58A0"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September</w:t>
            </w:r>
          </w:p>
        </w:tc>
        <w:tc>
          <w:tcPr>
            <w:tcW w:w="0" w:type="auto"/>
            <w:vAlign w:val="center"/>
            <w:hideMark/>
          </w:tcPr>
          <w:p w14:paraId="1EFDD615"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Sciacca</w:t>
            </w:r>
          </w:p>
        </w:tc>
        <w:tc>
          <w:tcPr>
            <w:tcW w:w="0" w:type="auto"/>
            <w:vAlign w:val="center"/>
            <w:hideMark/>
          </w:tcPr>
          <w:p w14:paraId="0B0AA319"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23.9</w:t>
            </w:r>
          </w:p>
        </w:tc>
        <w:tc>
          <w:tcPr>
            <w:tcW w:w="0" w:type="auto"/>
            <w:vAlign w:val="center"/>
            <w:hideMark/>
          </w:tcPr>
          <w:p w14:paraId="321FA3CA"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23.4</w:t>
            </w:r>
          </w:p>
        </w:tc>
        <w:tc>
          <w:tcPr>
            <w:tcW w:w="0" w:type="auto"/>
            <w:vAlign w:val="center"/>
            <w:hideMark/>
          </w:tcPr>
          <w:p w14:paraId="02DB4E95"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117.0</w:t>
            </w:r>
          </w:p>
        </w:tc>
        <w:tc>
          <w:tcPr>
            <w:tcW w:w="0" w:type="auto"/>
            <w:vAlign w:val="center"/>
            <w:hideMark/>
          </w:tcPr>
          <w:p w14:paraId="32626792"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57.6</w:t>
            </w:r>
          </w:p>
        </w:tc>
      </w:tr>
      <w:tr w:rsidR="0019353C" w:rsidRPr="00EA5A3A" w14:paraId="3934FBA3" w14:textId="77777777">
        <w:trPr>
          <w:tblCellSpacing w:w="15" w:type="dxa"/>
        </w:trPr>
        <w:tc>
          <w:tcPr>
            <w:tcW w:w="0" w:type="auto"/>
            <w:vAlign w:val="center"/>
            <w:hideMark/>
          </w:tcPr>
          <w:p w14:paraId="2C659509"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2022</w:t>
            </w:r>
          </w:p>
        </w:tc>
        <w:tc>
          <w:tcPr>
            <w:tcW w:w="0" w:type="auto"/>
            <w:vAlign w:val="center"/>
            <w:hideMark/>
          </w:tcPr>
          <w:p w14:paraId="50134AE4"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Caltanissetta</w:t>
            </w:r>
          </w:p>
        </w:tc>
        <w:tc>
          <w:tcPr>
            <w:tcW w:w="0" w:type="auto"/>
            <w:vAlign w:val="center"/>
            <w:hideMark/>
          </w:tcPr>
          <w:p w14:paraId="0F2CF7C1"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06 May–20 Oct</w:t>
            </w:r>
          </w:p>
        </w:tc>
        <w:tc>
          <w:tcPr>
            <w:tcW w:w="0" w:type="auto"/>
            <w:vAlign w:val="center"/>
            <w:hideMark/>
          </w:tcPr>
          <w:p w14:paraId="4B29624E"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May–Oct</w:t>
            </w:r>
          </w:p>
        </w:tc>
        <w:tc>
          <w:tcPr>
            <w:tcW w:w="0" w:type="auto"/>
            <w:vAlign w:val="center"/>
            <w:hideMark/>
          </w:tcPr>
          <w:p w14:paraId="0DAD3736"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17</w:t>
            </w:r>
          </w:p>
        </w:tc>
        <w:tc>
          <w:tcPr>
            <w:tcW w:w="0" w:type="auto"/>
            <w:vAlign w:val="center"/>
            <w:hideMark/>
          </w:tcPr>
          <w:p w14:paraId="492BC32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16 (94.1)</w:t>
            </w:r>
          </w:p>
        </w:tc>
        <w:tc>
          <w:tcPr>
            <w:tcW w:w="0" w:type="auto"/>
            <w:vAlign w:val="center"/>
            <w:hideMark/>
          </w:tcPr>
          <w:p w14:paraId="2EEB3D7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12,308</w:t>
            </w:r>
          </w:p>
        </w:tc>
        <w:tc>
          <w:tcPr>
            <w:tcW w:w="0" w:type="auto"/>
            <w:vAlign w:val="center"/>
            <w:hideMark/>
          </w:tcPr>
          <w:p w14:paraId="11A0ABF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724.0</w:t>
            </w:r>
          </w:p>
        </w:tc>
        <w:tc>
          <w:tcPr>
            <w:tcW w:w="0" w:type="auto"/>
            <w:vAlign w:val="center"/>
            <w:hideMark/>
          </w:tcPr>
          <w:p w14:paraId="5BF2A229"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September</w:t>
            </w:r>
          </w:p>
        </w:tc>
        <w:tc>
          <w:tcPr>
            <w:tcW w:w="0" w:type="auto"/>
            <w:vAlign w:val="center"/>
            <w:hideMark/>
          </w:tcPr>
          <w:p w14:paraId="0643E0E8"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Caltanissetta</w:t>
            </w:r>
          </w:p>
        </w:tc>
        <w:tc>
          <w:tcPr>
            <w:tcW w:w="0" w:type="auto"/>
            <w:vAlign w:val="center"/>
            <w:hideMark/>
          </w:tcPr>
          <w:p w14:paraId="7517C7DF"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23.3</w:t>
            </w:r>
          </w:p>
        </w:tc>
        <w:tc>
          <w:tcPr>
            <w:tcW w:w="0" w:type="auto"/>
            <w:vAlign w:val="center"/>
            <w:hideMark/>
          </w:tcPr>
          <w:p w14:paraId="2C5B9A91"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13.1</w:t>
            </w:r>
          </w:p>
        </w:tc>
        <w:tc>
          <w:tcPr>
            <w:tcW w:w="0" w:type="auto"/>
            <w:vAlign w:val="center"/>
            <w:hideMark/>
          </w:tcPr>
          <w:p w14:paraId="51457D86"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150.4</w:t>
            </w:r>
          </w:p>
        </w:tc>
        <w:tc>
          <w:tcPr>
            <w:tcW w:w="0" w:type="auto"/>
            <w:vAlign w:val="center"/>
            <w:hideMark/>
          </w:tcPr>
          <w:p w14:paraId="71ED5724"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23.5</w:t>
            </w:r>
          </w:p>
        </w:tc>
      </w:tr>
      <w:tr w:rsidR="0019353C" w:rsidRPr="00EA5A3A" w14:paraId="14E336CB" w14:textId="77777777">
        <w:trPr>
          <w:tblCellSpacing w:w="15" w:type="dxa"/>
        </w:trPr>
        <w:tc>
          <w:tcPr>
            <w:tcW w:w="0" w:type="auto"/>
            <w:vAlign w:val="center"/>
            <w:hideMark/>
          </w:tcPr>
          <w:p w14:paraId="40A663E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2023</w:t>
            </w:r>
          </w:p>
        </w:tc>
        <w:tc>
          <w:tcPr>
            <w:tcW w:w="0" w:type="auto"/>
            <w:vAlign w:val="center"/>
            <w:hideMark/>
          </w:tcPr>
          <w:p w14:paraId="4A54280E"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Agrigento</w:t>
            </w:r>
          </w:p>
        </w:tc>
        <w:tc>
          <w:tcPr>
            <w:tcW w:w="0" w:type="auto"/>
            <w:vAlign w:val="center"/>
            <w:hideMark/>
          </w:tcPr>
          <w:p w14:paraId="19917A54"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18 Jul–30 Oct</w:t>
            </w:r>
          </w:p>
        </w:tc>
        <w:tc>
          <w:tcPr>
            <w:tcW w:w="0" w:type="auto"/>
            <w:vAlign w:val="center"/>
            <w:hideMark/>
          </w:tcPr>
          <w:p w14:paraId="7D0EA8CD"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Jul–Oct</w:t>
            </w:r>
          </w:p>
        </w:tc>
        <w:tc>
          <w:tcPr>
            <w:tcW w:w="0" w:type="auto"/>
            <w:vAlign w:val="center"/>
            <w:hideMark/>
          </w:tcPr>
          <w:p w14:paraId="366EBAD5"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15</w:t>
            </w:r>
          </w:p>
        </w:tc>
        <w:tc>
          <w:tcPr>
            <w:tcW w:w="0" w:type="auto"/>
            <w:vAlign w:val="center"/>
            <w:hideMark/>
          </w:tcPr>
          <w:p w14:paraId="510248AE"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 (86.7)</w:t>
            </w:r>
          </w:p>
        </w:tc>
        <w:tc>
          <w:tcPr>
            <w:tcW w:w="0" w:type="auto"/>
            <w:vAlign w:val="center"/>
            <w:hideMark/>
          </w:tcPr>
          <w:p w14:paraId="5FAB2A1A"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4,124</w:t>
            </w:r>
          </w:p>
        </w:tc>
        <w:tc>
          <w:tcPr>
            <w:tcW w:w="0" w:type="auto"/>
            <w:vAlign w:val="center"/>
            <w:hideMark/>
          </w:tcPr>
          <w:p w14:paraId="447B210E"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274.9</w:t>
            </w:r>
          </w:p>
        </w:tc>
        <w:tc>
          <w:tcPr>
            <w:tcW w:w="0" w:type="auto"/>
            <w:vAlign w:val="center"/>
            <w:hideMark/>
          </w:tcPr>
          <w:p w14:paraId="42AFE85B"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September</w:t>
            </w:r>
          </w:p>
        </w:tc>
        <w:tc>
          <w:tcPr>
            <w:tcW w:w="0" w:type="auto"/>
            <w:vAlign w:val="center"/>
            <w:hideMark/>
          </w:tcPr>
          <w:p w14:paraId="7171D5D4"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Sciacca</w:t>
            </w:r>
          </w:p>
        </w:tc>
        <w:tc>
          <w:tcPr>
            <w:tcW w:w="0" w:type="auto"/>
            <w:vAlign w:val="center"/>
            <w:hideMark/>
          </w:tcPr>
          <w:p w14:paraId="3725200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25.7</w:t>
            </w:r>
          </w:p>
        </w:tc>
        <w:tc>
          <w:tcPr>
            <w:tcW w:w="0" w:type="auto"/>
            <w:vAlign w:val="center"/>
            <w:hideMark/>
          </w:tcPr>
          <w:p w14:paraId="26496EC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2.4</w:t>
            </w:r>
          </w:p>
        </w:tc>
        <w:tc>
          <w:tcPr>
            <w:tcW w:w="0" w:type="auto"/>
            <w:vAlign w:val="center"/>
            <w:hideMark/>
          </w:tcPr>
          <w:p w14:paraId="6A2A91EA"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26.4</w:t>
            </w:r>
          </w:p>
        </w:tc>
        <w:tc>
          <w:tcPr>
            <w:tcW w:w="0" w:type="auto"/>
            <w:vAlign w:val="center"/>
            <w:hideMark/>
          </w:tcPr>
          <w:p w14:paraId="7E2CB9D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6.0</w:t>
            </w:r>
          </w:p>
        </w:tc>
      </w:tr>
      <w:tr w:rsidR="0019353C" w:rsidRPr="00EA5A3A" w14:paraId="4D666F64" w14:textId="77777777">
        <w:trPr>
          <w:tblCellSpacing w:w="15" w:type="dxa"/>
        </w:trPr>
        <w:tc>
          <w:tcPr>
            <w:tcW w:w="0" w:type="auto"/>
            <w:vAlign w:val="center"/>
            <w:hideMark/>
          </w:tcPr>
          <w:p w14:paraId="6BB9C59D"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2023</w:t>
            </w:r>
          </w:p>
        </w:tc>
        <w:tc>
          <w:tcPr>
            <w:tcW w:w="0" w:type="auto"/>
            <w:vAlign w:val="center"/>
            <w:hideMark/>
          </w:tcPr>
          <w:p w14:paraId="50DEF6E5"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Caltanissetta</w:t>
            </w:r>
          </w:p>
        </w:tc>
        <w:tc>
          <w:tcPr>
            <w:tcW w:w="0" w:type="auto"/>
            <w:vAlign w:val="center"/>
            <w:hideMark/>
          </w:tcPr>
          <w:p w14:paraId="14B28789"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05 May–26 Oct</w:t>
            </w:r>
          </w:p>
        </w:tc>
        <w:tc>
          <w:tcPr>
            <w:tcW w:w="0" w:type="auto"/>
            <w:vAlign w:val="center"/>
            <w:hideMark/>
          </w:tcPr>
          <w:p w14:paraId="20064C2B"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May–Oct</w:t>
            </w:r>
          </w:p>
        </w:tc>
        <w:tc>
          <w:tcPr>
            <w:tcW w:w="0" w:type="auto"/>
            <w:vAlign w:val="center"/>
            <w:hideMark/>
          </w:tcPr>
          <w:p w14:paraId="2CA4C658"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w:t>
            </w:r>
          </w:p>
        </w:tc>
        <w:tc>
          <w:tcPr>
            <w:tcW w:w="0" w:type="auto"/>
            <w:vAlign w:val="center"/>
            <w:hideMark/>
          </w:tcPr>
          <w:p w14:paraId="4859E4B3"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19 (95.0)</w:t>
            </w:r>
          </w:p>
        </w:tc>
        <w:tc>
          <w:tcPr>
            <w:tcW w:w="0" w:type="auto"/>
            <w:vAlign w:val="center"/>
            <w:hideMark/>
          </w:tcPr>
          <w:p w14:paraId="3BA792DA"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13,053</w:t>
            </w:r>
          </w:p>
        </w:tc>
        <w:tc>
          <w:tcPr>
            <w:tcW w:w="0" w:type="auto"/>
            <w:vAlign w:val="center"/>
            <w:hideMark/>
          </w:tcPr>
          <w:p w14:paraId="26B97749"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652.7</w:t>
            </w:r>
          </w:p>
        </w:tc>
        <w:tc>
          <w:tcPr>
            <w:tcW w:w="0" w:type="auto"/>
            <w:vAlign w:val="center"/>
            <w:hideMark/>
          </w:tcPr>
          <w:p w14:paraId="3421E6F0"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September–October</w:t>
            </w:r>
          </w:p>
        </w:tc>
        <w:tc>
          <w:tcPr>
            <w:tcW w:w="0" w:type="auto"/>
            <w:vAlign w:val="center"/>
            <w:hideMark/>
          </w:tcPr>
          <w:p w14:paraId="13A5609A"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Caltanissetta</w:t>
            </w:r>
          </w:p>
        </w:tc>
        <w:tc>
          <w:tcPr>
            <w:tcW w:w="0" w:type="auto"/>
            <w:vAlign w:val="center"/>
            <w:hideMark/>
          </w:tcPr>
          <w:p w14:paraId="4A77BE8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22.1</w:t>
            </w:r>
          </w:p>
        </w:tc>
        <w:tc>
          <w:tcPr>
            <w:tcW w:w="0" w:type="auto"/>
            <w:vAlign w:val="center"/>
            <w:hideMark/>
          </w:tcPr>
          <w:p w14:paraId="6ED40412"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12.1</w:t>
            </w:r>
          </w:p>
        </w:tc>
        <w:tc>
          <w:tcPr>
            <w:tcW w:w="0" w:type="auto"/>
            <w:vAlign w:val="center"/>
            <w:hideMark/>
          </w:tcPr>
          <w:p w14:paraId="56AD22FE"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135.6</w:t>
            </w:r>
          </w:p>
        </w:tc>
        <w:tc>
          <w:tcPr>
            <w:tcW w:w="0" w:type="auto"/>
            <w:vAlign w:val="center"/>
            <w:hideMark/>
          </w:tcPr>
          <w:p w14:paraId="4B245F3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32.1</w:t>
            </w:r>
          </w:p>
        </w:tc>
      </w:tr>
      <w:tr w:rsidR="0019353C" w:rsidRPr="00EA5A3A" w14:paraId="5321F218" w14:textId="77777777">
        <w:trPr>
          <w:tblCellSpacing w:w="15" w:type="dxa"/>
        </w:trPr>
        <w:tc>
          <w:tcPr>
            <w:tcW w:w="0" w:type="auto"/>
            <w:vAlign w:val="center"/>
            <w:hideMark/>
          </w:tcPr>
          <w:p w14:paraId="6DCC2D1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2023</w:t>
            </w:r>
          </w:p>
        </w:tc>
        <w:tc>
          <w:tcPr>
            <w:tcW w:w="0" w:type="auto"/>
            <w:vAlign w:val="center"/>
            <w:hideMark/>
          </w:tcPr>
          <w:p w14:paraId="4CE9A191"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Palermo</w:t>
            </w:r>
          </w:p>
        </w:tc>
        <w:tc>
          <w:tcPr>
            <w:tcW w:w="0" w:type="auto"/>
            <w:vAlign w:val="center"/>
            <w:hideMark/>
          </w:tcPr>
          <w:p w14:paraId="39E8211A"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04 May–26 Oct</w:t>
            </w:r>
          </w:p>
        </w:tc>
        <w:tc>
          <w:tcPr>
            <w:tcW w:w="0" w:type="auto"/>
            <w:vAlign w:val="center"/>
            <w:hideMark/>
          </w:tcPr>
          <w:p w14:paraId="194AABBA"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May–Oct</w:t>
            </w:r>
          </w:p>
        </w:tc>
        <w:tc>
          <w:tcPr>
            <w:tcW w:w="0" w:type="auto"/>
            <w:vAlign w:val="center"/>
            <w:hideMark/>
          </w:tcPr>
          <w:p w14:paraId="60AACAC5"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26</w:t>
            </w:r>
          </w:p>
        </w:tc>
        <w:tc>
          <w:tcPr>
            <w:tcW w:w="0" w:type="auto"/>
            <w:vAlign w:val="center"/>
            <w:hideMark/>
          </w:tcPr>
          <w:p w14:paraId="1331DD5B"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 (7.7)</w:t>
            </w:r>
          </w:p>
        </w:tc>
        <w:tc>
          <w:tcPr>
            <w:tcW w:w="0" w:type="auto"/>
            <w:vAlign w:val="center"/>
            <w:hideMark/>
          </w:tcPr>
          <w:p w14:paraId="7B05B436"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5</w:t>
            </w:r>
          </w:p>
        </w:tc>
        <w:tc>
          <w:tcPr>
            <w:tcW w:w="0" w:type="auto"/>
            <w:vAlign w:val="center"/>
            <w:hideMark/>
          </w:tcPr>
          <w:p w14:paraId="24DF78C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0.2</w:t>
            </w:r>
          </w:p>
        </w:tc>
        <w:tc>
          <w:tcPr>
            <w:tcW w:w="0" w:type="auto"/>
            <w:vAlign w:val="center"/>
            <w:hideMark/>
          </w:tcPr>
          <w:p w14:paraId="2C281E6A"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July–August, very low activity</w:t>
            </w:r>
          </w:p>
        </w:tc>
        <w:tc>
          <w:tcPr>
            <w:tcW w:w="0" w:type="auto"/>
            <w:vAlign w:val="center"/>
            <w:hideMark/>
          </w:tcPr>
          <w:p w14:paraId="1A2398FC"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Partinico; Termini Imerese</w:t>
            </w:r>
          </w:p>
        </w:tc>
        <w:tc>
          <w:tcPr>
            <w:tcW w:w="0" w:type="auto"/>
            <w:vAlign w:val="center"/>
            <w:hideMark/>
          </w:tcPr>
          <w:p w14:paraId="62B0B22B"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23.1</w:t>
            </w:r>
          </w:p>
        </w:tc>
        <w:tc>
          <w:tcPr>
            <w:tcW w:w="0" w:type="auto"/>
            <w:vAlign w:val="center"/>
            <w:hideMark/>
          </w:tcPr>
          <w:p w14:paraId="2FB0056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15.9</w:t>
            </w:r>
          </w:p>
        </w:tc>
        <w:tc>
          <w:tcPr>
            <w:tcW w:w="0" w:type="auto"/>
            <w:vAlign w:val="center"/>
            <w:hideMark/>
          </w:tcPr>
          <w:p w14:paraId="0ECCC5FF"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250.2</w:t>
            </w:r>
          </w:p>
        </w:tc>
        <w:tc>
          <w:tcPr>
            <w:tcW w:w="0" w:type="auto"/>
            <w:vAlign w:val="center"/>
            <w:hideMark/>
          </w:tcPr>
          <w:p w14:paraId="60D47F3B"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43.6</w:t>
            </w:r>
          </w:p>
        </w:tc>
      </w:tr>
      <w:tr w:rsidR="0019353C" w:rsidRPr="00EA5A3A" w14:paraId="7994E8C4" w14:textId="77777777">
        <w:trPr>
          <w:tblCellSpacing w:w="15" w:type="dxa"/>
        </w:trPr>
        <w:tc>
          <w:tcPr>
            <w:tcW w:w="0" w:type="auto"/>
            <w:vAlign w:val="center"/>
            <w:hideMark/>
          </w:tcPr>
          <w:p w14:paraId="58515FA1"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2024</w:t>
            </w:r>
          </w:p>
        </w:tc>
        <w:tc>
          <w:tcPr>
            <w:tcW w:w="0" w:type="auto"/>
            <w:vAlign w:val="center"/>
            <w:hideMark/>
          </w:tcPr>
          <w:p w14:paraId="44CE8652"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Agrigento</w:t>
            </w:r>
          </w:p>
        </w:tc>
        <w:tc>
          <w:tcPr>
            <w:tcW w:w="0" w:type="auto"/>
            <w:vAlign w:val="center"/>
            <w:hideMark/>
          </w:tcPr>
          <w:p w14:paraId="4203C1AB"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17 Jun–27 Aug</w:t>
            </w:r>
          </w:p>
        </w:tc>
        <w:tc>
          <w:tcPr>
            <w:tcW w:w="0" w:type="auto"/>
            <w:vAlign w:val="center"/>
            <w:hideMark/>
          </w:tcPr>
          <w:p w14:paraId="25299AB5"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Jun–Aug</w:t>
            </w:r>
          </w:p>
        </w:tc>
        <w:tc>
          <w:tcPr>
            <w:tcW w:w="0" w:type="auto"/>
            <w:vAlign w:val="center"/>
            <w:hideMark/>
          </w:tcPr>
          <w:p w14:paraId="4820E693"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w:t>
            </w:r>
          </w:p>
        </w:tc>
        <w:tc>
          <w:tcPr>
            <w:tcW w:w="0" w:type="auto"/>
            <w:vAlign w:val="center"/>
            <w:hideMark/>
          </w:tcPr>
          <w:p w14:paraId="313A608F"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 (100.0)</w:t>
            </w:r>
          </w:p>
        </w:tc>
        <w:tc>
          <w:tcPr>
            <w:tcW w:w="0" w:type="auto"/>
            <w:vAlign w:val="center"/>
            <w:hideMark/>
          </w:tcPr>
          <w:p w14:paraId="2797088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7,981</w:t>
            </w:r>
          </w:p>
        </w:tc>
        <w:tc>
          <w:tcPr>
            <w:tcW w:w="0" w:type="auto"/>
            <w:vAlign w:val="center"/>
            <w:hideMark/>
          </w:tcPr>
          <w:p w14:paraId="682F97FB"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613.9</w:t>
            </w:r>
          </w:p>
        </w:tc>
        <w:tc>
          <w:tcPr>
            <w:tcW w:w="0" w:type="auto"/>
            <w:vAlign w:val="center"/>
            <w:hideMark/>
          </w:tcPr>
          <w:p w14:paraId="04E67013"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July–August</w:t>
            </w:r>
          </w:p>
        </w:tc>
        <w:tc>
          <w:tcPr>
            <w:tcW w:w="0" w:type="auto"/>
            <w:vAlign w:val="center"/>
            <w:hideMark/>
          </w:tcPr>
          <w:p w14:paraId="17662DFF"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Agrigento Mandrascava; Sciacca</w:t>
            </w:r>
          </w:p>
        </w:tc>
        <w:tc>
          <w:tcPr>
            <w:tcW w:w="0" w:type="auto"/>
            <w:vAlign w:val="center"/>
            <w:hideMark/>
          </w:tcPr>
          <w:p w14:paraId="45FF3FBE"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27.9</w:t>
            </w:r>
          </w:p>
        </w:tc>
        <w:tc>
          <w:tcPr>
            <w:tcW w:w="0" w:type="auto"/>
            <w:vAlign w:val="center"/>
            <w:hideMark/>
          </w:tcPr>
          <w:p w14:paraId="6C3D2706"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9.0</w:t>
            </w:r>
          </w:p>
        </w:tc>
        <w:tc>
          <w:tcPr>
            <w:tcW w:w="0" w:type="auto"/>
            <w:vAlign w:val="center"/>
            <w:hideMark/>
          </w:tcPr>
          <w:p w14:paraId="010F0A91"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109.4</w:t>
            </w:r>
          </w:p>
        </w:tc>
        <w:tc>
          <w:tcPr>
            <w:tcW w:w="0" w:type="auto"/>
            <w:vAlign w:val="center"/>
            <w:hideMark/>
          </w:tcPr>
          <w:p w14:paraId="39151A0B"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2.7</w:t>
            </w:r>
          </w:p>
        </w:tc>
      </w:tr>
      <w:tr w:rsidR="0019353C" w:rsidRPr="00EA5A3A" w14:paraId="4E2FD7BB" w14:textId="77777777">
        <w:trPr>
          <w:tblCellSpacing w:w="15" w:type="dxa"/>
        </w:trPr>
        <w:tc>
          <w:tcPr>
            <w:tcW w:w="0" w:type="auto"/>
            <w:vAlign w:val="center"/>
            <w:hideMark/>
          </w:tcPr>
          <w:p w14:paraId="60B2AB86"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2024</w:t>
            </w:r>
          </w:p>
        </w:tc>
        <w:tc>
          <w:tcPr>
            <w:tcW w:w="0" w:type="auto"/>
            <w:vAlign w:val="center"/>
            <w:hideMark/>
          </w:tcPr>
          <w:p w14:paraId="416B2B7E"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Caltanissetta</w:t>
            </w:r>
          </w:p>
        </w:tc>
        <w:tc>
          <w:tcPr>
            <w:tcW w:w="0" w:type="auto"/>
            <w:vAlign w:val="center"/>
            <w:hideMark/>
          </w:tcPr>
          <w:p w14:paraId="47704542"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03 May–11 Oct</w:t>
            </w:r>
          </w:p>
        </w:tc>
        <w:tc>
          <w:tcPr>
            <w:tcW w:w="0" w:type="auto"/>
            <w:vAlign w:val="center"/>
            <w:hideMark/>
          </w:tcPr>
          <w:p w14:paraId="391DCF91"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May–Oct</w:t>
            </w:r>
          </w:p>
        </w:tc>
        <w:tc>
          <w:tcPr>
            <w:tcW w:w="0" w:type="auto"/>
            <w:vAlign w:val="center"/>
            <w:hideMark/>
          </w:tcPr>
          <w:p w14:paraId="47B0B84E"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27</w:t>
            </w:r>
          </w:p>
        </w:tc>
        <w:tc>
          <w:tcPr>
            <w:tcW w:w="0" w:type="auto"/>
            <w:vAlign w:val="center"/>
            <w:hideMark/>
          </w:tcPr>
          <w:p w14:paraId="619B5EE0"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19 (70.4)</w:t>
            </w:r>
          </w:p>
        </w:tc>
        <w:tc>
          <w:tcPr>
            <w:tcW w:w="0" w:type="auto"/>
            <w:vAlign w:val="center"/>
            <w:hideMark/>
          </w:tcPr>
          <w:p w14:paraId="2093AFB6"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34,313</w:t>
            </w:r>
          </w:p>
        </w:tc>
        <w:tc>
          <w:tcPr>
            <w:tcW w:w="0" w:type="auto"/>
            <w:vAlign w:val="center"/>
            <w:hideMark/>
          </w:tcPr>
          <w:p w14:paraId="5CC8A804"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1,270.9</w:t>
            </w:r>
          </w:p>
        </w:tc>
        <w:tc>
          <w:tcPr>
            <w:tcW w:w="0" w:type="auto"/>
            <w:vAlign w:val="center"/>
            <w:hideMark/>
          </w:tcPr>
          <w:p w14:paraId="18E2858F"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June–August</w:t>
            </w:r>
          </w:p>
        </w:tc>
        <w:tc>
          <w:tcPr>
            <w:tcW w:w="0" w:type="auto"/>
            <w:vAlign w:val="center"/>
            <w:hideMark/>
          </w:tcPr>
          <w:p w14:paraId="452A8C33"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Caltanissetta; Gela</w:t>
            </w:r>
          </w:p>
        </w:tc>
        <w:tc>
          <w:tcPr>
            <w:tcW w:w="0" w:type="auto"/>
            <w:vAlign w:val="center"/>
            <w:hideMark/>
          </w:tcPr>
          <w:p w14:paraId="0C5164C9"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22.8</w:t>
            </w:r>
          </w:p>
        </w:tc>
        <w:tc>
          <w:tcPr>
            <w:tcW w:w="0" w:type="auto"/>
            <w:vAlign w:val="center"/>
            <w:hideMark/>
          </w:tcPr>
          <w:p w14:paraId="299427D8"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14.1</w:t>
            </w:r>
          </w:p>
        </w:tc>
        <w:tc>
          <w:tcPr>
            <w:tcW w:w="0" w:type="auto"/>
            <w:vAlign w:val="center"/>
            <w:hideMark/>
          </w:tcPr>
          <w:p w14:paraId="33C9657B"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281.0</w:t>
            </w:r>
          </w:p>
        </w:tc>
        <w:tc>
          <w:tcPr>
            <w:tcW w:w="0" w:type="auto"/>
            <w:vAlign w:val="center"/>
            <w:hideMark/>
          </w:tcPr>
          <w:p w14:paraId="5046FB9F"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32.7</w:t>
            </w:r>
          </w:p>
        </w:tc>
      </w:tr>
      <w:tr w:rsidR="0019353C" w:rsidRPr="00EA5A3A" w14:paraId="383EA479" w14:textId="77777777" w:rsidTr="00EA5A3A">
        <w:trPr>
          <w:tblCellSpacing w:w="15" w:type="dxa"/>
        </w:trPr>
        <w:tc>
          <w:tcPr>
            <w:tcW w:w="0" w:type="auto"/>
            <w:tcBorders>
              <w:bottom w:val="single" w:sz="4" w:space="0" w:color="auto"/>
            </w:tcBorders>
            <w:vAlign w:val="center"/>
            <w:hideMark/>
          </w:tcPr>
          <w:p w14:paraId="1C73FA07"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2024</w:t>
            </w:r>
          </w:p>
        </w:tc>
        <w:tc>
          <w:tcPr>
            <w:tcW w:w="0" w:type="auto"/>
            <w:tcBorders>
              <w:bottom w:val="single" w:sz="4" w:space="0" w:color="auto"/>
            </w:tcBorders>
            <w:vAlign w:val="center"/>
            <w:hideMark/>
          </w:tcPr>
          <w:p w14:paraId="284B90E6"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Palermo</w:t>
            </w:r>
          </w:p>
        </w:tc>
        <w:tc>
          <w:tcPr>
            <w:tcW w:w="0" w:type="auto"/>
            <w:tcBorders>
              <w:bottom w:val="single" w:sz="4" w:space="0" w:color="auto"/>
            </w:tcBorders>
            <w:vAlign w:val="center"/>
            <w:hideMark/>
          </w:tcPr>
          <w:p w14:paraId="76027D6D"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05 May–17 Oct</w:t>
            </w:r>
          </w:p>
        </w:tc>
        <w:tc>
          <w:tcPr>
            <w:tcW w:w="0" w:type="auto"/>
            <w:tcBorders>
              <w:bottom w:val="single" w:sz="4" w:space="0" w:color="auto"/>
            </w:tcBorders>
            <w:vAlign w:val="center"/>
            <w:hideMark/>
          </w:tcPr>
          <w:p w14:paraId="5892AF70"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May–Oct</w:t>
            </w:r>
          </w:p>
        </w:tc>
        <w:tc>
          <w:tcPr>
            <w:tcW w:w="0" w:type="auto"/>
            <w:tcBorders>
              <w:bottom w:val="single" w:sz="4" w:space="0" w:color="auto"/>
            </w:tcBorders>
            <w:vAlign w:val="center"/>
            <w:hideMark/>
          </w:tcPr>
          <w:p w14:paraId="0E614ACF"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89</w:t>
            </w:r>
          </w:p>
        </w:tc>
        <w:tc>
          <w:tcPr>
            <w:tcW w:w="0" w:type="auto"/>
            <w:tcBorders>
              <w:bottom w:val="single" w:sz="4" w:space="0" w:color="auto"/>
            </w:tcBorders>
            <w:vAlign w:val="center"/>
            <w:hideMark/>
          </w:tcPr>
          <w:p w14:paraId="457FA8FC"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13 (14.6)</w:t>
            </w:r>
          </w:p>
        </w:tc>
        <w:tc>
          <w:tcPr>
            <w:tcW w:w="0" w:type="auto"/>
            <w:tcBorders>
              <w:bottom w:val="single" w:sz="4" w:space="0" w:color="auto"/>
            </w:tcBorders>
            <w:vAlign w:val="center"/>
            <w:hideMark/>
          </w:tcPr>
          <w:p w14:paraId="4D82B7D1"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61</w:t>
            </w:r>
          </w:p>
        </w:tc>
        <w:tc>
          <w:tcPr>
            <w:tcW w:w="0" w:type="auto"/>
            <w:tcBorders>
              <w:bottom w:val="single" w:sz="4" w:space="0" w:color="auto"/>
            </w:tcBorders>
            <w:vAlign w:val="center"/>
            <w:hideMark/>
          </w:tcPr>
          <w:p w14:paraId="2AD2B8D3"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0.7</w:t>
            </w:r>
          </w:p>
        </w:tc>
        <w:tc>
          <w:tcPr>
            <w:tcW w:w="0" w:type="auto"/>
            <w:tcBorders>
              <w:bottom w:val="single" w:sz="4" w:space="0" w:color="auto"/>
            </w:tcBorders>
            <w:vAlign w:val="center"/>
            <w:hideMark/>
          </w:tcPr>
          <w:p w14:paraId="71093FB4"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August–October, very low activity</w:t>
            </w:r>
          </w:p>
        </w:tc>
        <w:tc>
          <w:tcPr>
            <w:tcW w:w="0" w:type="auto"/>
            <w:tcBorders>
              <w:bottom w:val="single" w:sz="4" w:space="0" w:color="auto"/>
            </w:tcBorders>
            <w:vAlign w:val="center"/>
            <w:hideMark/>
          </w:tcPr>
          <w:p w14:paraId="0ADDE06B" w14:textId="77777777" w:rsidR="0019353C" w:rsidRPr="00EA5A3A" w:rsidRDefault="0019353C" w:rsidP="0019353C">
            <w:pPr>
              <w:spacing w:after="0" w:line="240" w:lineRule="auto"/>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Alia; Castelbuono; Corleone; Palermo; Partinico; Prizzi; Termini Imerese</w:t>
            </w:r>
          </w:p>
        </w:tc>
        <w:tc>
          <w:tcPr>
            <w:tcW w:w="0" w:type="auto"/>
            <w:tcBorders>
              <w:bottom w:val="single" w:sz="4" w:space="0" w:color="auto"/>
            </w:tcBorders>
            <w:vAlign w:val="center"/>
            <w:hideMark/>
          </w:tcPr>
          <w:p w14:paraId="7CF71E71"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23.8</w:t>
            </w:r>
          </w:p>
        </w:tc>
        <w:tc>
          <w:tcPr>
            <w:tcW w:w="0" w:type="auto"/>
            <w:tcBorders>
              <w:bottom w:val="single" w:sz="4" w:space="0" w:color="auto"/>
            </w:tcBorders>
            <w:vAlign w:val="center"/>
            <w:hideMark/>
          </w:tcPr>
          <w:p w14:paraId="2F57D062"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11.2</w:t>
            </w:r>
          </w:p>
        </w:tc>
        <w:tc>
          <w:tcPr>
            <w:tcW w:w="0" w:type="auto"/>
            <w:tcBorders>
              <w:bottom w:val="single" w:sz="4" w:space="0" w:color="auto"/>
            </w:tcBorders>
            <w:vAlign w:val="center"/>
            <w:hideMark/>
          </w:tcPr>
          <w:p w14:paraId="56E218D7"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712.2</w:t>
            </w:r>
          </w:p>
        </w:tc>
        <w:tc>
          <w:tcPr>
            <w:tcW w:w="0" w:type="auto"/>
            <w:tcBorders>
              <w:bottom w:val="single" w:sz="4" w:space="0" w:color="auto"/>
            </w:tcBorders>
            <w:vAlign w:val="center"/>
            <w:hideMark/>
          </w:tcPr>
          <w:p w14:paraId="3ADFD6C2" w14:textId="77777777" w:rsidR="0019353C" w:rsidRPr="00EA5A3A" w:rsidRDefault="0019353C" w:rsidP="0019353C">
            <w:pPr>
              <w:spacing w:after="0" w:line="240" w:lineRule="auto"/>
              <w:jc w:val="right"/>
              <w:rPr>
                <w:rFonts w:ascii="Times New Roman" w:eastAsia="Times New Roman" w:hAnsi="Times New Roman" w:cs="Times New Roman"/>
                <w:kern w:val="0"/>
                <w:sz w:val="20"/>
                <w:szCs w:val="20"/>
                <w:lang w:eastAsia="it-IT"/>
                <w14:ligatures w14:val="none"/>
              </w:rPr>
            </w:pPr>
            <w:r w:rsidRPr="00EA5A3A">
              <w:rPr>
                <w:rFonts w:ascii="Times New Roman" w:eastAsia="Times New Roman" w:hAnsi="Times New Roman" w:cs="Times New Roman"/>
                <w:kern w:val="0"/>
                <w:sz w:val="20"/>
                <w:szCs w:val="20"/>
                <w:lang w:eastAsia="it-IT"/>
                <w14:ligatures w14:val="none"/>
              </w:rPr>
              <w:t>26.7</w:t>
            </w:r>
          </w:p>
        </w:tc>
      </w:tr>
    </w:tbl>
    <w:p w14:paraId="5863E61C" w14:textId="5047855F" w:rsidR="00034F5D" w:rsidRPr="00EA5A3A" w:rsidRDefault="0019353C" w:rsidP="00EA5A3A">
      <w:pPr>
        <w:tabs>
          <w:tab w:val="left" w:pos="6210"/>
        </w:tabs>
        <w:rPr>
          <w:rFonts w:ascii="Times New Roman" w:hAnsi="Times New Roman" w:cs="Times New Roman"/>
          <w:sz w:val="16"/>
          <w:szCs w:val="16"/>
        </w:rPr>
      </w:pPr>
      <w:r w:rsidRPr="00EA5A3A">
        <w:rPr>
          <w:rFonts w:ascii="Times New Roman" w:hAnsi="Times New Roman" w:cs="Times New Roman"/>
          <w:sz w:val="16"/>
          <w:szCs w:val="16"/>
        </w:rPr>
        <w:t>The table includes only trap-nights documented during the main entomological season, defined as May–October. Capture period refers to the first and last documented trapping date included in each province-year stratum. Capture data were standardized as sand flies per documented trap-night. Meteorological variables were linked to each capture date using the corresponding decadal SIAS record from the nearest available station. “Matched decades” refers to the climatic decades containing the capture dates. “Previous 3 decades” refers approximately to the 30 days preceding each capture date. Climate–vector relationships were interpreted as descriptive temporal concordance and not as evidence of direct causal effects.</w:t>
      </w:r>
      <w:r w:rsidR="009705E9">
        <w:rPr>
          <w:rFonts w:ascii="Times New Roman" w:hAnsi="Times New Roman" w:cs="Times New Roman"/>
          <w:sz w:val="16"/>
          <w:szCs w:val="16"/>
        </w:rPr>
        <w:t xml:space="preserve"> </w:t>
      </w:r>
      <w:r w:rsidR="009705E9" w:rsidRPr="009705E9">
        <w:rPr>
          <w:rFonts w:ascii="Times New Roman" w:hAnsi="Times New Roman" w:cs="Times New Roman"/>
          <w:sz w:val="16"/>
          <w:szCs w:val="16"/>
        </w:rPr>
        <w:t>Accordingly, the trap-night totals reported in this table differ from the overall trapping effort values described in the manuscript, which include all trapping activities performed throughout the entire study period.</w:t>
      </w:r>
    </w:p>
    <w:sectPr w:rsidR="00034F5D" w:rsidRPr="00EA5A3A" w:rsidSect="0019353C">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visionView w:markup="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8C"/>
    <w:rsid w:val="00034F5D"/>
    <w:rsid w:val="00175AFC"/>
    <w:rsid w:val="0019353C"/>
    <w:rsid w:val="004844F8"/>
    <w:rsid w:val="0073108C"/>
    <w:rsid w:val="00837011"/>
    <w:rsid w:val="009705E9"/>
    <w:rsid w:val="00AA6A14"/>
    <w:rsid w:val="00DC2493"/>
    <w:rsid w:val="00EA5A3A"/>
    <w:rsid w:val="00EF0A99"/>
    <w:rsid w:val="00EF306D"/>
  </w:rsids>
  <m:mathPr>
    <m:mathFont m:val="Cambria Math"/>
    <m:brkBin m:val="before"/>
    <m:brkBinSub m:val="--"/>
    <m:smallFrac m:val="0"/>
    <m:dispDef/>
    <m:lMargin m:val="0"/>
    <m:rMargin m:val="0"/>
    <m:defJc m:val="centerGroup"/>
    <m:wrapIndent m:val="1440"/>
    <m:intLim m:val="subSup"/>
    <m:naryLim m:val="undOvr"/>
  </m:mathPr>
  <w:themeFontLang w:val="it-IT"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3B9B"/>
  <w15:chartTrackingRefBased/>
  <w15:docId w15:val="{1880C7C8-1E69-401B-A59E-354D7750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0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10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10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10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10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1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0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10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10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10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10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1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08C"/>
    <w:rPr>
      <w:rFonts w:eastAsiaTheme="majorEastAsia" w:cstheme="majorBidi"/>
      <w:color w:val="272727" w:themeColor="text1" w:themeTint="D8"/>
    </w:rPr>
  </w:style>
  <w:style w:type="paragraph" w:styleId="Title">
    <w:name w:val="Title"/>
    <w:basedOn w:val="Normal"/>
    <w:next w:val="Normal"/>
    <w:link w:val="TitleChar"/>
    <w:uiPriority w:val="10"/>
    <w:qFormat/>
    <w:rsid w:val="00731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08C"/>
    <w:pPr>
      <w:spacing w:before="160"/>
      <w:jc w:val="center"/>
    </w:pPr>
    <w:rPr>
      <w:i/>
      <w:iCs/>
      <w:color w:val="404040" w:themeColor="text1" w:themeTint="BF"/>
    </w:rPr>
  </w:style>
  <w:style w:type="character" w:customStyle="1" w:styleId="QuoteChar">
    <w:name w:val="Quote Char"/>
    <w:basedOn w:val="DefaultParagraphFont"/>
    <w:link w:val="Quote"/>
    <w:uiPriority w:val="29"/>
    <w:rsid w:val="0073108C"/>
    <w:rPr>
      <w:i/>
      <w:iCs/>
      <w:color w:val="404040" w:themeColor="text1" w:themeTint="BF"/>
    </w:rPr>
  </w:style>
  <w:style w:type="paragraph" w:styleId="ListParagraph">
    <w:name w:val="List Paragraph"/>
    <w:basedOn w:val="Normal"/>
    <w:uiPriority w:val="34"/>
    <w:qFormat/>
    <w:rsid w:val="0073108C"/>
    <w:pPr>
      <w:ind w:left="720"/>
      <w:contextualSpacing/>
    </w:pPr>
  </w:style>
  <w:style w:type="character" w:styleId="IntenseEmphasis">
    <w:name w:val="Intense Emphasis"/>
    <w:basedOn w:val="DefaultParagraphFont"/>
    <w:uiPriority w:val="21"/>
    <w:qFormat/>
    <w:rsid w:val="0073108C"/>
    <w:rPr>
      <w:i/>
      <w:iCs/>
      <w:color w:val="2F5496" w:themeColor="accent1" w:themeShade="BF"/>
    </w:rPr>
  </w:style>
  <w:style w:type="paragraph" w:styleId="IntenseQuote">
    <w:name w:val="Intense Quote"/>
    <w:basedOn w:val="Normal"/>
    <w:next w:val="Normal"/>
    <w:link w:val="IntenseQuoteChar"/>
    <w:uiPriority w:val="30"/>
    <w:qFormat/>
    <w:rsid w:val="007310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108C"/>
    <w:rPr>
      <w:i/>
      <w:iCs/>
      <w:color w:val="2F5496" w:themeColor="accent1" w:themeShade="BF"/>
    </w:rPr>
  </w:style>
  <w:style w:type="character" w:styleId="IntenseReference">
    <w:name w:val="Intense Reference"/>
    <w:basedOn w:val="DefaultParagraphFont"/>
    <w:uiPriority w:val="32"/>
    <w:qFormat/>
    <w:rsid w:val="0073108C"/>
    <w:rPr>
      <w:b/>
      <w:bCs/>
      <w:smallCaps/>
      <w:color w:val="2F5496" w:themeColor="accent1" w:themeShade="BF"/>
      <w:spacing w:val="5"/>
    </w:rPr>
  </w:style>
  <w:style w:type="paragraph" w:styleId="Revision">
    <w:name w:val="Revision"/>
    <w:hidden/>
    <w:uiPriority w:val="99"/>
    <w:semiHidden/>
    <w:rsid w:val="009705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F2B9383-275B-4AE3-B864-5651CCAF7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364</Words>
  <Characters>2079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Bruno</dc:creator>
  <cp:keywords/>
  <dc:description/>
  <cp:lastModifiedBy>Kanalvizhi J</cp:lastModifiedBy>
  <cp:revision>6</cp:revision>
  <dcterms:created xsi:type="dcterms:W3CDTF">2026-05-08T08:29:00Z</dcterms:created>
  <dcterms:modified xsi:type="dcterms:W3CDTF">2026-06-10T14:48:00Z</dcterms:modified>
</cp:coreProperties>
</file>