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48A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center"/>
        <w:rPr>
          <w:rFonts w:hint="default" w:ascii="Times New Roman" w:hAnsi="Times New Roman" w:eastAsia="等线" w:cs="Times New Roman"/>
          <w:i/>
          <w:iCs/>
          <w:color w:val="000000"/>
          <w:sz w:val="24"/>
          <w:szCs w:val="24"/>
          <w:u w:val="none"/>
        </w:rPr>
      </w:pPr>
      <w:r>
        <w:rPr>
          <w:rFonts w:hint="default" w:ascii="Times New Roman" w:hAnsi="Times New Roman" w:eastAsia="等线" w:cs="Times New Roman"/>
          <w:b/>
          <w:bCs/>
          <w:i/>
          <w:iCs/>
          <w:color w:val="000000"/>
          <w:sz w:val="24"/>
          <w:szCs w:val="24"/>
          <w:u w:val="none"/>
        </w:rPr>
        <w:t>Supplementary Table 1  PCR primers for gene cloning and qPCR</w:t>
      </w:r>
    </w:p>
    <w:tbl>
      <w:tblPr>
        <w:tblStyle w:val="2"/>
        <w:tblW w:w="9089" w:type="dxa"/>
        <w:tblInd w:w="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390"/>
        <w:gridCol w:w="6316"/>
      </w:tblGrid>
      <w:tr w14:paraId="649F8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2C38E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Eg174-CT-F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34D1F3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cDNA cloning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6B4A98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GACGGAGCTCGAATTCGGATCCGTGTGACATGGTGCGGGAG</w:t>
            </w:r>
          </w:p>
        </w:tc>
      </w:tr>
      <w:tr w14:paraId="4365F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7E381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Eg174-CT-R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5B9CE1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cDNA cloning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7ECD0E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GTGGACAGCAAATGGGTCGCGGATCCATGGTCACACTGAAAGAG</w:t>
            </w:r>
          </w:p>
        </w:tc>
      </w:tr>
      <w:tr w14:paraId="6951C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53D5D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Eg174-FL-F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6CAE14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cDNA cloning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4091C0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GGACAGCAAATGGGTCGCGGATCCATGGCATCCCGCGAGAGAA</w:t>
            </w:r>
          </w:p>
        </w:tc>
      </w:tr>
      <w:tr w14:paraId="6EF71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0410E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Eg174-FL-R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58EA38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cDNA cloning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0360D3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GTCGACGGAGCTCGAATTCGGATCCGTGTGACATGGTGCGGGAG</w:t>
            </w:r>
          </w:p>
        </w:tc>
      </w:tr>
      <w:tr w14:paraId="1D6C3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2FD48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QEg174-CT-F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726D50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qPCR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1A8842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TGGCGGACAAGGAGAAGTACATATTC</w:t>
            </w:r>
          </w:p>
        </w:tc>
      </w:tr>
      <w:tr w14:paraId="420C9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4E9D0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QEg174-CT-R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666B35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qPCR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4C1557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TCCTCCTTTTCTCCAACGCCTTTG</w:t>
            </w:r>
          </w:p>
        </w:tc>
      </w:tr>
      <w:tr w14:paraId="1A426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7F30D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QEg174-FL-F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76D344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qPCR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39C3CD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TAGACCAATCACGCAGCGAAGC</w:t>
            </w:r>
          </w:p>
        </w:tc>
      </w:tr>
      <w:tr w14:paraId="1F7B7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27861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QEg174-FL-R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2B23B6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qPCR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099BE7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CACGAACACGGAGAGAGAGTAAAGC</w:t>
            </w:r>
          </w:p>
        </w:tc>
      </w:tr>
      <w:tr w14:paraId="6CAC5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700B4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Q18s F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104830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qPCR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0F813D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TTCGATTCCGGAGAGGGAG</w:t>
            </w:r>
          </w:p>
        </w:tc>
      </w:tr>
      <w:tr w14:paraId="170E1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55F86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Q18s R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445904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qPCR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79E0C4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GTCCACTCATTCCGATTACGG</w:t>
            </w:r>
          </w:p>
        </w:tc>
      </w:tr>
      <w:tr w14:paraId="5CBD7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49728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T-bet F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7D7294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qPCR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411E9E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GCCAGGGAACCGCTTATATG</w:t>
            </w:r>
          </w:p>
        </w:tc>
      </w:tr>
      <w:tr w14:paraId="58A9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44056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T-bet R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616628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qPCR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3EA0F0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AACTTCCTGGCGCATCCA</w:t>
            </w:r>
          </w:p>
        </w:tc>
      </w:tr>
      <w:tr w14:paraId="40B8F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284EA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β-Actin F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4391A0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qPCR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1D8431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GAGACCTTCAACACCCCAGC</w:t>
            </w:r>
          </w:p>
        </w:tc>
      </w:tr>
      <w:tr w14:paraId="61969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180EF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β-Actin R 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0AD29F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qPCR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5D2868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GGAGAGCATAGCCCTCGTAGAT</w:t>
            </w:r>
          </w:p>
        </w:tc>
      </w:tr>
      <w:tr w14:paraId="4CB99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634EC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Eomes-F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5DA65D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qPCR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2A1146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AAATTCCACCGGCACCAAAC</w:t>
            </w:r>
          </w:p>
        </w:tc>
      </w:tr>
      <w:tr w14:paraId="6A326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0D25B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Eomes-R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7AC6EB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qPCR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736CA9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CCAGAACCACTTCCACGAAAA C</w:t>
            </w:r>
          </w:p>
        </w:tc>
      </w:tr>
      <w:tr w14:paraId="2CBB9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034DC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Tim-3-F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10A6C3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qPCR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151656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TCA GGT CTT ACC CTC AAC TGT G</w:t>
            </w:r>
          </w:p>
        </w:tc>
      </w:tr>
      <w:tr w14:paraId="40B5C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09E97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Tim-3-R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43845D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qPCR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146F23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GGGCAGATAGGCATTCTTACCA</w:t>
            </w:r>
          </w:p>
        </w:tc>
      </w:tr>
      <w:tr w14:paraId="5F751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0EDC7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IL-2-F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773816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qPCR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55DE76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TTGAGTGCCAATTCGATGATGAG</w:t>
            </w:r>
          </w:p>
        </w:tc>
      </w:tr>
      <w:tr w14:paraId="6CA16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26516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IL-2-R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1EADF6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qPCR</w:t>
            </w:r>
          </w:p>
        </w:tc>
        <w:tc>
          <w:tcPr>
            <w:tcW w:w="6293" w:type="dxa"/>
            <w:shd w:val="clear" w:color="auto" w:fill="auto"/>
            <w:vAlign w:val="center"/>
          </w:tcPr>
          <w:p w14:paraId="5B88B0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AGTTATTGAGGGCTTGTTGAGAT</w:t>
            </w:r>
          </w:p>
        </w:tc>
      </w:tr>
    </w:tbl>
    <w:p w14:paraId="41AC4180">
      <w:pPr>
        <w:rPr>
          <w:rFonts w:ascii="Times New Roman" w:hAnsi="Times New Roman" w:cs="Times New Roman"/>
          <w:b/>
          <w:bCs/>
          <w:sz w:val="28"/>
          <w:szCs w:val="36"/>
        </w:rPr>
      </w:pPr>
    </w:p>
    <w:p w14:paraId="435351F8">
      <w:pPr>
        <w:rPr>
          <w:rFonts w:hint="eastAsia" w:ascii="Times New Roman" w:hAnsi="Times New Roman" w:cs="Times New Roman" w:eastAsiaTheme="minorEastAsia"/>
          <w:b/>
          <w:bCs/>
          <w:sz w:val="28"/>
          <w:szCs w:val="36"/>
          <w:lang w:eastAsia="zh-CN"/>
        </w:rPr>
      </w:pPr>
    </w:p>
    <w:p w14:paraId="0EF4441B">
      <w:pPr>
        <w:rPr>
          <w:rFonts w:hint="eastAsia" w:ascii="Times New Roman" w:hAnsi="Times New Roman" w:cs="Times New Roman" w:eastAsiaTheme="minorEastAsia"/>
          <w:b/>
          <w:bCs/>
          <w:sz w:val="28"/>
          <w:szCs w:val="36"/>
          <w:lang w:eastAsia="zh-CN"/>
        </w:rPr>
      </w:pPr>
      <w:bookmarkStart w:id="4" w:name="_GoBack"/>
      <w:bookmarkEnd w:id="4"/>
    </w:p>
    <w:p w14:paraId="644B84D8">
      <w:pPr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b/>
          <w:bCs/>
          <w:sz w:val="28"/>
          <w:szCs w:val="36"/>
        </w:rPr>
        <w:t>Supplementary Fig. 1</w:t>
      </w:r>
    </w:p>
    <w:p w14:paraId="74CBA4B8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drawing>
          <wp:inline distT="0" distB="0" distL="0" distR="0">
            <wp:extent cx="5274310" cy="263715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0CD33">
      <w:pPr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t>Fig</w:t>
      </w:r>
      <w:r>
        <w:rPr>
          <w:rFonts w:hint="eastAsia" w:ascii="Times New Roman" w:hAnsi="Times New Roman" w:cs="Times New Roman"/>
          <w:b/>
          <w:sz w:val="24"/>
          <w:szCs w:val="32"/>
        </w:rPr>
        <w:t>.</w:t>
      </w:r>
      <w:r>
        <w:rPr>
          <w:rFonts w:ascii="Times New Roman" w:hAnsi="Times New Roman" w:cs="Times New Roman"/>
          <w:b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b/>
          <w:sz w:val="24"/>
          <w:szCs w:val="32"/>
        </w:rPr>
        <w:t>S</w:t>
      </w:r>
      <w:r>
        <w:rPr>
          <w:rFonts w:ascii="Times New Roman" w:hAnsi="Times New Roman" w:cs="Times New Roman"/>
          <w:b/>
          <w:sz w:val="24"/>
          <w:szCs w:val="32"/>
        </w:rPr>
        <w:t>1. Bioinformatic predictions of signal peptide and transmembrane regions for Eg174-CT and Eg174-FL.</w:t>
      </w:r>
      <w:r>
        <w:rPr>
          <w:rFonts w:hint="eastAsia" w:ascii="Times New Roman" w:hAnsi="Times New Roman" w:cs="Times New Roman"/>
          <w:b/>
          <w:sz w:val="24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32"/>
        </w:rPr>
        <w:t>(A)</w:t>
      </w:r>
      <w:r>
        <w:rPr>
          <w:rFonts w:ascii="Times New Roman" w:hAnsi="Times New Roman" w:cs="Times New Roman"/>
          <w:sz w:val="24"/>
          <w:szCs w:val="32"/>
        </w:rPr>
        <w:t xml:space="preserve"> Signal peptide prediction of Eg174-CT.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32"/>
        </w:rPr>
        <w:t>(B)</w:t>
      </w:r>
      <w:r>
        <w:rPr>
          <w:rFonts w:ascii="Times New Roman" w:hAnsi="Times New Roman" w:cs="Times New Roman"/>
          <w:sz w:val="24"/>
          <w:szCs w:val="32"/>
        </w:rPr>
        <w:t xml:space="preserve"> Transmembrane region prediction of Eg174-CT.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32"/>
        </w:rPr>
        <w:t>(C)</w:t>
      </w:r>
      <w:r>
        <w:rPr>
          <w:rFonts w:ascii="Times New Roman" w:hAnsi="Times New Roman" w:cs="Times New Roman"/>
          <w:sz w:val="24"/>
          <w:szCs w:val="32"/>
        </w:rPr>
        <w:t xml:space="preserve"> Signal peptide prediction of Eg174-FL.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32"/>
        </w:rPr>
        <w:t>(D)</w:t>
      </w:r>
      <w:r>
        <w:rPr>
          <w:rFonts w:ascii="Times New Roman" w:hAnsi="Times New Roman" w:cs="Times New Roman"/>
          <w:sz w:val="24"/>
          <w:szCs w:val="32"/>
        </w:rPr>
        <w:t xml:space="preserve"> Transmembrane region prediction of Eg174-FL.</w:t>
      </w:r>
    </w:p>
    <w:p w14:paraId="7B014250">
      <w:pPr>
        <w:rPr>
          <w:rFonts w:ascii="Times New Roman" w:hAnsi="Times New Roman" w:cs="Times New Roman"/>
          <w:sz w:val="18"/>
          <w:szCs w:val="21"/>
        </w:rPr>
      </w:pPr>
    </w:p>
    <w:p w14:paraId="7EEF75B7">
      <w:pPr>
        <w:rPr>
          <w:rFonts w:ascii="Times New Roman" w:hAnsi="Times New Roman" w:cs="Times New Roman"/>
          <w:b/>
          <w:bCs/>
          <w:sz w:val="28"/>
          <w:szCs w:val="36"/>
        </w:rPr>
      </w:pPr>
      <w:bookmarkStart w:id="0" w:name="OLE_LINK224"/>
      <w:r>
        <w:rPr>
          <w:rFonts w:ascii="Times New Roman" w:hAnsi="Times New Roman" w:cs="Times New Roman"/>
          <w:b/>
          <w:bCs/>
          <w:sz w:val="28"/>
          <w:szCs w:val="36"/>
        </w:rPr>
        <w:t>Supplementary Fig</w:t>
      </w:r>
      <w:bookmarkEnd w:id="0"/>
      <w:r>
        <w:rPr>
          <w:rFonts w:ascii="Times New Roman" w:hAnsi="Times New Roman" w:cs="Times New Roman"/>
          <w:b/>
          <w:bCs/>
          <w:sz w:val="28"/>
          <w:szCs w:val="36"/>
        </w:rPr>
        <w:t>. 2</w:t>
      </w:r>
    </w:p>
    <w:p w14:paraId="63908BF8"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drawing>
          <wp:inline distT="0" distB="0" distL="0" distR="0">
            <wp:extent cx="4248785" cy="3535045"/>
            <wp:effectExtent l="0" t="0" r="571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7294" cy="358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5395E">
      <w:pPr>
        <w:rPr>
          <w:rFonts w:ascii="Times New Roman" w:hAnsi="Times New Roman" w:cs="Times New Roman"/>
          <w:bCs/>
          <w:sz w:val="24"/>
          <w:szCs w:val="32"/>
        </w:rPr>
      </w:pPr>
      <w:bookmarkStart w:id="1" w:name="OLE_LINK223"/>
      <w:r>
        <w:rPr>
          <w:rFonts w:ascii="Times New Roman" w:hAnsi="Times New Roman" w:cs="Times New Roman"/>
          <w:b/>
          <w:sz w:val="24"/>
          <w:szCs w:val="32"/>
        </w:rPr>
        <w:t xml:space="preserve">Fig. S2. Immunofluorescence localization of Eg174 isoforms in hydatid cysts. </w:t>
      </w:r>
      <w:r>
        <w:rPr>
          <w:rFonts w:ascii="Times New Roman" w:hAnsi="Times New Roman" w:cs="Times New Roman"/>
          <w:bCs/>
          <w:sz w:val="24"/>
          <w:szCs w:val="32"/>
        </w:rPr>
        <w:t>Cyst sections were probed with pre-immune serum (negative control), anti-rEg174-CT, or anti-rEg174-FL antisera.</w:t>
      </w:r>
    </w:p>
    <w:bookmarkEnd w:id="1"/>
    <w:p w14:paraId="1221EA02"/>
    <w:p w14:paraId="05E8E9E6">
      <w:pPr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b/>
          <w:bCs/>
          <w:sz w:val="28"/>
          <w:szCs w:val="36"/>
        </w:rPr>
        <w:t>Supplementary Fig. 3</w:t>
      </w:r>
      <w:bookmarkStart w:id="2" w:name="OLE_LINK29"/>
      <w:bookmarkStart w:id="3" w:name="OLE_LINK28"/>
      <w:r>
        <w:rPr>
          <w:rFonts w:ascii="Times New Roman" w:hAnsi="Times New Roman" w:cs="Times New Roman"/>
          <w:b/>
          <w:sz w:val="20"/>
          <w:szCs w:val="22"/>
        </w:rPr>
        <w:t xml:space="preserve"> </w:t>
      </w:r>
    </w:p>
    <w:p w14:paraId="1C5C6FAC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drawing>
          <wp:inline distT="0" distB="0" distL="0" distR="0">
            <wp:extent cx="5274310" cy="360934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5C250">
      <w:pPr>
        <w:rPr>
          <w:rFonts w:ascii="Times New Roman" w:hAnsi="Times New Roman" w:cs="Times New Roman"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t xml:space="preserve">Fig. S3. Macroscopic view of livers from mice following challenge infection. </w:t>
      </w:r>
      <w:r>
        <w:rPr>
          <w:rFonts w:ascii="Times New Roman" w:hAnsi="Times New Roman" w:cs="Times New Roman"/>
          <w:bCs/>
          <w:sz w:val="24"/>
          <w:szCs w:val="32"/>
        </w:rPr>
        <w:t>Representative images of mouse livers from the PBS control, adjuvant control, rEg174-CT immunized, and rEg174-FL immunized groups. Hydatid cysts are indicated with red arrows. Scale bar: 0.5 cm.</w:t>
      </w:r>
    </w:p>
    <w:bookmarkEnd w:id="2"/>
    <w:bookmarkEnd w:id="3"/>
    <w:p w14:paraId="559E8D95"/>
    <w:p w14:paraId="20F28A51">
      <w:pPr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b/>
          <w:bCs/>
          <w:sz w:val="28"/>
          <w:szCs w:val="36"/>
        </w:rPr>
        <w:t>Supplementary Fig. 4</w:t>
      </w:r>
    </w:p>
    <w:p w14:paraId="01B62A66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drawing>
          <wp:inline distT="0" distB="0" distL="0" distR="0">
            <wp:extent cx="5274310" cy="1544955"/>
            <wp:effectExtent l="0" t="0" r="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1075E">
      <w:pPr>
        <w:rPr>
          <w:rFonts w:ascii="Times New Roman" w:hAnsi="Times New Roman" w:cs="Times New Roman"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t xml:space="preserve">Fig. S4. Histological analysis of splenic architecture. </w:t>
      </w:r>
      <w:r>
        <w:rPr>
          <w:rFonts w:ascii="Times New Roman" w:hAnsi="Times New Roman" w:cs="Times New Roman"/>
          <w:bCs/>
          <w:sz w:val="24"/>
          <w:szCs w:val="32"/>
        </w:rPr>
        <w:t xml:space="preserve">Representative images of </w:t>
      </w:r>
      <w:r>
        <w:rPr>
          <w:rFonts w:hint="eastAsia" w:ascii="Times New Roman" w:hAnsi="Times New Roman" w:cs="Times New Roman"/>
          <w:bCs/>
          <w:sz w:val="24"/>
          <w:szCs w:val="32"/>
        </w:rPr>
        <w:t>the</w:t>
      </w:r>
      <w:r>
        <w:rPr>
          <w:rFonts w:ascii="Times New Roman" w:hAnsi="Times New Roman" w:cs="Times New Roman"/>
          <w:bCs/>
          <w:sz w:val="24"/>
          <w:szCs w:val="32"/>
        </w:rPr>
        <w:t xml:space="preserve"> spleen from mice in different experimental groups.</w:t>
      </w:r>
    </w:p>
    <w:p w14:paraId="36CE68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2FE"/>
    <w:rsid w:val="00000841"/>
    <w:rsid w:val="00004D12"/>
    <w:rsid w:val="00052B48"/>
    <w:rsid w:val="00072C7B"/>
    <w:rsid w:val="000B04D8"/>
    <w:rsid w:val="00130751"/>
    <w:rsid w:val="00155AF6"/>
    <w:rsid w:val="001A0121"/>
    <w:rsid w:val="001A63FC"/>
    <w:rsid w:val="001A776B"/>
    <w:rsid w:val="00252199"/>
    <w:rsid w:val="00294BED"/>
    <w:rsid w:val="002E2283"/>
    <w:rsid w:val="0031045A"/>
    <w:rsid w:val="00320AC9"/>
    <w:rsid w:val="0032394F"/>
    <w:rsid w:val="00395DF4"/>
    <w:rsid w:val="003E0540"/>
    <w:rsid w:val="00406335"/>
    <w:rsid w:val="004165C0"/>
    <w:rsid w:val="00497443"/>
    <w:rsid w:val="004B00F5"/>
    <w:rsid w:val="004B10B3"/>
    <w:rsid w:val="004C1235"/>
    <w:rsid w:val="004C561B"/>
    <w:rsid w:val="00540A8A"/>
    <w:rsid w:val="0056317D"/>
    <w:rsid w:val="00566AB2"/>
    <w:rsid w:val="005B5C87"/>
    <w:rsid w:val="005F4C94"/>
    <w:rsid w:val="0062513C"/>
    <w:rsid w:val="00693BEB"/>
    <w:rsid w:val="006A7A83"/>
    <w:rsid w:val="006B2FEC"/>
    <w:rsid w:val="006F407C"/>
    <w:rsid w:val="006F7E97"/>
    <w:rsid w:val="007007C4"/>
    <w:rsid w:val="0071530A"/>
    <w:rsid w:val="007560B9"/>
    <w:rsid w:val="007B52BF"/>
    <w:rsid w:val="00804E4A"/>
    <w:rsid w:val="008139D5"/>
    <w:rsid w:val="008A4332"/>
    <w:rsid w:val="008B235A"/>
    <w:rsid w:val="008B5DFB"/>
    <w:rsid w:val="008E152C"/>
    <w:rsid w:val="00925E96"/>
    <w:rsid w:val="00930987"/>
    <w:rsid w:val="009B3B19"/>
    <w:rsid w:val="009D00EC"/>
    <w:rsid w:val="009D5EC2"/>
    <w:rsid w:val="00A212A4"/>
    <w:rsid w:val="00A42EAF"/>
    <w:rsid w:val="00A43AAE"/>
    <w:rsid w:val="00A46591"/>
    <w:rsid w:val="00A6057D"/>
    <w:rsid w:val="00AB006A"/>
    <w:rsid w:val="00AF7499"/>
    <w:rsid w:val="00B0717B"/>
    <w:rsid w:val="00B079EA"/>
    <w:rsid w:val="00B215D6"/>
    <w:rsid w:val="00B340AD"/>
    <w:rsid w:val="00BC4E19"/>
    <w:rsid w:val="00BC6348"/>
    <w:rsid w:val="00BD1FD0"/>
    <w:rsid w:val="00BF1EAF"/>
    <w:rsid w:val="00C00F78"/>
    <w:rsid w:val="00C202FD"/>
    <w:rsid w:val="00C259C6"/>
    <w:rsid w:val="00C471B1"/>
    <w:rsid w:val="00C47799"/>
    <w:rsid w:val="00C849DA"/>
    <w:rsid w:val="00C95F38"/>
    <w:rsid w:val="00CC4EA6"/>
    <w:rsid w:val="00CD73CA"/>
    <w:rsid w:val="00D85E60"/>
    <w:rsid w:val="00DB15FE"/>
    <w:rsid w:val="00DC29D2"/>
    <w:rsid w:val="00DC4CB0"/>
    <w:rsid w:val="00DD1D3F"/>
    <w:rsid w:val="00E252FE"/>
    <w:rsid w:val="00E66FA3"/>
    <w:rsid w:val="00E92CE7"/>
    <w:rsid w:val="00E97800"/>
    <w:rsid w:val="00EA7E67"/>
    <w:rsid w:val="00EE2762"/>
    <w:rsid w:val="00EF6125"/>
    <w:rsid w:val="00F05033"/>
    <w:rsid w:val="00F15684"/>
    <w:rsid w:val="00F55390"/>
    <w:rsid w:val="00FB0647"/>
    <w:rsid w:val="00FB2E9A"/>
    <w:rsid w:val="00FC04CB"/>
    <w:rsid w:val="00FD03F1"/>
    <w:rsid w:val="00FD77A4"/>
    <w:rsid w:val="00FE6E81"/>
    <w:rsid w:val="4303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样式一"/>
    <w:basedOn w:val="3"/>
    <w:qFormat/>
    <w:uiPriority w:val="1"/>
    <w:rPr>
      <w:rFonts w:ascii="Times New Roman" w:hAnsi="Times New Roman" w:eastAsia="Times New Roman" w:cs="Times New Roman"/>
      <w:b/>
      <w:bCs/>
      <w:sz w:val="36"/>
      <w:szCs w:val="36"/>
    </w:rPr>
  </w:style>
  <w:style w:type="paragraph" w:customStyle="1" w:styleId="5">
    <w:name w:val="样式san"/>
    <w:basedOn w:val="1"/>
    <w:next w:val="1"/>
    <w:qFormat/>
    <w:uiPriority w:val="0"/>
    <w:pPr>
      <w:widowControl/>
      <w:spacing w:line="480" w:lineRule="auto"/>
      <w:jc w:val="left"/>
    </w:pPr>
    <w:rPr>
      <w:rFonts w:ascii="Times New Roman" w:hAnsi="Times New Roman" w:eastAsia="Times New Roman" w:cs="Times New Roman"/>
      <w:kern w:val="0"/>
      <w:sz w:val="28"/>
      <w:szCs w:val="28"/>
    </w:rPr>
  </w:style>
  <w:style w:type="paragraph" w:customStyle="1" w:styleId="6">
    <w:name w:val="样式三"/>
    <w:basedOn w:val="1"/>
    <w:autoRedefine/>
    <w:qFormat/>
    <w:uiPriority w:val="0"/>
    <w:pPr>
      <w:widowControl/>
      <w:spacing w:line="480" w:lineRule="auto"/>
      <w:jc w:val="left"/>
    </w:pPr>
    <w:rPr>
      <w:rFonts w:ascii="Times New Roman" w:hAnsi="Times New Roman" w:eastAsia="Times New Roman" w:cs="Times New Roman"/>
      <w:kern w:val="0"/>
      <w:sz w:val="28"/>
      <w:szCs w:val="28"/>
    </w:rPr>
  </w:style>
  <w:style w:type="paragraph" w:customStyle="1" w:styleId="7">
    <w:name w:val="样式二"/>
    <w:basedOn w:val="1"/>
    <w:qFormat/>
    <w:uiPriority w:val="0"/>
    <w:pPr>
      <w:widowControl/>
      <w:spacing w:after="163" w:afterLines="50"/>
      <w:jc w:val="left"/>
    </w:pPr>
    <w:rPr>
      <w:rFonts w:ascii="Times New Roman" w:hAnsi="Times New Roman" w:eastAsia="Times New Roman" w:cs="Times New Roman"/>
      <w:b/>
      <w:bCs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130</Words>
  <Characters>841</Characters>
  <Lines>6</Lines>
  <Paragraphs>1</Paragraphs>
  <TotalTime>0</TotalTime>
  <ScaleCrop>false</ScaleCrop>
  <LinksUpToDate>false</LinksUpToDate>
  <CharactersWithSpaces>964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2026-01-22T12:17:00Z</dcterms:created>
  <dc:creator>雨殊 何</dc:creator>
  <cp:lastModifiedBy>刘畅</cp:lastModifiedBy>
  <dcterms:modified xsi:type="dcterms:W3CDTF">2026-07-30T01:57:49Z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eyJoZGlkIjoiNjBkNDNjNTNjNDg1ODRhOTdlNDM4MjkyMDQ4NjBkMjgiLCJ1c2VySWQiOiI1MTgyNzI0NjkifQ==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2606BE9CD7534119965BC300A588D84A_12</vt:lpwstr>
  </property>
</Properties>
</file>