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DFD" w:rsidRPr="008B33CF" w:rsidRDefault="002C0DFD" w:rsidP="00497AC5">
      <w:pPr>
        <w:pStyle w:val="Heading1"/>
        <w:rPr>
          <w:color w:val="auto"/>
        </w:rPr>
      </w:pPr>
      <w:r w:rsidRPr="008B33CF">
        <w:rPr>
          <w:color w:val="auto"/>
        </w:rPr>
        <w:t>Supplementary tables</w:t>
      </w:r>
    </w:p>
    <w:p w:rsidR="00067E1E" w:rsidRPr="008E413E" w:rsidRDefault="00067E1E" w:rsidP="001978CA">
      <w:pPr>
        <w:rPr>
          <w:b/>
        </w:rPr>
      </w:pPr>
      <w:r w:rsidRPr="008E413E">
        <w:rPr>
          <w:b/>
        </w:rPr>
        <w:t xml:space="preserve">Supplementary table </w:t>
      </w:r>
      <w:r w:rsidR="00F4257A" w:rsidRPr="008E413E">
        <w:rPr>
          <w:b/>
        </w:rPr>
        <w:t>1</w:t>
      </w:r>
      <w:r w:rsidR="008B33CF">
        <w:rPr>
          <w:b/>
        </w:rPr>
        <w:t xml:space="preserve">. </w:t>
      </w:r>
      <w:r w:rsidRPr="008E413E">
        <w:rPr>
          <w:b/>
        </w:rPr>
        <w:t>Human clinical studies of trimethylamine-containing compounds in relatio</w:t>
      </w:r>
      <w:r w:rsidR="001978CA" w:rsidRPr="008E413E">
        <w:rPr>
          <w:b/>
        </w:rPr>
        <w:t>n to cardio-metabolic disorders</w:t>
      </w:r>
    </w:p>
    <w:tbl>
      <w:tblPr>
        <w:tblW w:w="138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37"/>
        <w:gridCol w:w="2037"/>
        <w:gridCol w:w="9784"/>
      </w:tblGrid>
      <w:tr w:rsidR="00497AC5" w:rsidRPr="008E413E" w:rsidTr="001978CA"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Study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101EE7" w:rsidP="00CD5EB8">
            <w:pPr>
              <w:rPr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Participants</w:t>
            </w:r>
          </w:p>
        </w:tc>
        <w:tc>
          <w:tcPr>
            <w:tcW w:w="97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Main findings</w:t>
            </w:r>
          </w:p>
        </w:tc>
      </w:tr>
      <w:tr w:rsidR="00497AC5" w:rsidRPr="008E413E" w:rsidTr="001978CA"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Danne et al. (2007) </w:t>
            </w:r>
            <w:r w:rsidRPr="008E413E">
              <w:rPr>
                <w:noProof/>
                <w:sz w:val="18"/>
                <w:szCs w:val="18"/>
              </w:rPr>
              <w:t>[1]</w:t>
            </w:r>
          </w:p>
        </w:tc>
        <w:tc>
          <w:tcPr>
            <w:tcW w:w="203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>217 patients with suspected ACS</w:t>
            </w:r>
          </w:p>
        </w:tc>
        <w:tc>
          <w:tcPr>
            <w:tcW w:w="97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978CA">
            <w:pPr>
              <w:numPr>
                <w:ilvl w:val="0"/>
                <w:numId w:val="5"/>
              </w:numPr>
              <w:contextualSpacing/>
              <w:rPr>
                <w:rFonts w:cs="Minion Pro"/>
                <w:color w:val="000000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>Choline was a significant and independent predictor of MACE during 30-days of follow-up.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LeLeiko et al. (2009)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2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108 patients presenting with chest pain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contextualSpacing/>
              <w:rPr>
                <w:rFonts w:cs="Minion Pro"/>
                <w:color w:val="000000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Choline levels predicted 30-day cardiac events (i.e. nonfatal myocardial infarction, congestive heart failure, need for revascularization, and death).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Wang et al. (2011)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3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067E1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1,876 patients undergoing elective cardiac evaluation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978C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AdvOT1ef757c0"/>
                <w:color w:val="231F20"/>
                <w:sz w:val="18"/>
                <w:szCs w:val="18"/>
              </w:rPr>
              <w:t>Choline, betaine and TMAO showed dose-dependent associations with prevalent peripheral artery disease, coronary artery disease, and history of myocardial infarction, as well as overall CVD.</w:t>
            </w:r>
          </w:p>
        </w:tc>
      </w:tr>
      <w:tr w:rsidR="00497AC5" w:rsidRPr="008E413E" w:rsidTr="001978CA">
        <w:trPr>
          <w:trHeight w:val="1024"/>
        </w:trPr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Tang et al. (2013)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4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067E1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4,007 patients undergoing elective diagnostic cardiac catheterization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Increased levels of TMAO were associated with an increased risk of a MACE</w:t>
            </w:r>
            <w:r w:rsidR="00101EE7" w:rsidRPr="008E413E">
              <w:rPr>
                <w:rFonts w:cs="Times New Roman"/>
                <w:sz w:val="18"/>
                <w:szCs w:val="18"/>
              </w:rPr>
              <w:t>,</w:t>
            </w:r>
            <w:r w:rsidRPr="008E413E">
              <w:rPr>
                <w:rFonts w:cs="Times New Roman"/>
                <w:sz w:val="18"/>
                <w:szCs w:val="18"/>
              </w:rPr>
              <w:t xml:space="preserve"> and an elevated TMAO level was an independent predictor of MACE during 3 years of follow-up.</w:t>
            </w:r>
          </w:p>
          <w:p w:rsidR="00497AC5" w:rsidRPr="008E413E" w:rsidRDefault="00497AC5" w:rsidP="001978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Elevated level of TMAO predictive of MACE even in low-risk subgroups.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Koeth et al. (2013)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5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569E2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2,595 patients undergoing elective cardiac evaluation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>Signifi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softHyphen/>
              <w:t>cant dose-dependent associations between carnitine concentration and risks of prevalent coronary artery disease, peripheral artery disease and overall CVD, also when adjusted for traditional CVD risk factors.</w:t>
            </w:r>
          </w:p>
          <w:p w:rsidR="00497AC5" w:rsidRPr="008E413E" w:rsidRDefault="00497AC5" w:rsidP="00101EE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>Elevated carnitine concentration was an independent predictor of MACE during 3-years of follow-up.</w:t>
            </w:r>
          </w:p>
          <w:p w:rsidR="00497AC5" w:rsidRPr="008E413E" w:rsidRDefault="00497AC5" w:rsidP="00067E1E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Significant association between carnitine concentration and incident cardiovascular event risk, but only among those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 with concurrent high plasma TMAO concen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softHyphen/>
              <w:t>trations.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Wang et al. (2014)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6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067E1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3,903 patients undergoing elective diagnostic coronary angiography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AdvOTb7819099"/>
                <w:sz w:val="18"/>
                <w:szCs w:val="18"/>
              </w:rPr>
              <w:t>Higher plasma choline and betaine levels were associated with a 1.9-fold and 1.4-fold increased risk of MACE, respectively.</w:t>
            </w:r>
          </w:p>
          <w:p w:rsidR="00497AC5" w:rsidRPr="008E413E" w:rsidRDefault="00497AC5" w:rsidP="00101EE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>Elevated choline and betaine concentration was an independent predictor of MACE during 3-years of follow-up.</w:t>
            </w:r>
          </w:p>
          <w:p w:rsidR="00497AC5" w:rsidRPr="008E413E" w:rsidRDefault="00497AC5" w:rsidP="001978C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Significant association between choline and betaine concentration and incident cardiovascular event risk, but only among those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 with concurrent high plasma TMAO concen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softHyphen/>
              <w:t>trations.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Tang et al. (2014)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7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067E1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720 patients with stable HF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Modest but significant correlation between TMAO concentrations and BNP levels.</w:t>
            </w:r>
          </w:p>
          <w:p w:rsidR="00497AC5" w:rsidRPr="008E413E" w:rsidRDefault="00497AC5" w:rsidP="001978CA">
            <w:pPr>
              <w:numPr>
                <w:ilvl w:val="0"/>
                <w:numId w:val="5"/>
              </w:num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Higher plasma TMAO levels were associated with a 3.4-fold increase in 5-year mortality risk and remained predictive when adjusted for traditional risk factors and BNP levels.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Lever et al. (2014)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8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475 patients with ACS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 xml:space="preserve">In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 xml:space="preserve"> with T2D (n = 79), high plasma betaine was associated with increased frequency of heart failure and all cardiovascular events and high TMAO was a marker of all outcomes (death, myocardial infarction, heart failure, unstable </w:t>
            </w:r>
            <w:r w:rsidRPr="008E413E">
              <w:rPr>
                <w:rFonts w:cs="Times New Roman"/>
                <w:sz w:val="18"/>
                <w:szCs w:val="18"/>
              </w:rPr>
              <w:lastRenderedPageBreak/>
              <w:t>angina, and all cardiovascular events</w:t>
            </w:r>
            <w:r w:rsidR="001978CA" w:rsidRPr="008E413E">
              <w:rPr>
                <w:rFonts w:cs="Times New Roman"/>
                <w:sz w:val="18"/>
                <w:szCs w:val="18"/>
              </w:rPr>
              <w:t>)</w:t>
            </w:r>
            <w:r w:rsidRPr="008E413E">
              <w:rPr>
                <w:rFonts w:cs="Times New Roman"/>
                <w:sz w:val="18"/>
                <w:szCs w:val="18"/>
              </w:rPr>
              <w:t>.</w:t>
            </w:r>
          </w:p>
          <w:p w:rsidR="00497AC5" w:rsidRPr="008E413E" w:rsidRDefault="00497AC5" w:rsidP="008E413E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 xml:space="preserve">In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 xml:space="preserve"> without diabetes (n = 396), low plasma betaine was associated with secondary myocardial infarction, unstable angina, and all cardiovascular events and TMAO was only significant for death and heart failure</w:t>
            </w:r>
            <w:r w:rsidR="001978CA" w:rsidRPr="008E413E">
              <w:rPr>
                <w:rFonts w:cs="Times New Roman"/>
                <w:sz w:val="18"/>
                <w:szCs w:val="18"/>
              </w:rPr>
              <w:t>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lastRenderedPageBreak/>
              <w:t xml:space="preserve">Trøseid et al. (2014)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9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155 patients with chronic HF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 xml:space="preserve">Plasma levels of TMAO, choline, and betaine were elevated compared to control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>, with the highest levels in patients with NYHA class III and IV.</w:t>
            </w:r>
          </w:p>
          <w:p w:rsidR="00497AC5" w:rsidRPr="008E413E" w:rsidRDefault="00497AC5" w:rsidP="001978CA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TMAO, but not choline or betaine, was associated with reduced transplant-free survival during 5.2 years of follow-up.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Tang et al. (2015)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10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112 patients with chronic systolic HF</w:t>
            </w:r>
          </w:p>
        </w:tc>
        <w:tc>
          <w:tcPr>
            <w:tcW w:w="97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TMAO levels were significantly higher in patients with diabetes mellitus and in patients with NYHA class III or greater.</w:t>
            </w:r>
          </w:p>
          <w:p w:rsidR="00497AC5" w:rsidRPr="008E413E" w:rsidRDefault="00497AC5" w:rsidP="00101EE7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cs="AdvPSA88A"/>
                <w:sz w:val="18"/>
                <w:szCs w:val="18"/>
              </w:rPr>
            </w:pPr>
            <w:r w:rsidRPr="008E413E">
              <w:rPr>
                <w:rFonts w:cs="AdvPSA88A"/>
                <w:sz w:val="18"/>
                <w:szCs w:val="18"/>
              </w:rPr>
              <w:t xml:space="preserve">Elevated TMAO, choline, and betaine levels were associated with higher NT-proBNP levels and more advanced left ventricular diastolic dysfunction, but not systolic dysfunction or inflammatory and endothelial biomarkers. </w:t>
            </w:r>
          </w:p>
          <w:p w:rsidR="00497AC5" w:rsidRPr="008E413E" w:rsidRDefault="00497AC5" w:rsidP="001978CA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AdvPSA88A"/>
                <w:sz w:val="18"/>
                <w:szCs w:val="18"/>
              </w:rPr>
              <w:t>Higher choline, betaine, and TMAO predicted increased risk for 5-year adverse clinical events (i.e. death, transplantation), but only TMAO did so independently of other risk factors.</w:t>
            </w:r>
          </w:p>
        </w:tc>
      </w:tr>
      <w:tr w:rsidR="00497AC5" w:rsidRPr="008E413E" w:rsidTr="00497AC5"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AC5" w:rsidRPr="008E413E" w:rsidRDefault="00497AC5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Tang et al. (2015)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11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203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AC5" w:rsidRPr="008E413E" w:rsidRDefault="00497AC5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521 patients with and 3,166 without CKD</w:t>
            </w:r>
          </w:p>
        </w:tc>
        <w:tc>
          <w:tcPr>
            <w:tcW w:w="97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497AC5" w:rsidRPr="008E413E" w:rsidRDefault="00497AC5" w:rsidP="00101EE7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 xml:space="preserve">TMAO level among CKD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 xml:space="preserve"> was markedly higher than in non-CKD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>.</w:t>
            </w:r>
          </w:p>
          <w:p w:rsidR="00497AC5" w:rsidRPr="008E413E" w:rsidRDefault="00497AC5" w:rsidP="008E413E">
            <w:pPr>
              <w:numPr>
                <w:ilvl w:val="0"/>
                <w:numId w:val="5"/>
              </w:numPr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 xml:space="preserve">Within CKD </w:t>
            </w:r>
            <w:r w:rsidR="008E413E">
              <w:rPr>
                <w:rFonts w:cs="Times New Roman"/>
                <w:sz w:val="18"/>
                <w:szCs w:val="18"/>
              </w:rPr>
              <w:t>participant</w:t>
            </w:r>
            <w:r w:rsidR="008E413E" w:rsidRPr="008E413E">
              <w:rPr>
                <w:rFonts w:cs="Times New Roman"/>
                <w:sz w:val="18"/>
                <w:szCs w:val="18"/>
              </w:rPr>
              <w:t>s</w:t>
            </w:r>
            <w:r w:rsidRPr="008E413E">
              <w:rPr>
                <w:rFonts w:cs="Times New Roman"/>
                <w:sz w:val="18"/>
                <w:szCs w:val="18"/>
              </w:rPr>
              <w:t>, higher (fourth versus first quartile) TMAO level was associated with a 2.8-fold increased mortality risk and elevated TMAO levels was an independent predictor of 5-year mortality risk.</w:t>
            </w:r>
          </w:p>
        </w:tc>
      </w:tr>
      <w:tr w:rsidR="00497AC5" w:rsidRPr="008E413E" w:rsidTr="00497AC5">
        <w:tc>
          <w:tcPr>
            <w:tcW w:w="138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497AC5" w:rsidRPr="008E413E" w:rsidRDefault="00497AC5" w:rsidP="00497AC5">
            <w:pPr>
              <w:spacing w:after="0" w:line="240" w:lineRule="auto"/>
              <w:contextualSpacing/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Abbreviations: </w:t>
            </w:r>
          </w:p>
          <w:p w:rsidR="00497AC5" w:rsidRPr="008E413E" w:rsidRDefault="00497AC5" w:rsidP="008B33CF">
            <w:pPr>
              <w:spacing w:after="0" w:line="240" w:lineRule="auto"/>
              <w:contextualSpacing/>
              <w:rPr>
                <w:rFonts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ACS, acute coronary syndrome; BNP</w:t>
            </w:r>
            <w:r w:rsidRPr="008B33CF">
              <w:rPr>
                <w:sz w:val="18"/>
                <w:szCs w:val="18"/>
              </w:rPr>
              <w:t>, brain natriurectic peptide;</w:t>
            </w:r>
            <w:r w:rsidRPr="00D73810">
              <w:rPr>
                <w:b/>
                <w:color w:val="FF0000"/>
                <w:sz w:val="18"/>
                <w:szCs w:val="18"/>
              </w:rPr>
              <w:t xml:space="preserve"> </w:t>
            </w:r>
            <w:r w:rsidRPr="008E413E">
              <w:rPr>
                <w:sz w:val="18"/>
                <w:szCs w:val="18"/>
              </w:rPr>
              <w:t>CKD, chronic kidney disease; CVD, cardio-vascular disease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>;</w:t>
            </w:r>
            <w:r w:rsidRPr="008E413E">
              <w:rPr>
                <w:sz w:val="18"/>
                <w:szCs w:val="18"/>
              </w:rPr>
              <w:t xml:space="preserve"> 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HF, heart failure; </w:t>
            </w:r>
            <w:r w:rsidRPr="008E413E">
              <w:rPr>
                <w:sz w:val="18"/>
                <w:szCs w:val="18"/>
              </w:rPr>
              <w:t>MACE, major adverse cardiac event</w:t>
            </w:r>
            <w:r w:rsidR="008E413E" w:rsidRPr="008E413E">
              <w:rPr>
                <w:sz w:val="18"/>
                <w:szCs w:val="18"/>
              </w:rPr>
              <w:t xml:space="preserve"> </w:t>
            </w:r>
            <w:r w:rsidRPr="008E413E">
              <w:rPr>
                <w:sz w:val="18"/>
                <w:szCs w:val="18"/>
              </w:rPr>
              <w:t>(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>death, myocardial infarction, stroke or revascularization); NT-proBNP, N</w:t>
            </w:r>
            <w:r w:rsidRPr="008E413E">
              <w:rPr>
                <w:rFonts w:cs="AdvPSA88A"/>
                <w:sz w:val="18"/>
                <w:szCs w:val="18"/>
              </w:rPr>
              <w:t>-terminal pro brain natriuretic peptide</w:t>
            </w:r>
            <w:r w:rsidRPr="008E413E">
              <w:rPr>
                <w:rFonts w:cs="Times New Roman"/>
                <w:sz w:val="18"/>
                <w:szCs w:val="18"/>
              </w:rPr>
              <w:t>;</w:t>
            </w:r>
            <w:r w:rsidRPr="008E413E">
              <w:rPr>
                <w:rFonts w:cs="Minion Pro"/>
                <w:color w:val="000000"/>
                <w:sz w:val="18"/>
                <w:szCs w:val="18"/>
              </w:rPr>
              <w:t xml:space="preserve"> NYHA, New York Heart Association runctional classification of heart failure</w:t>
            </w:r>
          </w:p>
        </w:tc>
      </w:tr>
    </w:tbl>
    <w:p w:rsidR="00497AC5" w:rsidRPr="008E413E" w:rsidRDefault="00497AC5" w:rsidP="00497AC5">
      <w:pPr>
        <w:pStyle w:val="Heading1"/>
      </w:pPr>
    </w:p>
    <w:p w:rsidR="00497AC5" w:rsidRPr="008E413E" w:rsidRDefault="00497AC5" w:rsidP="001978CA">
      <w:pPr>
        <w:rPr>
          <w:b/>
        </w:rPr>
      </w:pPr>
      <w:r w:rsidRPr="008E413E">
        <w:rPr>
          <w:b/>
        </w:rPr>
        <w:t>Supplementary table 2. Human clinical trials of probiotic supplements in relation to cardio-metabolic traits</w:t>
      </w:r>
    </w:p>
    <w:tbl>
      <w:tblPr>
        <w:tblStyle w:val="TableGrid"/>
        <w:tblW w:w="13858" w:type="dxa"/>
        <w:tblLook w:val="04A0" w:firstRow="1" w:lastRow="0" w:firstColumn="1" w:lastColumn="0" w:noHBand="0" w:noVBand="1"/>
      </w:tblPr>
      <w:tblGrid>
        <w:gridCol w:w="1668"/>
        <w:gridCol w:w="1842"/>
        <w:gridCol w:w="1701"/>
        <w:gridCol w:w="1853"/>
        <w:gridCol w:w="6794"/>
      </w:tblGrid>
      <w:tr w:rsidR="00497AC5" w:rsidRPr="008E413E" w:rsidTr="001978CA">
        <w:trPr>
          <w:trHeight w:val="600"/>
        </w:trPr>
        <w:tc>
          <w:tcPr>
            <w:tcW w:w="16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Study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1978CA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Participants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Design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Probiotic</w:t>
            </w:r>
          </w:p>
        </w:tc>
        <w:tc>
          <w:tcPr>
            <w:tcW w:w="67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497AC5" w:rsidRPr="008E413E" w:rsidRDefault="00497AC5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b/>
                <w:sz w:val="18"/>
                <w:szCs w:val="18"/>
              </w:rPr>
              <w:t>Intervention effects</w:t>
            </w:r>
          </w:p>
        </w:tc>
      </w:tr>
      <w:tr w:rsidR="001978CA" w:rsidRPr="008E413E" w:rsidTr="001978CA">
        <w:tc>
          <w:tcPr>
            <w:tcW w:w="166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De Roos et al. 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(1999) </w:t>
            </w:r>
            <w:r w:rsidRPr="008E413E">
              <w:rPr>
                <w:noProof/>
                <w:sz w:val="18"/>
                <w:szCs w:val="18"/>
                <w:lang w:val="da-DK"/>
              </w:rPr>
              <w:t>[1</w:t>
            </w:r>
            <w:r w:rsidR="008E413E">
              <w:rPr>
                <w:noProof/>
                <w:sz w:val="18"/>
                <w:szCs w:val="18"/>
                <w:lang w:val="da-DK"/>
              </w:rPr>
              <w:t>2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78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Healthy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</w:t>
            </w:r>
          </w:p>
        </w:tc>
        <w:tc>
          <w:tcPr>
            <w:tcW w:w="185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i/>
                <w:sz w:val="18"/>
                <w:szCs w:val="18"/>
              </w:rPr>
            </w:pPr>
            <w:r w:rsidRPr="008E413E">
              <w:rPr>
                <w:i/>
                <w:sz w:val="18"/>
                <w:szCs w:val="18"/>
              </w:rPr>
              <w:t xml:space="preserve">L. acidophilus </w:t>
            </w:r>
            <w:r w:rsidRPr="008E413E">
              <w:rPr>
                <w:sz w:val="18"/>
                <w:szCs w:val="18"/>
              </w:rPr>
              <w:t>L-1</w:t>
            </w:r>
          </w:p>
        </w:tc>
        <w:tc>
          <w:tcPr>
            <w:tcW w:w="679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  <w:lang w:val="da-DK"/>
              </w:rPr>
              <w:t xml:space="preserve"> TC, LDL-C, HDL-C, TAG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Greany et al. </w:t>
            </w:r>
          </w:p>
          <w:p w:rsidR="001978CA" w:rsidRPr="008E413E" w:rsidRDefault="001978CA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(2007)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13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55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rFonts w:cs="Times New Roman"/>
                <w:sz w:val="18"/>
                <w:szCs w:val="18"/>
              </w:rPr>
              <w:t>Healthy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single-blinded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sz w:val="18"/>
                <w:szCs w:val="18"/>
              </w:rPr>
              <w:t xml:space="preserve">L. acidophilus </w:t>
            </w:r>
            <w:r w:rsidRPr="008E413E">
              <w:rPr>
                <w:sz w:val="18"/>
                <w:szCs w:val="18"/>
              </w:rPr>
              <w:t>DDS-1</w:t>
            </w:r>
            <w:r w:rsidRPr="008E413E">
              <w:rPr>
                <w:i/>
                <w:sz w:val="18"/>
                <w:szCs w:val="18"/>
              </w:rPr>
              <w:t>, B. longum</w:t>
            </w:r>
            <w:r w:rsidRPr="008E413E">
              <w:rPr>
                <w:sz w:val="18"/>
                <w:szCs w:val="18"/>
              </w:rPr>
              <w:t xml:space="preserve"> UABL-14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  <w:lang w:val="da-DK"/>
              </w:rPr>
              <w:t xml:space="preserve"> TC, LDL-C, HDL-C, TAG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>Ataie-Jafari et al.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(2009) </w:t>
            </w:r>
            <w:r w:rsidRPr="008E413E">
              <w:rPr>
                <w:noProof/>
                <w:sz w:val="18"/>
                <w:szCs w:val="18"/>
                <w:lang w:val="da-DK"/>
              </w:rPr>
              <w:t>[</w:t>
            </w:r>
            <w:r w:rsidR="008E413E">
              <w:rPr>
                <w:noProof/>
                <w:sz w:val="18"/>
                <w:szCs w:val="18"/>
                <w:lang w:val="da-DK"/>
              </w:rPr>
              <w:t>14</w:t>
            </w:r>
            <w:r w:rsidRPr="008E413E">
              <w:rPr>
                <w:noProof/>
                <w:sz w:val="18"/>
                <w:szCs w:val="18"/>
                <w:lang w:val="da-DK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14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  <w:r w:rsidRPr="008E413E">
              <w:rPr>
                <w:sz w:val="18"/>
                <w:szCs w:val="18"/>
              </w:rPr>
              <w:t xml:space="preserve"> 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Dyslipidemia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cross-over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b/>
                <w:sz w:val="18"/>
                <w:szCs w:val="18"/>
              </w:rPr>
            </w:pPr>
            <w:r w:rsidRPr="008E413E">
              <w:rPr>
                <w:i/>
                <w:sz w:val="18"/>
                <w:szCs w:val="18"/>
              </w:rPr>
              <w:t>L. acidophilus, B. lactis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  <w:lang w:val="da-DK"/>
              </w:rPr>
              <w:t xml:space="preserve"> LDL-C, HDL-C, TAG, LDL-C/HDL-C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TC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Andreasen et al. (2010)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15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45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♂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T2D,IGT,NGT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sz w:val="18"/>
                <w:szCs w:val="18"/>
              </w:rPr>
              <w:t>L. acidophilus</w:t>
            </w:r>
            <w:r w:rsidRPr="008E413E">
              <w:rPr>
                <w:sz w:val="18"/>
                <w:szCs w:val="18"/>
              </w:rPr>
              <w:t xml:space="preserve"> NCFM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D"/>
            </w:r>
            <w:r w:rsidRPr="008E413E">
              <w:rPr>
                <w:sz w:val="18"/>
                <w:szCs w:val="18"/>
              </w:rPr>
              <w:t xml:space="preserve"> Insulin sensitivity (due to increased insulin resistance in the placebo group)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TNF, IL-6, IL-1RA 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Asemi et al. </w:t>
            </w:r>
          </w:p>
          <w:p w:rsidR="001978CA" w:rsidRPr="008E413E" w:rsidRDefault="001978CA" w:rsidP="008E413E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(2010-13)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16</w:t>
            </w:r>
            <w:r w:rsidRPr="008E413E">
              <w:rPr>
                <w:noProof/>
                <w:sz w:val="18"/>
                <w:szCs w:val="18"/>
              </w:rPr>
              <w:t>-</w:t>
            </w:r>
            <w:r w:rsidR="008E413E">
              <w:rPr>
                <w:noProof/>
                <w:sz w:val="18"/>
                <w:szCs w:val="18"/>
              </w:rPr>
              <w:t>19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70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Pregnant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single-blinded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iCs/>
                <w:sz w:val="18"/>
                <w:szCs w:val="18"/>
                <w:shd w:val="clear" w:color="auto" w:fill="FFFFFF"/>
              </w:rPr>
              <w:t>L. acidophilus</w:t>
            </w:r>
            <w:r w:rsidRPr="008E413E">
              <w:rPr>
                <w:rStyle w:val="apple-converted-space"/>
                <w:sz w:val="18"/>
                <w:szCs w:val="18"/>
                <w:shd w:val="clear" w:color="auto" w:fill="FFFFFF"/>
              </w:rPr>
              <w:t> </w:t>
            </w:r>
            <w:r w:rsidRPr="008E413E">
              <w:rPr>
                <w:sz w:val="18"/>
                <w:szCs w:val="18"/>
                <w:shd w:val="clear" w:color="auto" w:fill="FFFFFF"/>
              </w:rPr>
              <w:t xml:space="preserve">LA5, </w:t>
            </w:r>
            <w:r w:rsidRPr="008E413E">
              <w:rPr>
                <w:i/>
                <w:sz w:val="18"/>
                <w:szCs w:val="18"/>
              </w:rPr>
              <w:t>B. animalis</w:t>
            </w:r>
            <w:r w:rsidRPr="008E413E">
              <w:rPr>
                <w:sz w:val="18"/>
                <w:szCs w:val="18"/>
              </w:rPr>
              <w:t xml:space="preserve"> BB12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D"/>
            </w:r>
            <w:r w:rsidRPr="008E413E">
              <w:rPr>
                <w:sz w:val="18"/>
                <w:szCs w:val="18"/>
              </w:rPr>
              <w:t xml:space="preserve"> </w:t>
            </w:r>
            <w:r w:rsidRPr="008E413E">
              <w:rPr>
                <w:rFonts w:cs="Arial"/>
                <w:color w:val="000000"/>
                <w:sz w:val="18"/>
                <w:szCs w:val="18"/>
                <w:shd w:val="clear" w:color="auto" w:fill="FFFFFF"/>
              </w:rPr>
              <w:t>glutathione reductase</w:t>
            </w:r>
            <w:r w:rsidRPr="008E413E">
              <w:rPr>
                <w:rStyle w:val="apple-converted-space"/>
                <w:rFonts w:cs="Arial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TNF</w:t>
            </w:r>
            <w:r w:rsidRPr="008E413E">
              <w:rPr>
                <w:sz w:val="18"/>
                <w:szCs w:val="18"/>
              </w:rPr>
              <w:sym w:font="Symbol" w:char="F061"/>
            </w:r>
            <w:r w:rsidRPr="008E413E">
              <w:rPr>
                <w:sz w:val="18"/>
                <w:szCs w:val="18"/>
              </w:rPr>
              <w:t xml:space="preserve">, TC, LDL-C, HDL-C, TAG, TC/HDL-C, FPG, 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SBP, DBP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hsCRP, insulin, HOMA-IR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Kadooka et al. 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(2013)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20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14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rFonts w:cs="Times New Roman"/>
                <w:sz w:val="18"/>
                <w:szCs w:val="18"/>
              </w:rPr>
              <w:t>Central obesity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i/>
                <w:sz w:val="18"/>
                <w:szCs w:val="18"/>
                <w:lang w:val="da-DK"/>
              </w:rPr>
              <w:t>L. gasseri</w:t>
            </w:r>
            <w:r w:rsidRPr="008E413E">
              <w:rPr>
                <w:sz w:val="18"/>
                <w:szCs w:val="18"/>
                <w:lang w:val="da-DK"/>
              </w:rPr>
              <w:t xml:space="preserve"> SBT2055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Visceral adiposity, BMI, waist and hip circumferences, body fat %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>Ejtahed et al.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(2011)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21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60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rFonts w:cs="Times New Roman"/>
                <w:sz w:val="18"/>
                <w:szCs w:val="18"/>
              </w:rPr>
              <w:t>T2D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iCs/>
                <w:sz w:val="18"/>
                <w:szCs w:val="18"/>
                <w:shd w:val="clear" w:color="auto" w:fill="FFFFFF"/>
              </w:rPr>
              <w:t>L. acidophilus</w:t>
            </w:r>
            <w:r w:rsidRPr="008E413E">
              <w:rPr>
                <w:rStyle w:val="apple-converted-space"/>
                <w:sz w:val="18"/>
                <w:szCs w:val="18"/>
                <w:shd w:val="clear" w:color="auto" w:fill="FFFFFF"/>
              </w:rPr>
              <w:t> </w:t>
            </w:r>
            <w:r w:rsidRPr="008E413E">
              <w:rPr>
                <w:sz w:val="18"/>
                <w:szCs w:val="18"/>
                <w:shd w:val="clear" w:color="auto" w:fill="FFFFFF"/>
              </w:rPr>
              <w:t xml:space="preserve">LA5, </w:t>
            </w:r>
            <w:r w:rsidRPr="008E413E">
              <w:rPr>
                <w:i/>
                <w:sz w:val="18"/>
                <w:szCs w:val="18"/>
              </w:rPr>
              <w:t>B. animalis</w:t>
            </w:r>
            <w:r w:rsidRPr="008E413E">
              <w:rPr>
                <w:sz w:val="18"/>
                <w:szCs w:val="18"/>
              </w:rPr>
              <w:t xml:space="preserve"> BB12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TC, LDL-C, TC/HDL-C, LDL-C/HDL-C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>Ejtahed et al.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(2012)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22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64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rFonts w:cs="Times New Roman"/>
                <w:sz w:val="18"/>
                <w:szCs w:val="18"/>
              </w:rPr>
              <w:t>T2D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iCs/>
                <w:sz w:val="18"/>
                <w:szCs w:val="18"/>
                <w:shd w:val="clear" w:color="auto" w:fill="FFFFFF"/>
              </w:rPr>
              <w:t>L. acidophilus</w:t>
            </w:r>
            <w:r w:rsidRPr="008E413E">
              <w:rPr>
                <w:rStyle w:val="apple-converted-space"/>
                <w:sz w:val="18"/>
                <w:szCs w:val="18"/>
                <w:shd w:val="clear" w:color="auto" w:fill="FFFFFF"/>
              </w:rPr>
              <w:t> </w:t>
            </w:r>
            <w:r w:rsidRPr="008E413E">
              <w:rPr>
                <w:sz w:val="18"/>
                <w:szCs w:val="18"/>
                <w:shd w:val="clear" w:color="auto" w:fill="FFFFFF"/>
              </w:rPr>
              <w:t xml:space="preserve">LA5, </w:t>
            </w:r>
            <w:r w:rsidRPr="008E413E">
              <w:rPr>
                <w:i/>
                <w:sz w:val="18"/>
                <w:szCs w:val="18"/>
              </w:rPr>
              <w:t>B. animalis</w:t>
            </w:r>
            <w:r w:rsidRPr="008E413E">
              <w:rPr>
                <w:sz w:val="18"/>
                <w:szCs w:val="18"/>
              </w:rPr>
              <w:t xml:space="preserve"> BB12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FPG, HbA1c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D"/>
            </w:r>
            <w:r w:rsidRPr="008E413E">
              <w:rPr>
                <w:sz w:val="18"/>
                <w:szCs w:val="18"/>
              </w:rPr>
              <w:t xml:space="preserve"> </w:t>
            </w:r>
            <w:r w:rsidRPr="008E413E">
              <w:rPr>
                <w:rFonts w:cs="Arial"/>
                <w:color w:val="000000"/>
                <w:sz w:val="18"/>
                <w:szCs w:val="18"/>
                <w:shd w:val="clear" w:color="auto" w:fill="FFFFFF"/>
              </w:rPr>
              <w:t>glutathione peroxidase, superoxide dismutase, total antioxidant status</w:t>
            </w:r>
            <w:r w:rsidRPr="008E413E">
              <w:rPr>
                <w:rStyle w:val="apple-converted-space"/>
                <w:rFonts w:cs="Arial"/>
                <w:color w:val="000000"/>
                <w:sz w:val="18"/>
                <w:szCs w:val="18"/>
                <w:shd w:val="clear" w:color="auto" w:fill="FFFFFF"/>
              </w:rPr>
              <w:t> 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Luoto et al. 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(2012)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23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256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t>Pregnant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i/>
                <w:sz w:val="18"/>
                <w:szCs w:val="18"/>
                <w:lang w:val="da-DK"/>
              </w:rPr>
            </w:pPr>
            <w:r w:rsidRPr="008E413E">
              <w:rPr>
                <w:i/>
                <w:sz w:val="18"/>
                <w:szCs w:val="18"/>
                <w:lang w:val="da-DK"/>
              </w:rPr>
              <w:t>L. rhamnosus, B. lactis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</w:rPr>
              <w:sym w:font="Symbol" w:char="F0AD"/>
            </w:r>
            <w:r w:rsidRPr="008E413E">
              <w:rPr>
                <w:sz w:val="18"/>
                <w:szCs w:val="18"/>
              </w:rPr>
              <w:t xml:space="preserve"> Adiponectin in colostrum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Moroti et al. 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(2012)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24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20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>T2D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iCs/>
                <w:sz w:val="18"/>
                <w:szCs w:val="18"/>
                <w:shd w:val="clear" w:color="auto" w:fill="FFFFFF"/>
              </w:rPr>
              <w:t>L. acidophilus</w:t>
            </w:r>
            <w:r w:rsidRPr="008E413E">
              <w:rPr>
                <w:sz w:val="18"/>
                <w:szCs w:val="18"/>
                <w:shd w:val="clear" w:color="auto" w:fill="FFFFFF"/>
              </w:rPr>
              <w:t xml:space="preserve">, </w:t>
            </w:r>
            <w:r w:rsidRPr="008E413E">
              <w:rPr>
                <w:i/>
                <w:sz w:val="18"/>
                <w:szCs w:val="18"/>
              </w:rPr>
              <w:t>B. bifidum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D"/>
            </w:r>
            <w:r w:rsidRPr="008E413E">
              <w:rPr>
                <w:sz w:val="18"/>
                <w:szCs w:val="18"/>
              </w:rPr>
              <w:t xml:space="preserve"> HDL-C</w:t>
            </w:r>
          </w:p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F"/>
            </w:r>
            <w:r w:rsidRPr="008E413E">
              <w:rPr>
                <w:sz w:val="18"/>
                <w:szCs w:val="18"/>
              </w:rPr>
              <w:t xml:space="preserve"> FPG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>Jung et al.</w:t>
            </w:r>
          </w:p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(2013)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25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64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1978CA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rFonts w:cs="Times New Roman"/>
                <w:sz w:val="18"/>
                <w:szCs w:val="18"/>
              </w:rPr>
              <w:t>Overweight/Obesity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double-blinded</w:t>
            </w:r>
          </w:p>
        </w:tc>
        <w:tc>
          <w:tcPr>
            <w:tcW w:w="18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i/>
                <w:sz w:val="18"/>
                <w:szCs w:val="18"/>
                <w:lang w:val="da-DK"/>
              </w:rPr>
              <w:t>L. gasseri</w:t>
            </w:r>
            <w:r w:rsidRPr="008E413E">
              <w:rPr>
                <w:sz w:val="18"/>
                <w:szCs w:val="18"/>
                <w:lang w:val="da-DK"/>
              </w:rPr>
              <w:t xml:space="preserve"> BNR17</w:t>
            </w:r>
          </w:p>
        </w:tc>
        <w:tc>
          <w:tcPr>
            <w:tcW w:w="67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FPG, insulin, HbA1c,TC, LDL-C, HDL-C, TAG</w:t>
            </w:r>
          </w:p>
          <w:p w:rsidR="001978CA" w:rsidRPr="008E413E" w:rsidRDefault="001978CA" w:rsidP="001978CA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Visceral adiposity, BMI, waist and hip circumferences, body fat %</w:t>
            </w:r>
          </w:p>
        </w:tc>
      </w:tr>
      <w:tr w:rsidR="001978CA" w:rsidRPr="008E413E" w:rsidTr="001978CA">
        <w:tc>
          <w:tcPr>
            <w:tcW w:w="166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8CA" w:rsidRPr="008E413E" w:rsidRDefault="001978CA" w:rsidP="008E413E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sz w:val="18"/>
                <w:szCs w:val="18"/>
                <w:lang w:val="da-DK"/>
              </w:rPr>
              <w:t xml:space="preserve">Mazloom et al. (2013) </w:t>
            </w:r>
            <w:r w:rsidRPr="008E413E">
              <w:rPr>
                <w:noProof/>
                <w:sz w:val="18"/>
                <w:szCs w:val="18"/>
              </w:rPr>
              <w:t>[</w:t>
            </w:r>
            <w:r w:rsidR="008E413E">
              <w:rPr>
                <w:noProof/>
                <w:sz w:val="18"/>
                <w:szCs w:val="18"/>
              </w:rPr>
              <w:t>26</w:t>
            </w:r>
            <w:r w:rsidRPr="008E413E">
              <w:rPr>
                <w:noProof/>
                <w:sz w:val="18"/>
                <w:szCs w:val="18"/>
              </w:rPr>
              <w:t>]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 xml:space="preserve">34 </w:t>
            </w:r>
            <w:r w:rsidRPr="008E413E">
              <w:rPr>
                <w:rFonts w:ascii="Times New Roman" w:hAnsi="Times New Roman" w:cs="Times New Roman"/>
                <w:sz w:val="18"/>
                <w:szCs w:val="18"/>
              </w:rPr>
              <w:t>♀/♂</w:t>
            </w:r>
          </w:p>
          <w:p w:rsidR="001978CA" w:rsidRPr="008E413E" w:rsidRDefault="001978CA" w:rsidP="00CD5EB8">
            <w:pPr>
              <w:rPr>
                <w:sz w:val="18"/>
                <w:szCs w:val="18"/>
                <w:lang w:val="da-DK"/>
              </w:rPr>
            </w:pPr>
            <w:r w:rsidRPr="008E413E">
              <w:rPr>
                <w:rFonts w:cs="Times New Roman"/>
                <w:sz w:val="18"/>
                <w:szCs w:val="18"/>
              </w:rPr>
              <w:t>T2D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t>Randomized, placebo-controlled, single-blinded</w:t>
            </w:r>
          </w:p>
        </w:tc>
        <w:tc>
          <w:tcPr>
            <w:tcW w:w="185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i/>
                <w:sz w:val="18"/>
                <w:szCs w:val="18"/>
              </w:rPr>
              <w:t>L. acidophilus, L. bulgaricus, L. bifidum, L. casei</w:t>
            </w:r>
          </w:p>
        </w:tc>
        <w:tc>
          <w:tcPr>
            <w:tcW w:w="679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978CA" w:rsidRPr="008E413E" w:rsidRDefault="001978CA" w:rsidP="00CD5EB8">
            <w:pPr>
              <w:rPr>
                <w:sz w:val="18"/>
                <w:szCs w:val="18"/>
              </w:rPr>
            </w:pPr>
            <w:r w:rsidRPr="008E413E">
              <w:rPr>
                <w:sz w:val="18"/>
                <w:szCs w:val="18"/>
              </w:rPr>
              <w:sym w:font="Symbol" w:char="F0AB"/>
            </w:r>
            <w:r w:rsidRPr="008E413E">
              <w:rPr>
                <w:sz w:val="18"/>
                <w:szCs w:val="18"/>
              </w:rPr>
              <w:t xml:space="preserve"> TC, LDL-C, HDL-C, TAG, FPG, insulin, malondialdehyde, hsCRP, IL-6, HOMA-IR</w:t>
            </w:r>
          </w:p>
        </w:tc>
      </w:tr>
      <w:tr w:rsidR="00497AC5" w:rsidRPr="008E413E" w:rsidTr="001978CA">
        <w:trPr>
          <w:trHeight w:val="946"/>
        </w:trPr>
        <w:tc>
          <w:tcPr>
            <w:tcW w:w="13858" w:type="dxa"/>
            <w:gridSpan w:val="5"/>
            <w:tcBorders>
              <w:top w:val="single" w:sz="4" w:space="0" w:color="auto"/>
            </w:tcBorders>
          </w:tcPr>
          <w:p w:rsidR="00497AC5" w:rsidRPr="00D73810" w:rsidRDefault="001978CA" w:rsidP="008B33CF">
            <w:pPr>
              <w:pStyle w:val="CommentText"/>
            </w:pPr>
            <w:r w:rsidRPr="008E413E">
              <w:rPr>
                <w:sz w:val="18"/>
                <w:szCs w:val="18"/>
                <w:lang w:val="da-DK"/>
              </w:rPr>
              <w:t xml:space="preserve">Abbreviations: </w:t>
            </w:r>
            <w:r w:rsidRPr="008E413E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 xml:space="preserve">♂, </w:t>
            </w:r>
            <w:r w:rsidRPr="008E413E">
              <w:rPr>
                <w:rFonts w:cs="Times New Roman"/>
                <w:sz w:val="18"/>
                <w:szCs w:val="18"/>
                <w:lang w:val="da-DK"/>
              </w:rPr>
              <w:t>male;</w:t>
            </w:r>
            <w:r w:rsidRPr="008E413E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 xml:space="preserve">♀, </w:t>
            </w:r>
            <w:r w:rsidRPr="008E413E">
              <w:rPr>
                <w:rFonts w:cs="Times New Roman"/>
                <w:sz w:val="18"/>
                <w:szCs w:val="18"/>
                <w:lang w:val="da-DK"/>
              </w:rPr>
              <w:t>female</w:t>
            </w:r>
            <w:r w:rsidRPr="008E413E">
              <w:rPr>
                <w:rFonts w:ascii="Times New Roman" w:hAnsi="Times New Roman" w:cs="Times New Roman"/>
                <w:sz w:val="18"/>
                <w:szCs w:val="18"/>
                <w:lang w:val="da-DK"/>
              </w:rPr>
              <w:t>;</w:t>
            </w:r>
            <w:r w:rsidRPr="008E413E">
              <w:rPr>
                <w:sz w:val="18"/>
                <w:szCs w:val="18"/>
                <w:lang w:val="da-DK"/>
              </w:rPr>
              <w:t xml:space="preserve"> BMI, body mass index; DBP, diastolic blood pressure; FPG, fasting plasma glucose; HbA1C, glycosylated hemoglobin A1c; HDL-C, high-density lipoprotein cholesterol; HOMA-IR, homeostatic model assessment of insulin resistance; hsCRP, high-sensitivity C-reactive protein;</w:t>
            </w:r>
            <w:r w:rsidRPr="008E413E">
              <w:rPr>
                <w:rFonts w:cs="Times New Roman"/>
                <w:sz w:val="18"/>
                <w:szCs w:val="18"/>
                <w:lang w:val="da-DK"/>
              </w:rPr>
              <w:t xml:space="preserve"> </w:t>
            </w:r>
            <w:r w:rsidRPr="008E413E">
              <w:rPr>
                <w:sz w:val="18"/>
                <w:szCs w:val="18"/>
                <w:lang w:val="da-DK"/>
              </w:rPr>
              <w:t>IGT, impaired glucose tolerance; IL-1RA, interleukin-1 receptor antagonist; IL-6, interleukin-6; LDL-C, low-density lipoprotein cholesterol; NGT, normal glucose tolerance; SBP, systolic blood pressure;</w:t>
            </w:r>
            <w:r w:rsidRPr="008E413E">
              <w:rPr>
                <w:rFonts w:cs="Times New Roman"/>
                <w:sz w:val="18"/>
                <w:szCs w:val="18"/>
                <w:lang w:val="da-DK"/>
              </w:rPr>
              <w:t xml:space="preserve"> T2D, type 2 diabetes;</w:t>
            </w:r>
            <w:r w:rsidRPr="008E413E">
              <w:rPr>
                <w:sz w:val="18"/>
                <w:szCs w:val="18"/>
                <w:lang w:val="da-DK"/>
              </w:rPr>
              <w:t xml:space="preserve"> TAG, triacylglycerol; TC, total cholesterol</w:t>
            </w:r>
            <w:r w:rsidR="008B33CF" w:rsidRPr="008B33CF">
              <w:rPr>
                <w:sz w:val="18"/>
                <w:szCs w:val="18"/>
                <w:lang w:val="da-DK"/>
              </w:rPr>
              <w:t>.</w:t>
            </w:r>
          </w:p>
        </w:tc>
      </w:tr>
    </w:tbl>
    <w:p w:rsidR="00497AC5" w:rsidRPr="008E413E" w:rsidRDefault="00497AC5" w:rsidP="00497AC5"/>
    <w:p w:rsidR="00067E1E" w:rsidRPr="008E413E" w:rsidRDefault="00067E1E" w:rsidP="002C0DFD">
      <w:pPr>
        <w:sectPr w:rsidR="00067E1E" w:rsidRPr="008E413E" w:rsidSect="008B33CF">
          <w:footerReference w:type="default" r:id="rId8"/>
          <w:pgSz w:w="16838" w:h="11906" w:orient="landscape"/>
          <w:pgMar w:top="1134" w:right="1701" w:bottom="1134" w:left="1701" w:header="708" w:footer="708" w:gutter="0"/>
          <w:cols w:space="708"/>
          <w:docGrid w:linePitch="360"/>
        </w:sectPr>
      </w:pPr>
    </w:p>
    <w:p w:rsidR="00AD11F1" w:rsidRPr="008E413E" w:rsidRDefault="00AD11F1"/>
    <w:p w:rsidR="00AD11F1" w:rsidRPr="008B33CF" w:rsidRDefault="00AD11F1"/>
    <w:p w:rsidR="00AD11F1" w:rsidRPr="008B33CF" w:rsidRDefault="00AD11F1" w:rsidP="00E132AD">
      <w:pPr>
        <w:pStyle w:val="Heading1"/>
        <w:rPr>
          <w:noProof/>
          <w:color w:val="auto"/>
        </w:rPr>
      </w:pPr>
      <w:r w:rsidRPr="008B33CF">
        <w:rPr>
          <w:noProof/>
          <w:color w:val="auto"/>
        </w:rPr>
        <w:t>References</w:t>
      </w:r>
    </w:p>
    <w:p w:rsidR="00AD11F1" w:rsidRPr="008E413E" w:rsidRDefault="00AD11F1" w:rsidP="003C2854">
      <w:pPr>
        <w:spacing w:after="0"/>
        <w:ind w:left="720" w:hanging="720"/>
        <w:rPr>
          <w:rFonts w:ascii="Calibri" w:hAnsi="Calibri"/>
          <w:noProof/>
        </w:rPr>
      </w:pPr>
    </w:p>
    <w:p w:rsidR="00AD11F1" w:rsidRPr="008E413E" w:rsidRDefault="00AD11F1" w:rsidP="00E132AD">
      <w:pPr>
        <w:spacing w:after="0"/>
        <w:ind w:left="720" w:hanging="720"/>
        <w:rPr>
          <w:rFonts w:ascii="Calibri" w:hAnsi="Calibri"/>
          <w:noProof/>
        </w:rPr>
      </w:pPr>
      <w:bookmarkStart w:id="0" w:name="_ENREF_16"/>
      <w:r w:rsidRPr="008E413E">
        <w:rPr>
          <w:rFonts w:ascii="Calibri" w:hAnsi="Calibri"/>
          <w:noProof/>
        </w:rPr>
        <w:t>1.</w:t>
      </w:r>
      <w:r w:rsidRPr="008E413E">
        <w:rPr>
          <w:rFonts w:ascii="Calibri" w:hAnsi="Calibri"/>
          <w:noProof/>
        </w:rPr>
        <w:tab/>
      </w:r>
      <w:bookmarkEnd w:id="0"/>
      <w:r w:rsidR="00CC54E7" w:rsidRPr="008E413E">
        <w:rPr>
          <w:rFonts w:ascii="Calibri" w:hAnsi="Calibri"/>
          <w:noProof/>
        </w:rPr>
        <w:t xml:space="preserve">Danne O, Lueders </w:t>
      </w:r>
      <w:bookmarkStart w:id="1" w:name="_GoBack"/>
      <w:bookmarkEnd w:id="1"/>
      <w:r w:rsidR="00CC54E7" w:rsidRPr="008E413E">
        <w:rPr>
          <w:rFonts w:ascii="Calibri" w:hAnsi="Calibri"/>
          <w:noProof/>
        </w:rPr>
        <w:t>C, Storm C, Frei U, Möckel M. Whole blood choline and plasma choline in acute coronary syndromes: Prognostic and pathophysiological implications. Clinica Chimica Acta. 2007;383:103-9.</w:t>
      </w:r>
    </w:p>
    <w:p w:rsidR="00AD11F1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2" w:name="_ENREF_17"/>
      <w:r>
        <w:rPr>
          <w:rFonts w:ascii="Calibri" w:hAnsi="Calibri"/>
          <w:noProof/>
        </w:rPr>
        <w:t>2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  <w:t xml:space="preserve">LeLeiko RM, Vaccari CS, Sola S, Merchant N, Nagamia SH, Thoenes M, </w:t>
      </w:r>
      <w:r w:rsidR="00ED1219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 xml:space="preserve"> Usefulne</w:t>
      </w:r>
      <w:r w:rsidR="00ED1219" w:rsidRPr="008E413E">
        <w:rPr>
          <w:rFonts w:ascii="Calibri" w:hAnsi="Calibri"/>
          <w:noProof/>
        </w:rPr>
        <w:t>ss of elevations in serum choline and free f2-isoprostane to predict 30-day cardiovascular outcomes in patients with acute coronary synd</w:t>
      </w:r>
      <w:r w:rsidR="00AD11F1" w:rsidRPr="008E413E">
        <w:rPr>
          <w:rFonts w:ascii="Calibri" w:hAnsi="Calibri"/>
          <w:noProof/>
        </w:rPr>
        <w:t xml:space="preserve">rome. Am </w:t>
      </w:r>
      <w:r w:rsidR="00ED1219" w:rsidRPr="008E413E">
        <w:rPr>
          <w:rFonts w:ascii="Calibri" w:hAnsi="Calibri"/>
          <w:noProof/>
        </w:rPr>
        <w:t xml:space="preserve">J </w:t>
      </w:r>
      <w:r w:rsidR="00AD11F1" w:rsidRPr="008E413E">
        <w:rPr>
          <w:rFonts w:ascii="Calibri" w:hAnsi="Calibri"/>
          <w:noProof/>
        </w:rPr>
        <w:t>Cardiol</w:t>
      </w:r>
      <w:r w:rsidR="00ED1219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 xml:space="preserve"> 2009</w:t>
      </w:r>
      <w:r w:rsidR="00ED1219" w:rsidRPr="008E413E">
        <w:rPr>
          <w:rFonts w:ascii="Calibri" w:hAnsi="Calibri"/>
          <w:noProof/>
        </w:rPr>
        <w:t>;</w:t>
      </w:r>
      <w:r w:rsidR="00AD11F1" w:rsidRPr="008E413E">
        <w:rPr>
          <w:rFonts w:ascii="Calibri" w:hAnsi="Calibri"/>
          <w:noProof/>
        </w:rPr>
        <w:t>104:</w:t>
      </w:r>
      <w:r w:rsidR="00ED1219" w:rsidRPr="008E413E">
        <w:rPr>
          <w:rFonts w:ascii="Calibri" w:hAnsi="Calibri"/>
          <w:noProof/>
        </w:rPr>
        <w:t>638-</w:t>
      </w:r>
      <w:r w:rsidR="00AD11F1" w:rsidRPr="008E413E">
        <w:rPr>
          <w:rFonts w:ascii="Calibri" w:hAnsi="Calibri"/>
          <w:noProof/>
        </w:rPr>
        <w:t>43.</w:t>
      </w:r>
      <w:bookmarkEnd w:id="2"/>
    </w:p>
    <w:p w:rsidR="00AD11F1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3" w:name="_ENREF_18"/>
      <w:r>
        <w:rPr>
          <w:rFonts w:ascii="Calibri" w:hAnsi="Calibri"/>
          <w:noProof/>
        </w:rPr>
        <w:t>3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End w:id="3"/>
      <w:r w:rsidR="00CC54E7" w:rsidRPr="008E413E">
        <w:rPr>
          <w:rFonts w:ascii="Calibri" w:hAnsi="Calibri"/>
          <w:noProof/>
        </w:rPr>
        <w:t>Wang Z, Klipfell E, Bennett BJ, Koeth R, Levison BS, DuGar B, et al.: Gut flora metabolism of phosphatidylcholine promotes cardiovascular disease. Nature. 2011;472:57-63.</w:t>
      </w:r>
    </w:p>
    <w:p w:rsidR="00CC54E7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4" w:name="_ENREF_19"/>
      <w:r>
        <w:rPr>
          <w:rFonts w:ascii="Calibri" w:hAnsi="Calibri"/>
          <w:noProof/>
        </w:rPr>
        <w:t>4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Start w:id="5" w:name="_ENREF_20"/>
      <w:bookmarkEnd w:id="4"/>
      <w:r w:rsidR="00CC54E7" w:rsidRPr="008E413E">
        <w:rPr>
          <w:rFonts w:ascii="Calibri" w:hAnsi="Calibri"/>
          <w:noProof/>
        </w:rPr>
        <w:t>Tang WHW, Wang Z, Levison BS, Koeth RA, Britt EB, Fu X, et al. Intestinal microbial metabolism of phosphatidylcholine and cardiovascular Risk. N Engl J Med. 2013;368:1575-84.</w:t>
      </w:r>
    </w:p>
    <w:p w:rsidR="00AD11F1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r>
        <w:rPr>
          <w:rFonts w:ascii="Calibri" w:hAnsi="Calibri"/>
          <w:noProof/>
        </w:rPr>
        <w:t>5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End w:id="5"/>
      <w:r w:rsidR="00CC54E7" w:rsidRPr="008E413E">
        <w:rPr>
          <w:rFonts w:ascii="Calibri" w:hAnsi="Calibri"/>
          <w:noProof/>
        </w:rPr>
        <w:t>Koeth RA, Wang Z, Levison BS, Buffa JA, Org E, Sheehy BT, et al.: Intestinal microbiota metabolism of l-carnitine, a nutrient in red meat, promotes atherosclerosis. Nat Med. 2013;19:576-85.</w:t>
      </w:r>
    </w:p>
    <w:p w:rsidR="00CC54E7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6" w:name="_ENREF_21"/>
      <w:r>
        <w:rPr>
          <w:rFonts w:ascii="Calibri" w:hAnsi="Calibri"/>
          <w:noProof/>
        </w:rPr>
        <w:t>6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Start w:id="7" w:name="_ENREF_22"/>
      <w:bookmarkEnd w:id="6"/>
      <w:r w:rsidR="00CC54E7" w:rsidRPr="008E413E">
        <w:rPr>
          <w:rFonts w:ascii="Calibri" w:hAnsi="Calibri"/>
          <w:noProof/>
        </w:rPr>
        <w:t>Wang Z, Tang WHW, Buffa JA, Fu X, Britt EB, Koeth RA, et al. Prognostic value of choline and betaine depends on intestinal microbiota-generated metabolite trimethylamine-N-oxide. Eur Heart J. 2014;35:904-10.</w:t>
      </w:r>
    </w:p>
    <w:p w:rsidR="00CC54E7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r>
        <w:rPr>
          <w:rFonts w:ascii="Calibri" w:hAnsi="Calibri"/>
          <w:noProof/>
        </w:rPr>
        <w:t>7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Start w:id="8" w:name="_ENREF_23"/>
      <w:bookmarkEnd w:id="7"/>
      <w:r w:rsidR="00CC54E7" w:rsidRPr="008E413E">
        <w:rPr>
          <w:rFonts w:ascii="Calibri" w:hAnsi="Calibri"/>
          <w:noProof/>
        </w:rPr>
        <w:t>Tang WHW, Wang Z, Fan Y, Levison B, Hazen JE, Donahue LM, et al. Prognostic value of elevated levels of intestinal microbe-generated metabolite trimethylamine-N-oxide in patients with heart failure: refining the gut hypothesis. J Am Coll Cardiol. 2014;64:1908-14.</w:t>
      </w:r>
    </w:p>
    <w:p w:rsidR="00AD11F1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r>
        <w:rPr>
          <w:rFonts w:ascii="Calibri" w:hAnsi="Calibri"/>
          <w:noProof/>
        </w:rPr>
        <w:t>8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  <w:t>Lever M, George PM, Slo</w:t>
      </w:r>
      <w:r w:rsidR="00ED1219" w:rsidRPr="008E413E">
        <w:rPr>
          <w:rFonts w:ascii="Calibri" w:hAnsi="Calibri"/>
          <w:noProof/>
        </w:rPr>
        <w:t>w S, Bellamy D, Young JM, Ho M</w:t>
      </w:r>
      <w:r w:rsidR="00AD11F1" w:rsidRPr="008E413E">
        <w:rPr>
          <w:rFonts w:ascii="Calibri" w:hAnsi="Calibri"/>
          <w:noProof/>
        </w:rPr>
        <w:t xml:space="preserve">, </w:t>
      </w:r>
      <w:r w:rsidR="00D85494" w:rsidRPr="008E413E">
        <w:rPr>
          <w:rFonts w:ascii="Calibri" w:hAnsi="Calibri"/>
          <w:noProof/>
        </w:rPr>
        <w:t>et al.</w:t>
      </w:r>
      <w:r w:rsidR="00AD11F1" w:rsidRPr="008E413E">
        <w:rPr>
          <w:rFonts w:ascii="Calibri" w:hAnsi="Calibri"/>
          <w:noProof/>
        </w:rPr>
        <w:t xml:space="preserve">: Betaine and </w:t>
      </w:r>
      <w:r w:rsidR="00ED1219" w:rsidRPr="008E413E">
        <w:rPr>
          <w:rFonts w:ascii="Calibri" w:hAnsi="Calibri"/>
          <w:noProof/>
        </w:rPr>
        <w:t>t</w:t>
      </w:r>
      <w:r w:rsidR="00AD11F1" w:rsidRPr="008E413E">
        <w:rPr>
          <w:rFonts w:ascii="Calibri" w:hAnsi="Calibri"/>
          <w:noProof/>
        </w:rPr>
        <w:t>rimethylamine-N-</w:t>
      </w:r>
      <w:r w:rsidR="00ED1219" w:rsidRPr="008E413E">
        <w:rPr>
          <w:rFonts w:ascii="Calibri" w:hAnsi="Calibri"/>
          <w:noProof/>
        </w:rPr>
        <w:t>o</w:t>
      </w:r>
      <w:r w:rsidR="00AD11F1" w:rsidRPr="008E413E">
        <w:rPr>
          <w:rFonts w:ascii="Calibri" w:hAnsi="Calibri"/>
          <w:noProof/>
        </w:rPr>
        <w:t xml:space="preserve">xide </w:t>
      </w:r>
      <w:r w:rsidR="00ED1219" w:rsidRPr="008E413E">
        <w:rPr>
          <w:rFonts w:ascii="Calibri" w:hAnsi="Calibri"/>
          <w:noProof/>
        </w:rPr>
        <w:t>as predictors of cardiovascular outcomes show different patterns in diabetes mellitus: an observational st</w:t>
      </w:r>
      <w:r w:rsidR="00AD11F1" w:rsidRPr="008E413E">
        <w:rPr>
          <w:rFonts w:ascii="Calibri" w:hAnsi="Calibri"/>
          <w:noProof/>
        </w:rPr>
        <w:t>udy. PL</w:t>
      </w:r>
      <w:r w:rsidR="00ED1219" w:rsidRPr="008E413E">
        <w:rPr>
          <w:rFonts w:ascii="Calibri" w:hAnsi="Calibri"/>
          <w:noProof/>
        </w:rPr>
        <w:t>O</w:t>
      </w:r>
      <w:r w:rsidR="00AD11F1" w:rsidRPr="008E413E">
        <w:rPr>
          <w:rFonts w:ascii="Calibri" w:hAnsi="Calibri"/>
          <w:noProof/>
        </w:rPr>
        <w:t>S ONE</w:t>
      </w:r>
      <w:r w:rsidR="00ED1219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 xml:space="preserve"> 2014</w:t>
      </w:r>
      <w:r w:rsidR="00ED1219" w:rsidRPr="008E413E">
        <w:rPr>
          <w:rFonts w:ascii="Calibri" w:hAnsi="Calibri"/>
          <w:noProof/>
        </w:rPr>
        <w:t>;</w:t>
      </w:r>
      <w:r w:rsidR="00AD11F1" w:rsidRPr="008E413E">
        <w:rPr>
          <w:rFonts w:ascii="Calibri" w:hAnsi="Calibri"/>
          <w:noProof/>
        </w:rPr>
        <w:t>9:e114969.</w:t>
      </w:r>
      <w:bookmarkEnd w:id="8"/>
    </w:p>
    <w:p w:rsidR="00AD11F1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9" w:name="_ENREF_24"/>
      <w:r>
        <w:rPr>
          <w:rFonts w:ascii="Calibri" w:hAnsi="Calibri"/>
          <w:noProof/>
        </w:rPr>
        <w:t>9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  <w:t>Troseid M, Ueland T, Hov JR, S</w:t>
      </w:r>
      <w:r w:rsidR="00ED1219" w:rsidRPr="008E413E">
        <w:rPr>
          <w:rFonts w:ascii="Calibri" w:hAnsi="Calibri"/>
          <w:noProof/>
        </w:rPr>
        <w:t>vardal A, Gregersen I, Dahl CP</w:t>
      </w:r>
      <w:r w:rsidR="00AD11F1" w:rsidRPr="008E413E">
        <w:rPr>
          <w:rFonts w:ascii="Calibri" w:hAnsi="Calibri"/>
          <w:noProof/>
        </w:rPr>
        <w:t xml:space="preserve">, </w:t>
      </w:r>
      <w:r w:rsidR="00D85494" w:rsidRPr="008E413E">
        <w:rPr>
          <w:rFonts w:ascii="Calibri" w:hAnsi="Calibri"/>
          <w:noProof/>
        </w:rPr>
        <w:t>et al.</w:t>
      </w:r>
      <w:r w:rsidR="00AD11F1" w:rsidRPr="008E413E">
        <w:rPr>
          <w:rFonts w:ascii="Calibri" w:hAnsi="Calibri"/>
          <w:noProof/>
        </w:rPr>
        <w:t>: Microbiota-dependent metabolite trimethylamine-N-oxide is associated with disease severity and survival of patients with chronic heart failure. J Intern Med</w:t>
      </w:r>
      <w:r w:rsidR="00ED1219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 xml:space="preserve"> 2014</w:t>
      </w:r>
      <w:bookmarkEnd w:id="9"/>
      <w:r w:rsidR="00ED1219" w:rsidRPr="008E413E">
        <w:rPr>
          <w:rFonts w:ascii="Calibri" w:hAnsi="Calibri"/>
          <w:noProof/>
        </w:rPr>
        <w:t>, doi: 10.1111/joim.12328.</w:t>
      </w:r>
    </w:p>
    <w:p w:rsidR="00CC54E7" w:rsidRPr="008E413E" w:rsidRDefault="008E413E" w:rsidP="00E132AD">
      <w:pPr>
        <w:spacing w:after="0"/>
        <w:ind w:left="720" w:hanging="720"/>
        <w:rPr>
          <w:rFonts w:ascii="Calibri" w:hAnsi="Calibri"/>
          <w:noProof/>
        </w:rPr>
      </w:pPr>
      <w:bookmarkStart w:id="10" w:name="_ENREF_25"/>
      <w:r>
        <w:rPr>
          <w:rFonts w:ascii="Calibri" w:hAnsi="Calibri"/>
          <w:noProof/>
        </w:rPr>
        <w:t>10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Start w:id="11" w:name="_ENREF_26"/>
      <w:bookmarkEnd w:id="10"/>
      <w:r w:rsidR="00CC54E7" w:rsidRPr="008E413E">
        <w:rPr>
          <w:rFonts w:ascii="Calibri" w:hAnsi="Calibri"/>
          <w:noProof/>
        </w:rPr>
        <w:t>Tang WHW, Wang Z, Shrestha K, Borowski AG, Wu Y, Troughton RW, et al. Intestinal microbiota-dependent phosphatidylcholine metabolites, diastolic dysfunction, and adverse clinical outcomes in chronic systolic heart failure. J Card Fail. 2015;21:91-6.</w:t>
      </w:r>
    </w:p>
    <w:p w:rsidR="00CC54E7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r>
        <w:rPr>
          <w:rFonts w:ascii="Calibri" w:hAnsi="Calibri"/>
          <w:noProof/>
        </w:rPr>
        <w:t>11</w:t>
      </w:r>
      <w:r w:rsidR="00AD11F1" w:rsidRPr="008E413E">
        <w:rPr>
          <w:rFonts w:ascii="Calibri" w:hAnsi="Calibri"/>
          <w:noProof/>
        </w:rPr>
        <w:t>.</w:t>
      </w:r>
      <w:r w:rsidR="00AD11F1" w:rsidRPr="008E413E">
        <w:rPr>
          <w:rFonts w:ascii="Calibri" w:hAnsi="Calibri"/>
          <w:noProof/>
        </w:rPr>
        <w:tab/>
      </w:r>
      <w:bookmarkEnd w:id="11"/>
      <w:r w:rsidR="00CC54E7" w:rsidRPr="008E413E">
        <w:rPr>
          <w:rFonts w:ascii="Calibri" w:hAnsi="Calibri"/>
          <w:noProof/>
        </w:rPr>
        <w:t>Tang WH, Wang Z, Kennedy DJ, Wu Y, Buffa JA, Agatisa-Boyle B, et al. Gut microbiota-dependent trimethylamine N-oxide (TMAO) pathway contributes to both development of renal insufficiency and mortality risk in chronic kidney disease. Circ Res. 2015;116:448-55.</w:t>
      </w:r>
    </w:p>
    <w:p w:rsidR="003C2854" w:rsidRPr="008E413E" w:rsidRDefault="003C2854" w:rsidP="003C2854">
      <w:pPr>
        <w:spacing w:after="0"/>
        <w:ind w:left="720" w:hanging="720"/>
        <w:rPr>
          <w:rFonts w:ascii="Calibri" w:hAnsi="Calibri"/>
          <w:noProof/>
        </w:rPr>
      </w:pPr>
      <w:r w:rsidRPr="008E413E">
        <w:rPr>
          <w:rFonts w:ascii="Calibri" w:hAnsi="Calibri"/>
          <w:noProof/>
        </w:rPr>
        <w:t>1</w:t>
      </w:r>
      <w:r w:rsidR="008E413E">
        <w:rPr>
          <w:rFonts w:ascii="Calibri" w:hAnsi="Calibri"/>
          <w:noProof/>
        </w:rPr>
        <w:t>2</w:t>
      </w:r>
      <w:r w:rsidRPr="008E413E">
        <w:rPr>
          <w:rFonts w:ascii="Calibri" w:hAnsi="Calibri"/>
          <w:noProof/>
        </w:rPr>
        <w:t>.</w:t>
      </w:r>
      <w:r w:rsidRPr="008E413E">
        <w:rPr>
          <w:rFonts w:ascii="Calibri" w:hAnsi="Calibri"/>
          <w:noProof/>
        </w:rPr>
        <w:tab/>
        <w:t xml:space="preserve">de Roos NM, Schouten G, </w:t>
      </w:r>
      <w:r w:rsidR="00D85494" w:rsidRPr="008E413E">
        <w:rPr>
          <w:rFonts w:ascii="Calibri" w:hAnsi="Calibri"/>
          <w:noProof/>
        </w:rPr>
        <w:t>Katan MB.</w:t>
      </w:r>
      <w:r w:rsidRPr="008E413E">
        <w:rPr>
          <w:rFonts w:ascii="Calibri" w:hAnsi="Calibri"/>
          <w:noProof/>
        </w:rPr>
        <w:t xml:space="preserve"> Yoghurt enriched with Lactobacillus acidophilus does not lower blood lipids in healthy men and women with normal to borderline high serum cholesterol levels. Eur J Clin Nutr</w:t>
      </w:r>
      <w:r w:rsidR="00ED1219" w:rsidRPr="008E413E">
        <w:rPr>
          <w:rFonts w:ascii="Calibri" w:hAnsi="Calibri"/>
          <w:noProof/>
        </w:rPr>
        <w:t>.</w:t>
      </w:r>
      <w:r w:rsidRPr="008E413E">
        <w:rPr>
          <w:rFonts w:ascii="Calibri" w:hAnsi="Calibri"/>
          <w:noProof/>
        </w:rPr>
        <w:t xml:space="preserve"> 1999</w:t>
      </w:r>
      <w:r w:rsidR="008E413E" w:rsidRPr="008E413E">
        <w:rPr>
          <w:rFonts w:ascii="Calibri" w:hAnsi="Calibri"/>
          <w:noProof/>
        </w:rPr>
        <w:t>;</w:t>
      </w:r>
      <w:r w:rsidRPr="008E413E">
        <w:rPr>
          <w:rFonts w:ascii="Calibri" w:hAnsi="Calibri"/>
          <w:noProof/>
        </w:rPr>
        <w:t>53:</w:t>
      </w:r>
      <w:r w:rsidR="008E413E" w:rsidRPr="008E413E">
        <w:rPr>
          <w:rFonts w:ascii="Calibri" w:hAnsi="Calibri"/>
          <w:noProof/>
        </w:rPr>
        <w:t>277-</w:t>
      </w:r>
      <w:r w:rsidRPr="008E413E">
        <w:rPr>
          <w:rFonts w:ascii="Calibri" w:hAnsi="Calibri"/>
          <w:noProof/>
        </w:rPr>
        <w:t>80.</w:t>
      </w:r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2" w:name="_ENREF_2"/>
      <w:r>
        <w:rPr>
          <w:rFonts w:ascii="Calibri" w:hAnsi="Calibri"/>
          <w:noProof/>
        </w:rPr>
        <w:t>13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Greany KA, Bonorden MJL, Hamilton-Reeves JM, McMullen MH, Wangen KE, Phipps WR,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Probiotic capsules do not lower plasma lipids in young women and men. Eur J Clin Nutr</w:t>
      </w:r>
      <w:r w:rsidR="00ED1219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2007</w:t>
      </w:r>
      <w:r w:rsidRPr="008E413E">
        <w:rPr>
          <w:rFonts w:ascii="Calibri" w:hAnsi="Calibri"/>
          <w:noProof/>
        </w:rPr>
        <w:t>;</w:t>
      </w:r>
      <w:r w:rsidR="003C2854" w:rsidRPr="008E413E">
        <w:rPr>
          <w:rFonts w:ascii="Calibri" w:hAnsi="Calibri"/>
          <w:noProof/>
        </w:rPr>
        <w:t>62:</w:t>
      </w:r>
      <w:r w:rsidRPr="008E413E">
        <w:rPr>
          <w:rFonts w:ascii="Calibri" w:hAnsi="Calibri"/>
          <w:noProof/>
        </w:rPr>
        <w:t>232-</w:t>
      </w:r>
      <w:r w:rsidR="003C2854" w:rsidRPr="008E413E">
        <w:rPr>
          <w:rFonts w:ascii="Calibri" w:hAnsi="Calibri"/>
          <w:noProof/>
        </w:rPr>
        <w:t>7.</w:t>
      </w:r>
      <w:bookmarkEnd w:id="12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3" w:name="_ENREF_3"/>
      <w:r>
        <w:rPr>
          <w:rFonts w:ascii="Calibri" w:hAnsi="Calibri"/>
          <w:noProof/>
        </w:rPr>
        <w:t>14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Ataie-Jafari A, Larijani B, Alavi Majd H, </w:t>
      </w:r>
      <w:r w:rsidR="00D85494" w:rsidRPr="008E413E">
        <w:rPr>
          <w:rFonts w:ascii="Calibri" w:hAnsi="Calibri"/>
          <w:noProof/>
        </w:rPr>
        <w:t>Tahbaz F.</w:t>
      </w:r>
      <w:r w:rsidR="003C2854" w:rsidRPr="008E413E">
        <w:rPr>
          <w:rFonts w:ascii="Calibri" w:hAnsi="Calibri"/>
          <w:noProof/>
        </w:rPr>
        <w:t xml:space="preserve"> Cholesterol-lowering effect of probiotic yogurt in comparison with ordinary yogurt in mildly to moderately hypercholesterolemic subjects. Ann Nutr Metab</w:t>
      </w:r>
      <w:r w:rsidR="00ED1219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2009</w:t>
      </w:r>
      <w:r w:rsidRPr="008E413E">
        <w:rPr>
          <w:rFonts w:ascii="Calibri" w:hAnsi="Calibri"/>
          <w:noProof/>
        </w:rPr>
        <w:t>;</w:t>
      </w:r>
      <w:r w:rsidR="003C2854" w:rsidRPr="008E413E">
        <w:rPr>
          <w:rFonts w:ascii="Calibri" w:hAnsi="Calibri"/>
          <w:noProof/>
        </w:rPr>
        <w:t>54:</w:t>
      </w:r>
      <w:r w:rsidRPr="008E413E">
        <w:rPr>
          <w:rFonts w:ascii="Calibri" w:hAnsi="Calibri"/>
          <w:noProof/>
        </w:rPr>
        <w:t>22-</w:t>
      </w:r>
      <w:r w:rsidR="003C2854" w:rsidRPr="008E413E">
        <w:rPr>
          <w:rFonts w:ascii="Calibri" w:hAnsi="Calibri"/>
          <w:noProof/>
        </w:rPr>
        <w:t>7.</w:t>
      </w:r>
      <w:bookmarkEnd w:id="13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4" w:name="_ENREF_4"/>
      <w:r>
        <w:rPr>
          <w:rFonts w:ascii="Calibri" w:hAnsi="Calibri"/>
          <w:noProof/>
        </w:rPr>
        <w:t>15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Andreasen A, Larsen N, Pedersen-Skovsgaard T, Berg R, Moller K, Svendsen K,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Effects of Lactobacillus acidophilus NCFM on insulin sensitivity and the systemic inflammatory response in human subjects. Br J Nut</w:t>
      </w:r>
      <w:r w:rsidR="00F50C91" w:rsidRPr="008E413E">
        <w:rPr>
          <w:rFonts w:ascii="Calibri" w:hAnsi="Calibri"/>
          <w:noProof/>
        </w:rPr>
        <w:t>r. 2010</w:t>
      </w:r>
      <w:r w:rsidR="003C2854" w:rsidRPr="008E413E">
        <w:rPr>
          <w:rFonts w:ascii="Calibri" w:hAnsi="Calibri"/>
          <w:noProof/>
        </w:rPr>
        <w:t>, 104:</w:t>
      </w:r>
      <w:r w:rsidRPr="008E413E">
        <w:rPr>
          <w:rFonts w:ascii="Calibri" w:hAnsi="Calibri"/>
          <w:noProof/>
        </w:rPr>
        <w:t>1831-</w:t>
      </w:r>
      <w:r w:rsidR="003C2854" w:rsidRPr="008E413E">
        <w:rPr>
          <w:rFonts w:ascii="Calibri" w:hAnsi="Calibri"/>
          <w:noProof/>
        </w:rPr>
        <w:t>8.</w:t>
      </w:r>
      <w:bookmarkEnd w:id="14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5" w:name="_ENREF_5"/>
      <w:r>
        <w:rPr>
          <w:rFonts w:ascii="Calibri" w:hAnsi="Calibri"/>
          <w:noProof/>
        </w:rPr>
        <w:t>16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Asemi Z, Jazayeri S, Najafi M, Samimi M, Mofid V, Shidfar F,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Effects of daily consumption of probiotic yoghurt on inflammatory factors in pregnant women: a randomized controlled trial. Pak J Biol Sci</w:t>
      </w:r>
      <w:r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2011</w:t>
      </w:r>
      <w:r w:rsidRPr="008E413E">
        <w:rPr>
          <w:rFonts w:ascii="Calibri" w:hAnsi="Calibri"/>
          <w:noProof/>
        </w:rPr>
        <w:t>;</w:t>
      </w:r>
      <w:r w:rsidR="003C2854" w:rsidRPr="008E413E">
        <w:rPr>
          <w:rFonts w:ascii="Calibri" w:hAnsi="Calibri"/>
          <w:noProof/>
        </w:rPr>
        <w:t>14:</w:t>
      </w:r>
      <w:r w:rsidRPr="008E413E">
        <w:rPr>
          <w:rFonts w:ascii="Calibri" w:hAnsi="Calibri"/>
          <w:noProof/>
        </w:rPr>
        <w:t>476-</w:t>
      </w:r>
      <w:r w:rsidR="003C2854" w:rsidRPr="008E413E">
        <w:rPr>
          <w:rFonts w:ascii="Calibri" w:hAnsi="Calibri"/>
          <w:noProof/>
        </w:rPr>
        <w:t>82.</w:t>
      </w:r>
      <w:bookmarkEnd w:id="15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6" w:name="_ENREF_6"/>
      <w:r>
        <w:rPr>
          <w:rFonts w:ascii="Calibri" w:hAnsi="Calibri"/>
          <w:noProof/>
        </w:rPr>
        <w:t>17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Asemi Z, Samimi M, Tabasi Z, Talebian P, Azarbad Z, Hydarzadeh Z,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daily consumption of probiotic yoghurt on lipid profiles in pregnant women: a randomized controlled clinical trial. </w:t>
      </w:r>
      <w:r w:rsidRPr="008E413E">
        <w:rPr>
          <w:rFonts w:ascii="Calibri" w:hAnsi="Calibri"/>
          <w:noProof/>
        </w:rPr>
        <w:t>J Matern Fetal Neonatal Med.</w:t>
      </w:r>
      <w:r w:rsidR="00F50C91" w:rsidRPr="008E413E">
        <w:rPr>
          <w:rFonts w:ascii="Calibri" w:hAnsi="Calibri"/>
          <w:noProof/>
        </w:rPr>
        <w:t xml:space="preserve"> 2012;</w:t>
      </w:r>
      <w:r w:rsidR="003C2854" w:rsidRPr="008E413E">
        <w:rPr>
          <w:rFonts w:ascii="Calibri" w:hAnsi="Calibri"/>
          <w:noProof/>
        </w:rPr>
        <w:t xml:space="preserve"> 25:</w:t>
      </w:r>
      <w:r w:rsidRPr="008E413E">
        <w:rPr>
          <w:rFonts w:ascii="Calibri" w:hAnsi="Calibri"/>
          <w:noProof/>
        </w:rPr>
        <w:t>1552-</w:t>
      </w:r>
      <w:r w:rsidR="003C2854" w:rsidRPr="008E413E">
        <w:rPr>
          <w:rFonts w:ascii="Calibri" w:hAnsi="Calibri"/>
          <w:noProof/>
        </w:rPr>
        <w:t>6.</w:t>
      </w:r>
      <w:bookmarkEnd w:id="16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7" w:name="_ENREF_7"/>
      <w:r>
        <w:rPr>
          <w:rFonts w:ascii="Calibri" w:hAnsi="Calibri"/>
          <w:noProof/>
        </w:rPr>
        <w:t>18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Asemi Z, Samimi M, Tabassi Z, Naghibi Rad M, Rahimi Foroushani A, Khorammian H,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daily consumption of probiotic yoghurt on insulin resistance in pregnant women: a randomized controlled trial. Eur J Clin Nutr</w:t>
      </w:r>
      <w:r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2013</w:t>
      </w:r>
      <w:r w:rsidRPr="008E413E">
        <w:rPr>
          <w:rFonts w:ascii="Calibri" w:hAnsi="Calibri"/>
          <w:noProof/>
        </w:rPr>
        <w:t>;</w:t>
      </w:r>
      <w:r w:rsidR="003C2854" w:rsidRPr="008E413E">
        <w:rPr>
          <w:rFonts w:ascii="Calibri" w:hAnsi="Calibri"/>
          <w:noProof/>
        </w:rPr>
        <w:t>67:</w:t>
      </w:r>
      <w:r w:rsidRPr="008E413E">
        <w:rPr>
          <w:rFonts w:ascii="Calibri" w:hAnsi="Calibri"/>
          <w:noProof/>
        </w:rPr>
        <w:t>71-</w:t>
      </w:r>
      <w:r w:rsidR="003C2854" w:rsidRPr="008E413E">
        <w:rPr>
          <w:rFonts w:ascii="Calibri" w:hAnsi="Calibri"/>
          <w:noProof/>
        </w:rPr>
        <w:t>4.</w:t>
      </w:r>
      <w:bookmarkEnd w:id="17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8" w:name="_ENREF_8"/>
      <w:r>
        <w:rPr>
          <w:rFonts w:ascii="Calibri" w:hAnsi="Calibri"/>
          <w:noProof/>
        </w:rPr>
        <w:t>19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Asemi Z, Jazayeri S, Najafi M, Samimi M, Mofid V, Shidfar F,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daily consumption of probiotic yogurt on oxidative stress in pregnant women: a randomized controlled clinical trial. Ann Nutr Meta</w:t>
      </w:r>
      <w:r w:rsidR="00F50C91" w:rsidRPr="008E413E">
        <w:rPr>
          <w:rFonts w:ascii="Calibri" w:hAnsi="Calibri"/>
          <w:noProof/>
        </w:rPr>
        <w:t>b. 2012;</w:t>
      </w:r>
      <w:r w:rsidR="003C2854" w:rsidRPr="008E413E">
        <w:rPr>
          <w:rFonts w:ascii="Calibri" w:hAnsi="Calibri"/>
          <w:noProof/>
        </w:rPr>
        <w:t>60:</w:t>
      </w:r>
      <w:r w:rsidRPr="008E413E">
        <w:rPr>
          <w:rFonts w:ascii="Calibri" w:hAnsi="Calibri"/>
          <w:noProof/>
        </w:rPr>
        <w:t>62-</w:t>
      </w:r>
      <w:r w:rsidR="003C2854" w:rsidRPr="008E413E">
        <w:rPr>
          <w:rFonts w:ascii="Calibri" w:hAnsi="Calibri"/>
          <w:noProof/>
        </w:rPr>
        <w:t>8.</w:t>
      </w:r>
      <w:bookmarkEnd w:id="18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19" w:name="_ENREF_9"/>
      <w:r>
        <w:rPr>
          <w:rFonts w:ascii="Calibri" w:hAnsi="Calibri"/>
          <w:noProof/>
        </w:rPr>
        <w:t>20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Kadooka Y, Sato M, Ogawa A, Miyoshi M, Uenishi H, Ogawa H,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Lactobacillus gasseri SBT2055 in fermented milk on abdominal adiposity in adults in a randomised controlled trial. Br J Nut</w:t>
      </w:r>
      <w:r w:rsidR="00F50C91" w:rsidRPr="008E413E">
        <w:rPr>
          <w:rFonts w:ascii="Calibri" w:hAnsi="Calibri"/>
          <w:noProof/>
        </w:rPr>
        <w:t>r. 2013;</w:t>
      </w:r>
      <w:r w:rsidR="003C2854" w:rsidRPr="008E413E">
        <w:rPr>
          <w:rFonts w:ascii="Calibri" w:hAnsi="Calibri"/>
          <w:noProof/>
        </w:rPr>
        <w:t>110:1696-1703.</w:t>
      </w:r>
      <w:bookmarkEnd w:id="19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0" w:name="_ENREF_10"/>
      <w:r>
        <w:rPr>
          <w:rFonts w:ascii="Calibri" w:hAnsi="Calibri"/>
          <w:noProof/>
        </w:rPr>
        <w:t>21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Ejtahed HS, Mohtadi-Nia J, Homayouni-Rad A, Niafar M, Asghari-Jafarabadi M, Mofid V,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probiotic yogurt containing Lactobacillus acidophilus and Bifidobacterium lactis on lipid profile in individuals with type 2 diabetes mellitus. Jo</w:t>
      </w:r>
      <w:r w:rsidRPr="008E413E">
        <w:rPr>
          <w:rFonts w:ascii="Calibri" w:hAnsi="Calibri"/>
          <w:noProof/>
        </w:rPr>
        <w:t xml:space="preserve"> Dairy Sci</w:t>
      </w:r>
      <w:r w:rsidR="00F50C91" w:rsidRPr="008E413E">
        <w:rPr>
          <w:rFonts w:ascii="Calibri" w:hAnsi="Calibri"/>
          <w:noProof/>
        </w:rPr>
        <w:t>. 2011;</w:t>
      </w:r>
      <w:r w:rsidR="003C2854" w:rsidRPr="008E413E">
        <w:rPr>
          <w:rFonts w:ascii="Calibri" w:hAnsi="Calibri"/>
          <w:noProof/>
        </w:rPr>
        <w:t>94:</w:t>
      </w:r>
      <w:r w:rsidRPr="008E413E">
        <w:rPr>
          <w:rFonts w:ascii="Calibri" w:hAnsi="Calibri"/>
          <w:noProof/>
        </w:rPr>
        <w:t>3288-</w:t>
      </w:r>
      <w:r w:rsidR="003C2854" w:rsidRPr="008E413E">
        <w:rPr>
          <w:rFonts w:ascii="Calibri" w:hAnsi="Calibri"/>
          <w:noProof/>
        </w:rPr>
        <w:t>94.</w:t>
      </w:r>
      <w:bookmarkEnd w:id="20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1" w:name="_ENREF_11"/>
      <w:r>
        <w:rPr>
          <w:rFonts w:ascii="Calibri" w:hAnsi="Calibri"/>
          <w:noProof/>
        </w:rPr>
        <w:t>22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Ejtahed H, Mohtadi-Nia J, Homayouni-Rad A, Niafar M, Asghari-Jafarabadi M, </w:t>
      </w:r>
      <w:r w:rsidR="00D85494" w:rsidRPr="008E413E">
        <w:rPr>
          <w:rFonts w:ascii="Calibri" w:hAnsi="Calibri"/>
          <w:noProof/>
        </w:rPr>
        <w:t>Mofid V.</w:t>
      </w:r>
      <w:r w:rsidR="003C2854" w:rsidRPr="008E413E">
        <w:rPr>
          <w:rFonts w:ascii="Calibri" w:hAnsi="Calibri"/>
          <w:noProof/>
        </w:rPr>
        <w:t xml:space="preserve"> Probiotic yogurt improves antioxidant status in type 2 diabetic patients. Nutritio</w:t>
      </w:r>
      <w:r w:rsidR="00F50C91" w:rsidRPr="008E413E">
        <w:rPr>
          <w:rFonts w:ascii="Calibri" w:hAnsi="Calibri"/>
          <w:noProof/>
        </w:rPr>
        <w:t>n. 2012;</w:t>
      </w:r>
      <w:r w:rsidR="003C2854" w:rsidRPr="008E413E">
        <w:rPr>
          <w:rFonts w:ascii="Calibri" w:hAnsi="Calibri"/>
          <w:noProof/>
        </w:rPr>
        <w:t>28:</w:t>
      </w:r>
      <w:r w:rsidRPr="008E413E">
        <w:rPr>
          <w:rFonts w:ascii="Calibri" w:hAnsi="Calibri"/>
          <w:noProof/>
        </w:rPr>
        <w:t>539-</w:t>
      </w:r>
      <w:r w:rsidR="003C2854" w:rsidRPr="008E413E">
        <w:rPr>
          <w:rFonts w:ascii="Calibri" w:hAnsi="Calibri"/>
          <w:noProof/>
        </w:rPr>
        <w:t>43.</w:t>
      </w:r>
      <w:bookmarkEnd w:id="21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2" w:name="_ENREF_12"/>
      <w:r>
        <w:rPr>
          <w:rFonts w:ascii="Calibri" w:hAnsi="Calibri"/>
          <w:noProof/>
        </w:rPr>
        <w:t>23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Luoto R, Laitinen K, Nermes M, </w:t>
      </w:r>
      <w:r w:rsidR="00D85494" w:rsidRPr="008E413E">
        <w:rPr>
          <w:rFonts w:ascii="Calibri" w:hAnsi="Calibri"/>
          <w:noProof/>
        </w:rPr>
        <w:t>Isolauri E.</w:t>
      </w:r>
      <w:r w:rsidR="003C2854" w:rsidRPr="008E413E">
        <w:rPr>
          <w:rFonts w:ascii="Calibri" w:hAnsi="Calibri"/>
          <w:noProof/>
        </w:rPr>
        <w:t xml:space="preserve"> Impact of maternal probiotic-supplemented dietary counseling during pregnancy on colostrum adiponectin concentration: a prospective, randomized, placebo-controlled study. Early Hum De</w:t>
      </w:r>
      <w:r w:rsidR="00F50C91" w:rsidRPr="008E413E">
        <w:rPr>
          <w:rFonts w:ascii="Calibri" w:hAnsi="Calibri"/>
          <w:noProof/>
        </w:rPr>
        <w:t>v. 2012;</w:t>
      </w:r>
      <w:r w:rsidR="003C2854" w:rsidRPr="008E413E">
        <w:rPr>
          <w:rFonts w:ascii="Calibri" w:hAnsi="Calibri"/>
          <w:noProof/>
        </w:rPr>
        <w:t>88:</w:t>
      </w:r>
      <w:r w:rsidRPr="008E413E">
        <w:rPr>
          <w:rFonts w:ascii="Calibri" w:hAnsi="Calibri"/>
          <w:noProof/>
        </w:rPr>
        <w:t>339-</w:t>
      </w:r>
      <w:r w:rsidR="003C2854" w:rsidRPr="008E413E">
        <w:rPr>
          <w:rFonts w:ascii="Calibri" w:hAnsi="Calibri"/>
          <w:noProof/>
        </w:rPr>
        <w:t>44.</w:t>
      </w:r>
      <w:bookmarkEnd w:id="22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3" w:name="_ENREF_13"/>
      <w:r>
        <w:rPr>
          <w:rFonts w:ascii="Calibri" w:hAnsi="Calibri"/>
          <w:noProof/>
        </w:rPr>
        <w:t>24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Moroti C, Souza Magri LF, de Rezende Costa M, Cavallini DC, </w:t>
      </w:r>
      <w:r w:rsidR="00D85494" w:rsidRPr="008E413E">
        <w:rPr>
          <w:rFonts w:ascii="Calibri" w:hAnsi="Calibri"/>
          <w:noProof/>
        </w:rPr>
        <w:t>Sivieri K.</w:t>
      </w:r>
      <w:r w:rsidR="003C2854" w:rsidRPr="008E413E">
        <w:rPr>
          <w:rFonts w:ascii="Calibri" w:hAnsi="Calibri"/>
          <w:noProof/>
        </w:rPr>
        <w:t xml:space="preserve"> Effect of the consumption of a new symbiotic shake on glycemia and cholesterol levels in elderly people with type 2 diabetes mellitus. Lipids Health Di</w:t>
      </w:r>
      <w:r w:rsidR="00F50C91" w:rsidRPr="008E413E">
        <w:rPr>
          <w:rFonts w:ascii="Calibri" w:hAnsi="Calibri"/>
          <w:noProof/>
        </w:rPr>
        <w:t>s. 2012;</w:t>
      </w:r>
      <w:r w:rsidR="003C2854" w:rsidRPr="008E413E">
        <w:rPr>
          <w:rFonts w:ascii="Calibri" w:hAnsi="Calibri"/>
          <w:noProof/>
        </w:rPr>
        <w:t>11:29.</w:t>
      </w:r>
      <w:bookmarkEnd w:id="23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4" w:name="_ENREF_14"/>
      <w:r>
        <w:rPr>
          <w:rFonts w:ascii="Calibri" w:hAnsi="Calibri"/>
          <w:noProof/>
        </w:rPr>
        <w:t>25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Jung SP, Lee KM, Kang JH, Yun SI, Park HO, Moon Y, </w:t>
      </w:r>
      <w:r w:rsidR="00F50C91" w:rsidRPr="008E413E">
        <w:rPr>
          <w:rFonts w:ascii="Calibri" w:hAnsi="Calibri"/>
          <w:noProof/>
        </w:rPr>
        <w:t>et al</w:t>
      </w:r>
      <w:r w:rsidR="00D8549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 xml:space="preserve"> Effect of Lactobacillus gasseri BNR17 on Overweight and Obese Adults: A Randomized, Double-Blind Clinical Trial. Korean J Fam Me</w:t>
      </w:r>
      <w:r w:rsidR="00F50C91" w:rsidRPr="008E413E">
        <w:rPr>
          <w:rFonts w:ascii="Calibri" w:hAnsi="Calibri"/>
          <w:noProof/>
        </w:rPr>
        <w:t>d. 2013;</w:t>
      </w:r>
      <w:r w:rsidR="003C2854" w:rsidRPr="008E413E">
        <w:rPr>
          <w:rFonts w:ascii="Calibri" w:hAnsi="Calibri"/>
          <w:noProof/>
        </w:rPr>
        <w:t>34:</w:t>
      </w:r>
      <w:r w:rsidRPr="008E413E">
        <w:rPr>
          <w:rFonts w:ascii="Calibri" w:hAnsi="Calibri"/>
          <w:noProof/>
        </w:rPr>
        <w:t>80-</w:t>
      </w:r>
      <w:r w:rsidR="003C2854" w:rsidRPr="008E413E">
        <w:rPr>
          <w:rFonts w:ascii="Calibri" w:hAnsi="Calibri"/>
          <w:noProof/>
        </w:rPr>
        <w:t>9.</w:t>
      </w:r>
      <w:bookmarkEnd w:id="24"/>
    </w:p>
    <w:p w:rsidR="003C2854" w:rsidRPr="008E413E" w:rsidRDefault="008E413E" w:rsidP="003C2854">
      <w:pPr>
        <w:spacing w:after="0"/>
        <w:ind w:left="720" w:hanging="720"/>
        <w:rPr>
          <w:rFonts w:ascii="Calibri" w:hAnsi="Calibri"/>
          <w:noProof/>
        </w:rPr>
      </w:pPr>
      <w:bookmarkStart w:id="25" w:name="_ENREF_15"/>
      <w:r>
        <w:rPr>
          <w:rFonts w:ascii="Calibri" w:hAnsi="Calibri"/>
          <w:noProof/>
        </w:rPr>
        <w:t>26</w:t>
      </w:r>
      <w:r w:rsidR="003C2854" w:rsidRPr="008E413E">
        <w:rPr>
          <w:rFonts w:ascii="Calibri" w:hAnsi="Calibri"/>
          <w:noProof/>
        </w:rPr>
        <w:t>.</w:t>
      </w:r>
      <w:r w:rsidR="003C2854" w:rsidRPr="008E413E">
        <w:rPr>
          <w:rFonts w:ascii="Calibri" w:hAnsi="Calibri"/>
          <w:noProof/>
        </w:rPr>
        <w:tab/>
        <w:t xml:space="preserve">Mazloom Z, Yousefinejad A, </w:t>
      </w:r>
      <w:r w:rsidR="00D85494" w:rsidRPr="008E413E">
        <w:rPr>
          <w:rFonts w:ascii="Calibri" w:hAnsi="Calibri"/>
          <w:noProof/>
        </w:rPr>
        <w:t>Dabbaghmanesh MH.</w:t>
      </w:r>
      <w:r w:rsidR="003C2854" w:rsidRPr="008E413E">
        <w:rPr>
          <w:rFonts w:ascii="Calibri" w:hAnsi="Calibri"/>
          <w:noProof/>
        </w:rPr>
        <w:t xml:space="preserve"> Effect of probiotics on lipid profile, glycemic control, insulin action, oxidative stress, and inflammatory markers in patients with type 2 diabetes: a clinical trial. Iran J Med Sc</w:t>
      </w:r>
      <w:r w:rsidR="00F50C91" w:rsidRPr="008E413E">
        <w:rPr>
          <w:rFonts w:ascii="Calibri" w:hAnsi="Calibri"/>
          <w:noProof/>
        </w:rPr>
        <w:t>i. 2013;</w:t>
      </w:r>
      <w:r w:rsidR="003C2854" w:rsidRPr="008E413E">
        <w:rPr>
          <w:rFonts w:ascii="Calibri" w:hAnsi="Calibri"/>
          <w:noProof/>
        </w:rPr>
        <w:t>38:38-43.</w:t>
      </w:r>
      <w:bookmarkEnd w:id="25"/>
    </w:p>
    <w:p w:rsidR="003C2854" w:rsidRPr="008E413E" w:rsidRDefault="003C2854" w:rsidP="00E132AD">
      <w:pPr>
        <w:spacing w:after="0"/>
        <w:ind w:left="720" w:hanging="720"/>
        <w:rPr>
          <w:rFonts w:ascii="Calibri" w:hAnsi="Calibri"/>
          <w:noProof/>
        </w:rPr>
      </w:pPr>
    </w:p>
    <w:p w:rsidR="00AD11F1" w:rsidRPr="008E413E" w:rsidRDefault="00AD11F1" w:rsidP="00AD11F1">
      <w:pPr>
        <w:spacing w:after="0" w:line="240" w:lineRule="auto"/>
        <w:rPr>
          <w:noProof/>
        </w:rPr>
      </w:pPr>
    </w:p>
    <w:p w:rsidR="00F95C86" w:rsidRPr="008E413E" w:rsidRDefault="008B33CF"/>
    <w:sectPr w:rsidR="00F95C86" w:rsidRPr="008E413E" w:rsidSect="002C0DFD">
      <w:pgSz w:w="16838" w:h="11906" w:orient="landscape"/>
      <w:pgMar w:top="1134" w:right="1701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30FC0" w:rsidRDefault="00930FC0" w:rsidP="00497AC5">
      <w:pPr>
        <w:spacing w:after="0" w:line="240" w:lineRule="auto"/>
      </w:pPr>
      <w:r>
        <w:separator/>
      </w:r>
    </w:p>
  </w:endnote>
  <w:endnote w:type="continuationSeparator" w:id="0">
    <w:p w:rsidR="00930FC0" w:rsidRDefault="00930FC0" w:rsidP="00497A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5000607B" w:usb2="00000000" w:usb3="00000000" w:csb0="0000009F" w:csb1="00000000"/>
  </w:font>
  <w:font w:name="AdvOT1ef757c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OTb7819099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PSA88A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72002044"/>
      <w:docPartObj>
        <w:docPartGallery w:val="Page Numbers (Bottom of Page)"/>
        <w:docPartUnique/>
      </w:docPartObj>
    </w:sdtPr>
    <w:sdtEndPr/>
    <w:sdtContent>
      <w:p w:rsidR="00497AC5" w:rsidRDefault="00D7381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B33CF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497AC5" w:rsidRDefault="00497A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30FC0" w:rsidRDefault="00930FC0" w:rsidP="00497AC5">
      <w:pPr>
        <w:spacing w:after="0" w:line="240" w:lineRule="auto"/>
      </w:pPr>
      <w:r>
        <w:separator/>
      </w:r>
    </w:p>
  </w:footnote>
  <w:footnote w:type="continuationSeparator" w:id="0">
    <w:p w:rsidR="00930FC0" w:rsidRDefault="00930FC0" w:rsidP="00497A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401D3"/>
    <w:multiLevelType w:val="hybridMultilevel"/>
    <w:tmpl w:val="96CED648"/>
    <w:lvl w:ilvl="0" w:tplc="D48A2B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2E140B9"/>
    <w:multiLevelType w:val="hybridMultilevel"/>
    <w:tmpl w:val="88328B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B733D8"/>
    <w:multiLevelType w:val="hybridMultilevel"/>
    <w:tmpl w:val="E9F05FBE"/>
    <w:lvl w:ilvl="0" w:tplc="D48A2B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42351D66"/>
    <w:multiLevelType w:val="hybridMultilevel"/>
    <w:tmpl w:val="F06E6D36"/>
    <w:lvl w:ilvl="0" w:tplc="D48A2B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64A5526F"/>
    <w:multiLevelType w:val="hybridMultilevel"/>
    <w:tmpl w:val="93B03B32"/>
    <w:lvl w:ilvl="0" w:tplc="D48A2BF0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  <w:sz w:val="1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EN.Layout" w:val="&lt;ENLayout&gt;&lt;Style&gt;Genome Biology&lt;/Style&gt;&lt;LeftDelim&gt;{&lt;/LeftDelim&gt;&lt;RightDelim&gt;}&lt;/RightDelim&gt;&lt;FontName&gt;Calibri&lt;/FontName&gt;&lt;FontSize&gt;11&lt;/FontSize&gt;&lt;ReflistTitle&gt;References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rtw5rpv5cfz05qepxea5fs2bwvwxtvxt2epx&quot;&gt;My EndNote Library&lt;record-ids&gt;&lt;item&gt;435&lt;/item&gt;&lt;item&gt;436&lt;/item&gt;&lt;item&gt;618&lt;/item&gt;&lt;item&gt;619&lt;/item&gt;&lt;item&gt;621&lt;/item&gt;&lt;item&gt;829&lt;/item&gt;&lt;item&gt;830&lt;/item&gt;&lt;item&gt;838&lt;/item&gt;&lt;item&gt;839&lt;/item&gt;&lt;item&gt;840&lt;/item&gt;&lt;item&gt;841&lt;/item&gt;&lt;item&gt;842&lt;/item&gt;&lt;item&gt;843&lt;/item&gt;&lt;item&gt;844&lt;/item&gt;&lt;item&gt;847&lt;/item&gt;&lt;item&gt;848&lt;/item&gt;&lt;item&gt;849&lt;/item&gt;&lt;item&gt;850&lt;/item&gt;&lt;item&gt;851&lt;/item&gt;&lt;item&gt;852&lt;/item&gt;&lt;item&gt;870&lt;/item&gt;&lt;item&gt;871&lt;/item&gt;&lt;item&gt;873&lt;/item&gt;&lt;item&gt;879&lt;/item&gt;&lt;item&gt;880&lt;/item&gt;&lt;item&gt;882&lt;/item&gt;&lt;/record-ids&gt;&lt;/item&gt;&lt;/Libraries&gt;"/>
  </w:docVars>
  <w:rsids>
    <w:rsidRoot w:val="002C0DFD"/>
    <w:rsid w:val="00067E1E"/>
    <w:rsid w:val="00101EE7"/>
    <w:rsid w:val="001569E2"/>
    <w:rsid w:val="001978CA"/>
    <w:rsid w:val="002C0DFD"/>
    <w:rsid w:val="003C2854"/>
    <w:rsid w:val="00497AC5"/>
    <w:rsid w:val="00684DD4"/>
    <w:rsid w:val="0077277F"/>
    <w:rsid w:val="008B33CF"/>
    <w:rsid w:val="008C2B4A"/>
    <w:rsid w:val="008E413E"/>
    <w:rsid w:val="00930FC0"/>
    <w:rsid w:val="009D26C4"/>
    <w:rsid w:val="00AA1C55"/>
    <w:rsid w:val="00AD11F1"/>
    <w:rsid w:val="00CA1D0E"/>
    <w:rsid w:val="00CB2FFF"/>
    <w:rsid w:val="00CC54E7"/>
    <w:rsid w:val="00D33787"/>
    <w:rsid w:val="00D73810"/>
    <w:rsid w:val="00D82E6F"/>
    <w:rsid w:val="00D85494"/>
    <w:rsid w:val="00DB2886"/>
    <w:rsid w:val="00E132AD"/>
    <w:rsid w:val="00EA31A7"/>
    <w:rsid w:val="00ED1219"/>
    <w:rsid w:val="00F4257A"/>
    <w:rsid w:val="00F50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8B2916-17A5-4574-BB07-5870DA283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DFD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C0DF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C0D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C0DF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2C0DFD"/>
    <w:rPr>
      <w:rFonts w:asciiTheme="majorHAnsi" w:eastAsiaTheme="majorEastAsia" w:hAnsiTheme="majorHAnsi" w:cstheme="majorBidi"/>
      <w:b/>
      <w:bCs/>
      <w:color w:val="4F81BD" w:themeColor="accent1"/>
      <w:lang w:val="en-US"/>
    </w:rPr>
  </w:style>
  <w:style w:type="paragraph" w:styleId="ListParagraph">
    <w:name w:val="List Paragraph"/>
    <w:basedOn w:val="Normal"/>
    <w:uiPriority w:val="34"/>
    <w:qFormat/>
    <w:rsid w:val="002C0DFD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2C0DFD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efaultParagraphFont"/>
    <w:rsid w:val="002C0DFD"/>
  </w:style>
  <w:style w:type="paragraph" w:styleId="BalloonText">
    <w:name w:val="Balloon Text"/>
    <w:basedOn w:val="Normal"/>
    <w:link w:val="BalloonTextChar"/>
    <w:uiPriority w:val="99"/>
    <w:semiHidden/>
    <w:unhideWhenUsed/>
    <w:rsid w:val="00AA1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C55"/>
    <w:rPr>
      <w:rFonts w:ascii="Tahoma" w:hAnsi="Tahoma" w:cs="Tahoma"/>
      <w:sz w:val="16"/>
      <w:szCs w:val="16"/>
      <w:lang w:val="en-US"/>
    </w:rPr>
  </w:style>
  <w:style w:type="table" w:customStyle="1" w:styleId="TableGrid1">
    <w:name w:val="Table Grid1"/>
    <w:basedOn w:val="TableNormal"/>
    <w:next w:val="TableGrid"/>
    <w:uiPriority w:val="59"/>
    <w:rsid w:val="00067E1E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D11F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497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97AC5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497A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7AC5"/>
    <w:rPr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97AC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97AC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97AC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97AC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97AC5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D73810"/>
    <w:pPr>
      <w:spacing w:after="0" w:line="240" w:lineRule="auto"/>
    </w:pPr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D73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A49FF6-5945-4F15-A5E6-8249B7809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5</Pages>
  <Words>2032</Words>
  <Characters>11585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Copenhagen</Company>
  <LinksUpToDate>false</LinksUpToDate>
  <CharactersWithSpaces>13590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Tue Haldor Hansen</dc:creator>
  <cp:lastModifiedBy>Elisabeth K</cp:lastModifiedBy>
  <cp:revision>11</cp:revision>
  <cp:lastPrinted>2015-03-04T14:57:00Z</cp:lastPrinted>
  <dcterms:created xsi:type="dcterms:W3CDTF">2015-02-20T14:28:00Z</dcterms:created>
  <dcterms:modified xsi:type="dcterms:W3CDTF">2015-03-06T14:55:00Z</dcterms:modified>
</cp:coreProperties>
</file>