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49C849" w14:textId="77777777" w:rsidR="00390239" w:rsidRPr="00775980" w:rsidRDefault="00390239" w:rsidP="00D66351">
      <w:pPr>
        <w:spacing w:line="360" w:lineRule="auto"/>
        <w:jc w:val="center"/>
        <w:rPr>
          <w:b/>
          <w:sz w:val="32"/>
        </w:rPr>
      </w:pPr>
      <w:r w:rsidRPr="00775980">
        <w:rPr>
          <w:b/>
          <w:sz w:val="32"/>
        </w:rPr>
        <w:t>Genome-wide association study of response to warfarin in a UK prospective cohort</w:t>
      </w:r>
    </w:p>
    <w:p w14:paraId="5D9B056C" w14:textId="77777777" w:rsidR="002E670A" w:rsidRPr="003A155D" w:rsidRDefault="002E670A" w:rsidP="0068752B">
      <w:pPr>
        <w:spacing w:line="360" w:lineRule="auto"/>
        <w:rPr>
          <w:b/>
        </w:rPr>
      </w:pPr>
    </w:p>
    <w:p w14:paraId="6EC2A307" w14:textId="77777777" w:rsidR="00E55B43" w:rsidRPr="00E55B43" w:rsidRDefault="00E55B43" w:rsidP="00E55B43">
      <w:pPr>
        <w:rPr>
          <w:b/>
          <w:lang w:val="fr-FR"/>
        </w:rPr>
      </w:pPr>
      <w:r w:rsidRPr="00E55B43">
        <w:rPr>
          <w:b/>
          <w:lang w:val="fr-FR"/>
        </w:rPr>
        <w:t>Supplementary Material &amp; Methods</w:t>
      </w:r>
    </w:p>
    <w:p w14:paraId="4809D1CE" w14:textId="3BC2B603" w:rsidR="005F60DE" w:rsidRPr="00BF2F6A" w:rsidRDefault="005F60DE" w:rsidP="005F60DE">
      <w:pPr>
        <w:spacing w:line="360" w:lineRule="auto"/>
        <w:rPr>
          <w:b/>
        </w:rPr>
      </w:pPr>
      <w:r>
        <w:rPr>
          <w:b/>
        </w:rPr>
        <w:t>Imputation</w:t>
      </w:r>
    </w:p>
    <w:p w14:paraId="059213B9" w14:textId="24E3FD75" w:rsidR="005F60DE" w:rsidRPr="00775980" w:rsidRDefault="005F60DE" w:rsidP="005F60DE">
      <w:pPr>
        <w:spacing w:line="360" w:lineRule="auto"/>
      </w:pPr>
      <w:r w:rsidRPr="00775980">
        <w:t xml:space="preserve">Following </w:t>
      </w:r>
      <w:r>
        <w:t xml:space="preserve">sample </w:t>
      </w:r>
      <w:r w:rsidRPr="00775980">
        <w:t>QC</w:t>
      </w:r>
      <w:r>
        <w:t>,</w:t>
      </w:r>
      <w:r w:rsidRPr="00775980">
        <w:t xml:space="preserve"> an impute-ready file was generated after filtering the data as follows, using PLINK v1.07</w:t>
      </w:r>
      <w:r w:rsidR="00554F4E" w:rsidRPr="00775980">
        <w:fldChar w:fldCharType="begin"/>
      </w:r>
      <w:r w:rsidR="00554F4E">
        <w:instrText xml:space="preserve"> ADDIN EN.CITE &lt;EndNote&gt;&lt;Cite&gt;&lt;Author&gt;Purcell&lt;/Author&gt;&lt;Year&gt;2007&lt;/Year&gt;&lt;RecNum&gt;1803&lt;/RecNum&gt;&lt;DisplayText&gt;[1]&lt;/DisplayText&gt;&lt;record&gt;&lt;rec-number&gt;1803&lt;/rec-number&gt;&lt;foreign-keys&gt;&lt;key app="EN" db-id="faw0exsw99atpdesseupvtt1f0dt09wdxvaw" timestamp="1289488864"&gt;1803&lt;/key&gt;&lt;/foreign-keys&gt;&lt;ref-type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Genet&lt;/secondary-title&gt;&lt;/titles&gt;&lt;periodical&gt;&lt;full-title&gt;Am J Hum Genet&lt;/full-title&gt;&lt;/periodical&gt;&lt;pages&gt;559-75&lt;/pages&gt;&lt;volume&gt;81&lt;/volume&gt;&lt;number&gt;3&lt;/number&gt;&lt;edition&gt;2007/08/19&lt;/edition&gt;&lt;keywords&gt;&lt;keyword&gt;Genome, Human/*genetics&lt;/keyword&gt;&lt;keyword&gt;Humans&lt;/keyword&gt;&lt;keyword&gt;Linkage (Genetics)/*genetics&lt;/keyword&gt;&lt;keyword&gt;Polymorphism, Single Nucleotide&lt;/keyword&gt;&lt;keyword&gt;Population/*genetics&lt;/keyword&gt;&lt;keyword&gt;*Software&lt;/keyword&gt;&lt;/keywords&gt;&lt;dates&gt;&lt;year&gt;2007&lt;/year&gt;&lt;pub-dates&gt;&lt;date&gt;Sep&lt;/date&gt;&lt;/pub-dates&gt;&lt;/dates&gt;&lt;isbn&gt;0002-9297 (Print)&amp;#xD;0002-9297 (Linking)&lt;/isbn&gt;&lt;accession-num&gt;17701901&lt;/accession-num&gt;&lt;urls&gt;&lt;related-urls&gt;&lt;url&gt;http://www.ncbi.nlm.nih.gov/pubmed/17701901&lt;/url&gt;&lt;url&gt;http://ac.els-cdn.com/S0002929707613524/1-s2.0-S0002929707613524-main.pdf?_tid=8479cafa-7a97-11e2-83bc-00000aacb361&amp;amp;acdnat=1361280375_c79a4e5ef3195e58241745e16e127aba&lt;/url&gt;&lt;/related-urls&gt;&lt;/urls&gt;&lt;custom2&gt;1950838&lt;/custom2&gt;&lt;electronic-resource-num&gt;S0002-9297(07)61352-4 [pii]&amp;#xD;10.1086/519795&lt;/electronic-resource-num&gt;&lt;language&gt;eng&lt;/language&gt;&lt;/record&gt;&lt;/Cite&gt;&lt;/EndNote&gt;</w:instrText>
      </w:r>
      <w:r w:rsidR="00554F4E" w:rsidRPr="00775980">
        <w:fldChar w:fldCharType="separate"/>
      </w:r>
      <w:r w:rsidR="00554F4E">
        <w:t>[</w:t>
      </w:r>
      <w:hyperlink w:anchor="_ENREF_1" w:tooltip="Purcell, 2007 #1803" w:history="1">
        <w:r w:rsidR="00554F4E">
          <w:t>1</w:t>
        </w:r>
      </w:hyperlink>
      <w:r w:rsidR="00554F4E">
        <w:t>]</w:t>
      </w:r>
      <w:r w:rsidR="00554F4E" w:rsidRPr="00775980">
        <w:fldChar w:fldCharType="end"/>
      </w:r>
      <w:r w:rsidRPr="00775980">
        <w:t xml:space="preserve"> and R v2.11.1</w:t>
      </w:r>
      <w:r w:rsidR="00554F4E" w:rsidRPr="00775980">
        <w:fldChar w:fldCharType="begin"/>
      </w:r>
      <w:r w:rsidR="00554F4E">
        <w:instrText xml:space="preserve"> ADDIN EN.CITE &lt;EndNote&gt;&lt;Cite&gt;&lt;Author&gt;R Development Core Team&lt;/Author&gt;&lt;Year&gt;2006&lt;/Year&gt;&lt;RecNum&gt;1804&lt;/RecNum&gt;&lt;DisplayText&gt;[2]&lt;/DisplayText&gt;&lt;record&gt;&lt;rec-number&gt;1804&lt;/rec-number&gt;&lt;foreign-keys&gt;&lt;key app="EN" db-id="faw0exsw99atpdesseupvtt1f0dt09wdxvaw" timestamp="1289489293"&gt;1804&lt;/key&gt;&lt;/foreign-keys&gt;&lt;ref-type name="Journal Article"&gt;17&lt;/ref-type&gt;&lt;contributors&gt;&lt;authors&gt;&lt;author&gt;R Development Core Team, R&lt;/author&gt;&lt;/authors&gt;&lt;/contributors&gt;&lt;titles&gt;&lt;title&gt;R: A language and environment for statistical computing&lt;/title&gt;&lt;secondary-title&gt;R Foundation forStatistical C om puting, V ienna, A ustria, ISB&lt;/secondary-title&gt;&lt;/titles&gt;&lt;periodical&gt;&lt;full-title&gt;R Foundation forStatistical C om puting, V ienna, A ustria, ISB&lt;/full-title&gt;&lt;/periodical&gt;&lt;pages&gt;07-0&lt;/pages&gt;&lt;dates&gt;&lt;year&gt;2006&lt;/year&gt;&lt;/dates&gt;&lt;urls&gt;&lt;/urls&gt;&lt;/record&gt;&lt;/Cite&gt;&lt;/EndNote&gt;</w:instrText>
      </w:r>
      <w:r w:rsidR="00554F4E" w:rsidRPr="00775980">
        <w:fldChar w:fldCharType="separate"/>
      </w:r>
      <w:r w:rsidR="00554F4E">
        <w:t>[</w:t>
      </w:r>
      <w:hyperlink w:anchor="_ENREF_2" w:tooltip="R Development Core Team, 2006 #1804" w:history="1">
        <w:r w:rsidR="00554F4E">
          <w:t>2</w:t>
        </w:r>
      </w:hyperlink>
      <w:r w:rsidR="00554F4E">
        <w:t>]</w:t>
      </w:r>
      <w:r w:rsidR="00554F4E" w:rsidRPr="00775980">
        <w:fldChar w:fldCharType="end"/>
      </w:r>
      <w:r w:rsidRPr="00775980">
        <w:t>:</w:t>
      </w:r>
    </w:p>
    <w:p w14:paraId="500B4BD1" w14:textId="77777777" w:rsidR="005F60DE" w:rsidRPr="00775980" w:rsidRDefault="005F60DE" w:rsidP="005F60DE">
      <w:pPr>
        <w:numPr>
          <w:ilvl w:val="0"/>
          <w:numId w:val="5"/>
        </w:numPr>
        <w:spacing w:after="0" w:line="360" w:lineRule="auto"/>
      </w:pPr>
      <w:r w:rsidRPr="00775980">
        <w:t xml:space="preserve">SNPs </w:t>
      </w:r>
    </w:p>
    <w:p w14:paraId="5C685FD3" w14:textId="77777777" w:rsidR="005F60DE" w:rsidRPr="00775980" w:rsidRDefault="005F60DE" w:rsidP="005F60DE">
      <w:pPr>
        <w:numPr>
          <w:ilvl w:val="0"/>
          <w:numId w:val="4"/>
        </w:numPr>
        <w:spacing w:after="0" w:line="360" w:lineRule="auto"/>
      </w:pPr>
      <w:r w:rsidRPr="00775980">
        <w:t>MAF&gt;0.01</w:t>
      </w:r>
    </w:p>
    <w:p w14:paraId="2B3105C2" w14:textId="77777777" w:rsidR="005F60DE" w:rsidRPr="00775980" w:rsidRDefault="005F60DE" w:rsidP="005F60DE">
      <w:pPr>
        <w:numPr>
          <w:ilvl w:val="0"/>
          <w:numId w:val="4"/>
        </w:numPr>
        <w:spacing w:after="0" w:line="360" w:lineRule="auto"/>
      </w:pPr>
      <w:r w:rsidRPr="00775980">
        <w:t>HWE exact p &gt;0.0001</w:t>
      </w:r>
    </w:p>
    <w:p w14:paraId="12B6B0BB" w14:textId="77777777" w:rsidR="005F60DE" w:rsidRPr="00775980" w:rsidRDefault="005F60DE" w:rsidP="005F60DE">
      <w:pPr>
        <w:numPr>
          <w:ilvl w:val="0"/>
          <w:numId w:val="4"/>
        </w:numPr>
        <w:spacing w:after="0" w:line="360" w:lineRule="auto"/>
      </w:pPr>
      <w:r w:rsidRPr="00775980">
        <w:t>Call rate &gt;0.</w:t>
      </w:r>
      <w:r>
        <w:t>95</w:t>
      </w:r>
      <w:r w:rsidRPr="00775980">
        <w:t xml:space="preserve"> if MAF&gt;0.05</w:t>
      </w:r>
    </w:p>
    <w:p w14:paraId="05A6B3D4" w14:textId="77777777" w:rsidR="005F60DE" w:rsidRPr="00775980" w:rsidRDefault="005F60DE" w:rsidP="005F60DE">
      <w:pPr>
        <w:numPr>
          <w:ilvl w:val="0"/>
          <w:numId w:val="4"/>
        </w:numPr>
        <w:spacing w:after="0" w:line="360" w:lineRule="auto"/>
      </w:pPr>
      <w:r w:rsidRPr="00775980">
        <w:t>call rate &gt;0.</w:t>
      </w:r>
      <w:r>
        <w:t>98</w:t>
      </w:r>
      <w:r w:rsidRPr="00775980">
        <w:t xml:space="preserve"> if MAF between 0.03 and 0.05</w:t>
      </w:r>
    </w:p>
    <w:p w14:paraId="674D80D7" w14:textId="77777777" w:rsidR="005F60DE" w:rsidRPr="00775980" w:rsidRDefault="005F60DE" w:rsidP="005F60DE">
      <w:pPr>
        <w:numPr>
          <w:ilvl w:val="0"/>
          <w:numId w:val="4"/>
        </w:numPr>
        <w:spacing w:after="0" w:line="360" w:lineRule="auto"/>
      </w:pPr>
      <w:r w:rsidRPr="00775980">
        <w:t>call rate &gt;0.</w:t>
      </w:r>
      <w:r>
        <w:t>99</w:t>
      </w:r>
      <w:r w:rsidRPr="00775980">
        <w:t xml:space="preserve"> if MAF between 0.01 and 0.03</w:t>
      </w:r>
    </w:p>
    <w:p w14:paraId="2354941F" w14:textId="77777777" w:rsidR="005F60DE" w:rsidRPr="00775980" w:rsidRDefault="005F60DE" w:rsidP="005F60DE">
      <w:pPr>
        <w:numPr>
          <w:ilvl w:val="0"/>
          <w:numId w:val="4"/>
        </w:numPr>
        <w:spacing w:after="0" w:line="360" w:lineRule="auto"/>
      </w:pPr>
      <w:r w:rsidRPr="00775980">
        <w:t xml:space="preserve">remove sex-linked SNPs </w:t>
      </w:r>
    </w:p>
    <w:p w14:paraId="7EC31ED5" w14:textId="77777777" w:rsidR="005F60DE" w:rsidRDefault="005F60DE" w:rsidP="005F60DE">
      <w:pPr>
        <w:spacing w:after="0" w:line="360" w:lineRule="auto"/>
        <w:ind w:left="360"/>
      </w:pPr>
    </w:p>
    <w:p w14:paraId="1E82CCB7" w14:textId="77777777" w:rsidR="005F60DE" w:rsidRPr="00775980" w:rsidRDefault="005F60DE" w:rsidP="005F60DE">
      <w:pPr>
        <w:numPr>
          <w:ilvl w:val="0"/>
          <w:numId w:val="5"/>
        </w:numPr>
        <w:spacing w:after="0" w:line="360" w:lineRule="auto"/>
      </w:pPr>
      <w:r w:rsidRPr="00775980">
        <w:t>Samples</w:t>
      </w:r>
    </w:p>
    <w:p w14:paraId="1AF43B5C" w14:textId="77777777" w:rsidR="005F60DE" w:rsidRDefault="005F60DE" w:rsidP="005F60DE">
      <w:pPr>
        <w:numPr>
          <w:ilvl w:val="0"/>
          <w:numId w:val="4"/>
        </w:numPr>
        <w:spacing w:after="0" w:line="360" w:lineRule="auto"/>
      </w:pPr>
      <w:r w:rsidRPr="00775980">
        <w:t>Samples with a remaining overall genotyping rate below 95% after removal of SNPs failing the aforementioned criteria were excluded</w:t>
      </w:r>
    </w:p>
    <w:p w14:paraId="2695F8B6" w14:textId="77777777" w:rsidR="005F60DE" w:rsidRDefault="005F60DE" w:rsidP="005F60DE">
      <w:pPr>
        <w:numPr>
          <w:ilvl w:val="0"/>
          <w:numId w:val="4"/>
        </w:numPr>
        <w:spacing w:after="0" w:line="360" w:lineRule="auto"/>
      </w:pPr>
      <w:r>
        <w:t>Samples with overall heterozygosity further than three standard deviations from the mean were excluded</w:t>
      </w:r>
    </w:p>
    <w:p w14:paraId="6273321C" w14:textId="77777777" w:rsidR="005F60DE" w:rsidRPr="00775980" w:rsidRDefault="005F60DE" w:rsidP="005F60DE">
      <w:pPr>
        <w:numPr>
          <w:ilvl w:val="0"/>
          <w:numId w:val="4"/>
        </w:numPr>
        <w:spacing w:after="0" w:line="360" w:lineRule="auto"/>
      </w:pPr>
      <w:r>
        <w:t>Samples with ambiguous gender were excluded</w:t>
      </w:r>
    </w:p>
    <w:p w14:paraId="78564DC3" w14:textId="423683C3" w:rsidR="005F60DE" w:rsidRPr="00775980" w:rsidRDefault="005F60DE" w:rsidP="005F60DE">
      <w:pPr>
        <w:numPr>
          <w:ilvl w:val="0"/>
          <w:numId w:val="4"/>
        </w:numPr>
        <w:spacing w:after="0" w:line="360" w:lineRule="auto"/>
      </w:pPr>
      <w:r w:rsidRPr="00775980">
        <w:t xml:space="preserve">Removal of ethnic outliers after Principal Component Analysis (PCA) using smartPCA </w:t>
      </w:r>
      <w:r w:rsidR="00554F4E" w:rsidRPr="00775980">
        <w:fldChar w:fldCharType="begin"/>
      </w:r>
      <w:r w:rsidR="00554F4E">
        <w:instrText xml:space="preserve"> ADDIN EN.CITE &lt;EndNote&gt;&lt;Cite&gt;&lt;Author&gt;Patterson&lt;/Author&gt;&lt;Year&gt;2006&lt;/Year&gt;&lt;RecNum&gt;1801&lt;/RecNum&gt;&lt;DisplayText&gt;[3]&lt;/DisplayText&gt;&lt;record&gt;&lt;rec-number&gt;1801&lt;/rec-number&gt;&lt;foreign-keys&gt;&lt;key app="EN" db-id="faw0exsw99atpdesseupvtt1f0dt09wdxvaw" timestamp="1289478454"&gt;1801&lt;/key&gt;&lt;/foreign-keys&gt;&lt;ref-type name="Journal Article"&gt;17&lt;/ref-type&gt;&lt;contributors&gt;&lt;authors&gt;&lt;author&gt;Patterson, N.&lt;/author&gt;&lt;author&gt;Price, A. L.&lt;/author&gt;&lt;author&gt;Reich, D.&lt;/author&gt;&lt;/authors&gt;&lt;/contributors&gt;&lt;auth-address&gt;Broad Institute of Harvard and MIT, Cambridge, Massachusetts, United States of America.&lt;/auth-address&gt;&lt;titles&gt;&lt;title&gt;Population structure and eigenanalysis&lt;/title&gt;&lt;secondary-title&gt;PLoS Genet&lt;/secondary-title&gt;&lt;/titles&gt;&lt;periodical&gt;&lt;full-title&gt;PLoS Genet&lt;/full-title&gt;&lt;/periodical&gt;&lt;pages&gt;e190&lt;/pages&gt;&lt;volume&gt;2&lt;/volume&gt;&lt;number&gt;12&lt;/number&gt;&lt;edition&gt;2006/12/30&lt;/edition&gt;&lt;keywords&gt;&lt;keyword&gt;Computer Simulation/statistics &amp;amp; numerical data&lt;/keyword&gt;&lt;keyword&gt;Genetic Markers&lt;/keyword&gt;&lt;keyword&gt;*Genetic Variation&lt;/keyword&gt;&lt;keyword&gt;Genetics, Medical/*methods/statistics &amp;amp; numerical data&lt;/keyword&gt;&lt;keyword&gt;Genetics, Population/*methods/statistics &amp;amp; numerical data&lt;/keyword&gt;&lt;keyword&gt;Humans&lt;/keyword&gt;&lt;keyword&gt;*Models, Genetic&lt;/keyword&gt;&lt;keyword&gt;Models, Statistical&lt;/keyword&gt;&lt;keyword&gt;Principal Component Analysis/*methods&lt;/keyword&gt;&lt;/keywords&gt;&lt;dates&gt;&lt;year&gt;2006&lt;/year&gt;&lt;pub-dates&gt;&lt;date&gt;Dec&lt;/date&gt;&lt;/pub-dates&gt;&lt;/dates&gt;&lt;isbn&gt;1553-7404 (Electronic)&lt;/isbn&gt;&lt;accession-num&gt;17194218&lt;/accession-num&gt;&lt;urls&gt;&lt;related-urls&gt;&lt;url&gt;http://www.ncbi.nlm.nih.gov/pubmed/17194218&lt;/url&gt;&lt;url&gt;http://www.plosgenetics.org/article/fetchObjectAttachment.action;jsessionid=E0C805F08F755C20EE383824753F88F9.ambra02?uri=info%3Adoi%2F10.1371%2Fjournal.pgen.0020190&amp;amp;representation=PDF&lt;/url&gt;&lt;/related-urls&gt;&lt;/urls&gt;&lt;custom2&gt;1713260&lt;/custom2&gt;&lt;electronic-resource-num&gt;06-PLGE-RA-0101R3 [pii]&amp;#xD;10.1371/journal.pgen.0020190&lt;/electronic-resource-num&gt;&lt;language&gt;eng&lt;/language&gt;&lt;/record&gt;&lt;/Cite&gt;&lt;/EndNote&gt;</w:instrText>
      </w:r>
      <w:r w:rsidR="00554F4E" w:rsidRPr="00775980">
        <w:fldChar w:fldCharType="separate"/>
      </w:r>
      <w:r w:rsidR="00554F4E">
        <w:t>[</w:t>
      </w:r>
      <w:hyperlink w:anchor="_ENREF_3" w:tooltip="Patterson, 2006 #1801" w:history="1">
        <w:r w:rsidR="00554F4E">
          <w:t>3</w:t>
        </w:r>
      </w:hyperlink>
      <w:r w:rsidR="00554F4E">
        <w:t>]</w:t>
      </w:r>
      <w:r w:rsidR="00554F4E" w:rsidRPr="00775980">
        <w:fldChar w:fldCharType="end"/>
      </w:r>
      <w:r w:rsidRPr="00775980">
        <w:t xml:space="preserve"> with HapMap 3 cohorts</w:t>
      </w:r>
      <w:r>
        <w:t>, as well as patients self declared of mixed or non-caucasian ancestry</w:t>
      </w:r>
      <w:r w:rsidRPr="00775980">
        <w:t>.</w:t>
      </w:r>
    </w:p>
    <w:p w14:paraId="21F219C4" w14:textId="77777777" w:rsidR="005F60DE" w:rsidRPr="00775980" w:rsidRDefault="005F60DE" w:rsidP="005F60DE">
      <w:pPr>
        <w:spacing w:line="360" w:lineRule="auto"/>
      </w:pPr>
    </w:p>
    <w:p w14:paraId="5FD34BA5" w14:textId="623BD515" w:rsidR="005F60DE" w:rsidRPr="00775980" w:rsidRDefault="005F60DE" w:rsidP="005F60DE">
      <w:pPr>
        <w:spacing w:line="360" w:lineRule="auto"/>
      </w:pPr>
      <w:r w:rsidRPr="00775980">
        <w:t xml:space="preserve">Imputation of genotypes was carried out using IMPUTE V2.1 </w:t>
      </w:r>
      <w:r w:rsidR="00554F4E" w:rsidRPr="00775980">
        <w:fldChar w:fldCharType="begin"/>
      </w:r>
      <w:r w:rsidR="00554F4E">
        <w:instrText xml:space="preserve"> ADDIN EN.CITE &lt;EndNote&gt;&lt;Cite&gt;&lt;Author&gt;Howie&lt;/Author&gt;&lt;Year&gt;2009&lt;/Year&gt;&lt;RecNum&gt;1711&lt;/RecNum&gt;&lt;DisplayText&gt;[4]&lt;/DisplayText&gt;&lt;record&gt;&lt;rec-number&gt;1711&lt;/rec-number&gt;&lt;foreign-keys&gt;&lt;key app="EN" db-id="faw0exsw99atpdesseupvtt1f0dt09wdxvaw" timestamp="1288805020"&gt;1711&lt;/key&gt;&lt;/foreign-keys&gt;&lt;ref-type name="Journal Article"&gt;17&lt;/ref-type&gt;&lt;contributors&gt;&lt;authors&gt;&lt;author&gt;Howie, B. N.&lt;/author&gt;&lt;author&gt;Donnelly, P.&lt;/author&gt;&lt;author&gt;Marchini, J.&lt;/author&gt;&lt;/authors&gt;&lt;/contributors&gt;&lt;auth-address&gt;Department of Statistics, University of Oxford, Oxford, UK.&lt;/auth-address&gt;&lt;titles&gt;&lt;title&gt;A flexible and accurate genotype imputation method for the next generation of genome-wide association studies&lt;/title&gt;&lt;secondary-title&gt;PLoS Genet&lt;/secondary-title&gt;&lt;/titles&gt;&lt;periodical&gt;&lt;full-title&gt;PLoS Genet&lt;/full-title&gt;&lt;/periodical&gt;&lt;pages&gt;e1000529&lt;/pages&gt;&lt;volume&gt;5&lt;/volume&gt;&lt;number&gt;6&lt;/number&gt;&lt;edition&gt;2009/06/23&lt;/edition&gt;&lt;keywords&gt;&lt;keyword&gt;Genetics, Population&lt;/keyword&gt;&lt;keyword&gt;Genome-Wide Association Study/*methods&lt;/keyword&gt;&lt;keyword&gt;Genotype&lt;/keyword&gt;&lt;keyword&gt;Humans&lt;/keyword&gt;&lt;keyword&gt;Polymorphism, Single Nucleotide&lt;/keyword&gt;&lt;keyword&gt;Software&lt;/keyword&gt;&lt;/keywords&gt;&lt;dates&gt;&lt;year&gt;2009&lt;/year&gt;&lt;pub-dates&gt;&lt;date&gt;Jun&lt;/date&gt;&lt;/pub-dates&gt;&lt;/dates&gt;&lt;isbn&gt;1553-7404 (Electronic)&lt;/isbn&gt;&lt;accession-num&gt;19543373&lt;/accession-num&gt;&lt;urls&gt;&lt;related-urls&gt;&lt;url&gt;http://www.ncbi.nlm.nih.gov/pubmed/19543373&lt;/url&gt;&lt;url&gt;http://www.plosgenetics.org/article/fetchObjectAttachment.action;jsessionid=24E255E2801E57E03081D7A9F66C0BA3.ambra02?uri=info%3Adoi%2F10.1371%2Fjournal.pgen.1000529&amp;amp;representation=PDF&lt;/url&gt;&lt;/related-urls&gt;&lt;/urls&gt;&lt;custom2&gt;2689936&lt;/custom2&gt;&lt;electronic-resource-num&gt;10.1371/journal.pgen.1000529&lt;/electronic-resource-num&gt;&lt;language&gt;eng&lt;/language&gt;&lt;/record&gt;&lt;/Cite&gt;&lt;/EndNote&gt;</w:instrText>
      </w:r>
      <w:r w:rsidR="00554F4E" w:rsidRPr="00775980">
        <w:fldChar w:fldCharType="separate"/>
      </w:r>
      <w:r w:rsidR="00554F4E">
        <w:t>[</w:t>
      </w:r>
      <w:hyperlink w:anchor="_ENREF_4" w:tooltip="Howie, 2009 #1711" w:history="1">
        <w:r w:rsidR="00554F4E">
          <w:t>4</w:t>
        </w:r>
      </w:hyperlink>
      <w:r w:rsidR="00554F4E">
        <w:t>]</w:t>
      </w:r>
      <w:r w:rsidR="00554F4E" w:rsidRPr="00775980">
        <w:fldChar w:fldCharType="end"/>
      </w:r>
      <w:r w:rsidRPr="00775980">
        <w:t xml:space="preserve">, with the filtered combined set of HapMap 3 release 2 (Feb 2009) and 1000 genomes pilot 1 CEU (March 2010) </w:t>
      </w:r>
      <w:r w:rsidR="00554F4E" w:rsidRPr="00775980">
        <w:fldChar w:fldCharType="begin"/>
      </w:r>
      <w:r w:rsidR="00554F4E">
        <w:instrText xml:space="preserve"> ADDIN EN.CITE &lt;EndNote&gt;&lt;Cite&gt;&lt;Author&gt;Marchini&lt;/Author&gt;&lt;Year&gt;2010&lt;/Year&gt;&lt;RecNum&gt;1710&lt;/RecNum&gt;&lt;DisplayText&gt;[5]&lt;/DisplayText&gt;&lt;record&gt;&lt;rec-number&gt;1710&lt;/rec-number&gt;&lt;foreign-keys&gt;&lt;key app="EN" db-id="faw0exsw99atpdesseupvtt1f0dt09wdxvaw" timestamp="1288805020"&gt;1710&lt;/key&gt;&lt;/foreign-keys&gt;&lt;ref-type name="Journal Article"&gt;17&lt;/ref-type&gt;&lt;contributors&gt;&lt;authors&gt;&lt;author&gt;Marchini, J.&lt;/author&gt;&lt;author&gt;Howie, B.&lt;/author&gt;&lt;/authors&gt;&lt;/contributors&gt;&lt;auth-address&gt;Department of Statistics, University of Oxford, Oxford, UK.&lt;/auth-address&gt;&lt;titles&gt;&lt;title&gt;Genotype imputation for genome-wide association studies&lt;/title&gt;&lt;secondary-title&gt;Nat Rev Genet&lt;/secondary-title&gt;&lt;/titles&gt;&lt;periodical&gt;&lt;full-title&gt;Nat Rev Genet&lt;/full-title&gt;&lt;/periodical&gt;&lt;pages&gt;499-511&lt;/pages&gt;&lt;volume&gt;11&lt;/volume&gt;&lt;number&gt;7&lt;/number&gt;&lt;edition&gt;2010/06/03&lt;/edition&gt;&lt;dates&gt;&lt;year&gt;2010&lt;/year&gt;&lt;pub-dates&gt;&lt;date&gt;Jun 2&lt;/date&gt;&lt;/pub-dates&gt;&lt;/dates&gt;&lt;isbn&gt;1471-0064 (Electronic)&amp;#xD;1471-0056 (Linking)&lt;/isbn&gt;&lt;accession-num&gt;20517342&lt;/accession-num&gt;&lt;urls&gt;&lt;related-urls&gt;&lt;url&gt;http://www.ncbi.nlm.nih.gov/pubmed/20517342&lt;/url&gt;&lt;url&gt;http://www.nature.com/nrg/journal/v11/n7/pdf/nrg2796.pdf&lt;/url&gt;&lt;/related-urls&gt;&lt;/urls&gt;&lt;electronic-resource-num&gt;nrg2796 [pii]&amp;#xD;10.1038/nrg2796&lt;/electronic-resource-num&gt;&lt;language&gt;Eng&lt;/language&gt;&lt;/record&gt;&lt;/Cite&gt;&lt;/EndNote&gt;</w:instrText>
      </w:r>
      <w:r w:rsidR="00554F4E" w:rsidRPr="00775980">
        <w:fldChar w:fldCharType="separate"/>
      </w:r>
      <w:r w:rsidR="00554F4E">
        <w:t>[</w:t>
      </w:r>
      <w:hyperlink w:anchor="_ENREF_5" w:tooltip="Marchini, 2010 #1710" w:history="1">
        <w:r w:rsidR="00554F4E">
          <w:t>5</w:t>
        </w:r>
      </w:hyperlink>
      <w:r w:rsidR="00554F4E">
        <w:t>]</w:t>
      </w:r>
      <w:r w:rsidR="00554F4E" w:rsidRPr="00775980">
        <w:fldChar w:fldCharType="end"/>
      </w:r>
      <w:r w:rsidRPr="00775980">
        <w:t>. In order not to bias genotyping against heterozygous positions, imputation quality metrics from IMPUTE were used instead of the usual 0.9 threshold on genotype uncertainty; SNPs with an information measure below 0.</w:t>
      </w:r>
      <w:r>
        <w:t>8</w:t>
      </w:r>
      <w:r w:rsidRPr="00775980">
        <w:t xml:space="preserve"> were </w:t>
      </w:r>
      <w:r w:rsidRPr="00775980">
        <w:lastRenderedPageBreak/>
        <w:t>discarded using QCtool [</w:t>
      </w:r>
      <w:r w:rsidRPr="008B5E17">
        <w:t>http://www.well.ox.ac.uk/~gav/qctool/</w:t>
      </w:r>
      <w:r w:rsidRPr="008B5E17" w:rsidDel="008B5E17">
        <w:t xml:space="preserve"> </w:t>
      </w:r>
      <w:r w:rsidRPr="00775980">
        <w:t>]</w:t>
      </w:r>
      <w:r>
        <w:t>, and a threshold of 0.5 was applied on genotype uncertainty using Gtool [</w:t>
      </w:r>
      <w:r w:rsidRPr="00505713">
        <w:t>http://www.well.ox.ac.uk/~cfreeman/software/gwas/gtool.html</w:t>
      </w:r>
      <w:r>
        <w:t>]</w:t>
      </w:r>
      <w:r w:rsidRPr="00775980">
        <w:t xml:space="preserve">. Sex-linked SNPs were added back to the imputed genotype set, and filtering was carried out again with the same settings as earlier, with the following exceptions: SNPs were not excluded based on HWE exact p-value, sex-linked SNPs were not excluded, no further PCA analysis was carried out to identify ethnic outliers. </w:t>
      </w:r>
    </w:p>
    <w:p w14:paraId="3BF53643" w14:textId="77777777" w:rsidR="00E55B43" w:rsidRDefault="00E55B43" w:rsidP="00E55B43">
      <w:pPr>
        <w:rPr>
          <w:lang w:val="fr-FR"/>
        </w:rPr>
      </w:pPr>
    </w:p>
    <w:p w14:paraId="492F7657" w14:textId="77777777" w:rsidR="00E55B43" w:rsidRDefault="00E55B43" w:rsidP="00E55B43">
      <w:pPr>
        <w:spacing w:line="360" w:lineRule="auto"/>
      </w:pPr>
      <w:r w:rsidRPr="00775980">
        <w:rPr>
          <w:b/>
        </w:rPr>
        <w:t>CNV calling and QC</w:t>
      </w:r>
    </w:p>
    <w:p w14:paraId="6239F719" w14:textId="10C74F85" w:rsidR="00BD2375" w:rsidRDefault="00BD2375" w:rsidP="00BD2375">
      <w:pPr>
        <w:spacing w:line="360" w:lineRule="auto"/>
        <w:jc w:val="both"/>
      </w:pPr>
      <w:r>
        <w:t xml:space="preserve">CNVtools does not attempt CNV discovery; instead, it uses a predefined list of known CNV regions. The list used was that published by Conrad </w:t>
      </w:r>
      <w:r>
        <w:rPr>
          <w:i/>
        </w:rPr>
        <w:t>et al</w:t>
      </w:r>
      <w:r>
        <w:t xml:space="preserve">. </w:t>
      </w:r>
      <w:r w:rsidR="00554F4E">
        <w:fldChar w:fldCharType="begin">
          <w:fldData xml:space="preserve">PEVuZE5vdGU+PENpdGUgRXhjbHVkZUF1dGg9IjEiPjxBdXRob3I+Q29ucmFkPC9BdXRob3I+PFll
YXI+MjAxMDwvWWVhcj48UmVjTnVtPjE4MDk8L1JlY051bT48RGlzcGxheVRleHQ+WzZdPC9EaXNw
bGF5VGV4dD48cmVjb3JkPjxyZWMtbnVtYmVyPjE4MDk8L3JlYy1udW1iZXI+PGZvcmVpZ24ta2V5
cz48a2V5IGFwcD0iRU4iIGRiLWlkPSJmYXcwZXhzdzk5YXRwZGVzc2V1cHZ0dDFmMGR0MDl3ZHh2
YXciIHRpbWVzdGFtcD0iMTI5NjA1OTU2NiI+MTgwOTwva2V5PjwvZm9yZWlnbi1rZXlzPjxyZWYt
dHlwZSBuYW1lPSJKb3VybmFsIEFydGljbGUiPjE3PC9yZWYtdHlwZT48Y29udHJpYnV0b3JzPjxh
dXRob3JzPjxhdXRob3I+Q29ucmFkLCBELiBGLjwvYXV0aG9yPjxhdXRob3I+UGludG8sIEQuPC9h
dXRob3I+PGF1dGhvcj5SZWRvbiwgUi48L2F1dGhvcj48YXV0aG9yPkZldWssIEwuPC9hdXRob3I+
PGF1dGhvcj5Hb2tjdW1lbiwgTy48L2F1dGhvcj48YXV0aG9yPlpoYW5nLCBZLjwvYXV0aG9yPjxh
dXRob3I+QWVydHMsIEouPC9hdXRob3I+PGF1dGhvcj5BbmRyZXdzLCBULiBELjwvYXV0aG9yPjxh
dXRob3I+QmFybmVzLCBDLjwvYXV0aG9yPjxhdXRob3I+Q2FtcGJlbGwsIFAuPC9hdXRob3I+PGF1
dGhvcj5GaXR6Z2VyYWxkLCBULjwvYXV0aG9yPjxhdXRob3I+SHUsIE0uPC9hdXRob3I+PGF1dGhv
cj5JaG0sIEMuIEguPC9hdXRob3I+PGF1dGhvcj5LcmlzdGlhbnNzb24sIEsuPC9hdXRob3I+PGF1
dGhvcj5NYWNhcnRodXIsIEQuIEcuPC9hdXRob3I+PGF1dGhvcj5NYWNkb25hbGQsIEouIFIuPC9h
dXRob3I+PGF1dGhvcj5PbnlpYWgsIEkuPC9hdXRob3I+PGF1dGhvcj5QYW5nLCBBLiBXLjwvYXV0
aG9yPjxhdXRob3I+Um9ic29uLCBTLjwvYXV0aG9yPjxhdXRob3I+U3RpcnJ1cHMsIEsuPC9hdXRo
b3I+PGF1dGhvcj5WYWxzZXNpYSwgQS48L2F1dGhvcj48YXV0aG9yPldhbHRlciwgSy48L2F1dGhv
cj48YXV0aG9yPldlaSwgSi48L2F1dGhvcj48YXV0aG9yPlR5bGVyLVNtaXRoLCBDLjwvYXV0aG9y
PjxhdXRob3I+Q2FydGVyLCBOLiBQLjwvYXV0aG9yPjxhdXRob3I+TGVlLCBDLjwvYXV0aG9yPjxh
dXRob3I+U2NoZXJlciwgUy4gVy48L2F1dGhvcj48YXV0aG9yPkh1cmxlcywgTS4gRS48L2F1dGhv
cj48L2F1dGhvcnM+PC9jb250cmlidXRvcnM+PGF1dGgtYWRkcmVzcz5UaGUgV2VsbGNvbWUgVHJ1
c3QgU2FuZ2VyIEluc3RpdHV0ZSwgV2VsbGNvbWUgVHJ1c3QgR2Vub21lIENhbXB1cywgSGlueHRv
biwgQ2FtYnJpZGdlLCBDQjEwIDFTQSBVSy48L2F1dGgtYWRkcmVzcz48dGl0bGVzPjx0aXRsZT5P
cmlnaW5zIGFuZCBmdW5jdGlvbmFsIGltcGFjdCBvZiBjb3B5IG51bWJlciB2YXJpYXRpb24gaW4g
dGhlIGh1bWFuIGdlbm9tZTwvdGl0bGU+PHNlY29uZGFyeS10aXRsZT5OYXR1cmU8L3NlY29uZGFy
eS10aXRsZT48L3RpdGxlcz48cGVyaW9kaWNhbD48ZnVsbC10aXRsZT5OYXR1cmU8L2Z1bGwtdGl0
bGU+PGFiYnItMT5OYXR1cmU8L2FiYnItMT48L3BlcmlvZGljYWw+PHBhZ2VzPjcwNC0xMjwvcGFn
ZXM+PHZvbHVtZT40NjQ8L3ZvbHVtZT48bnVtYmVyPjcyODk8L251bWJlcj48ZWRpdGlvbj4yMDA5
LzEwLzA5PC9lZGl0aW9uPjxrZXl3b3Jkcz48a2V5d29yZD5Db250aW5lbnRhbCBQb3B1bGF0aW9u
IEdyb3Vwcy9nZW5ldGljczwva2V5d29yZD48a2V5d29yZD5ETkEgQ29weSBOdW1iZXIgVmFyaWF0
aW9ucy8qZ2VuZXRpY3M8L2tleXdvcmQ+PGtleXdvcmQ+R2VuZSBEdXBsaWNhdGlvbjwva2V5d29y
ZD48a2V5d29yZD5HZW5ldGljIFByZWRpc3Bvc2l0aW9uIHRvIERpc2Vhc2UvKmdlbmV0aWNzPC9r
ZXl3b3JkPjxrZXl3b3JkPkdlbm9tZSwgSHVtYW4vKmdlbmV0aWNzPC9rZXl3b3JkPjxrZXl3b3Jk
Pkdlbm9tZS1XaWRlIEFzc29jaWF0aW9uIFN0dWR5PC9rZXl3b3JkPjxrZXl3b3JkPkdlbm90eXBl
PC9rZXl3b3JkPjxrZXl3b3JkPkhhcGxvdHlwZXMvZ2VuZXRpY3M8L2tleXdvcmQ+PGtleXdvcmQ+
SHVtYW5zPC9rZXl3b3JkPjxrZXl3b3JkPk11dGFnZW5lc2lzLypnZW5ldGljczwva2V5d29yZD48
a2V5d29yZD5PbGlnb251Y2xlb3RpZGUgQXJyYXkgU2VxdWVuY2UgQW5hbHlzaXM8L2tleXdvcmQ+
PGtleXdvcmQ+UG9seW1vcnBoaXNtLCBTaW5nbGUgTnVjbGVvdGlkZS9nZW5ldGljczwva2V5d29y
ZD48a2V5d29yZD5SZXByb2R1Y2liaWxpdHkgb2YgUmVzdWx0czwva2V5d29yZD48L2tleXdvcmRz
PjxkYXRlcz48eWVhcj4yMDEwPC95ZWFyPjxwdWItZGF0ZXM+PGRhdGU+QXByIDE8L2RhdGU+PC9w
dWItZGF0ZXM+PC9kYXRlcz48aXNibj4xNDc2LTQ2ODcgKEVsZWN0cm9uaWMpJiN4RDswMDI4LTA4
MzYgKExpbmtpbmcpPC9pc2JuPjxhY2Nlc3Npb24tbnVtPjE5ODEyNTQ1PC9hY2Nlc3Npb24tbnVt
Pjx1cmxzPjxyZWxhdGVkLXVybHM+PHVybD5odHRwOi8vd3d3Lm5jYmkubmxtLm5paC5nb3YvcHVi
bWVkLzE5ODEyNTQ1PC91cmw+PHVybD5odHRwOi8vd3d3Lm5hdHVyZS5jb20vbmF0dXJlL2pvdXJu
YWwvdjQ2NC9uNzI4OS9wZGYvbmF0dXJlMDg1MTYucGRmPC91cmw+PC9yZWxhdGVkLXVybHM+PC91
cmxzPjxlbGVjdHJvbmljLXJlc291cmNlLW51bT5uYXR1cmUwODUxNiBbcGlpXSYjeEQ7MTAuMTAz
OC9uYXR1cmUwODUxNjwvZWxlY3Ryb25pYy1yZXNvdXJjZS1udW0+PGxhbmd1YWdlPmVuZzwvbGFu
Z3VhZ2U+PC9yZWNvcmQ+PC9DaXRlPjwvRW5kTm90ZT4A
</w:fldData>
        </w:fldChar>
      </w:r>
      <w:r w:rsidR="00554F4E">
        <w:instrText xml:space="preserve"> ADDIN EN.CITE </w:instrText>
      </w:r>
      <w:r w:rsidR="00554F4E">
        <w:fldChar w:fldCharType="begin">
          <w:fldData xml:space="preserve">PEVuZE5vdGU+PENpdGUgRXhjbHVkZUF1dGg9IjEiPjxBdXRob3I+Q29ucmFkPC9BdXRob3I+PFll
YXI+MjAxMDwvWWVhcj48UmVjTnVtPjE4MDk8L1JlY051bT48RGlzcGxheVRleHQ+WzZdPC9EaXNw
bGF5VGV4dD48cmVjb3JkPjxyZWMtbnVtYmVyPjE4MDk8L3JlYy1udW1iZXI+PGZvcmVpZ24ta2V5
cz48a2V5IGFwcD0iRU4iIGRiLWlkPSJmYXcwZXhzdzk5YXRwZGVzc2V1cHZ0dDFmMGR0MDl3ZHh2
YXciIHRpbWVzdGFtcD0iMTI5NjA1OTU2NiI+MTgwOTwva2V5PjwvZm9yZWlnbi1rZXlzPjxyZWYt
dHlwZSBuYW1lPSJKb3VybmFsIEFydGljbGUiPjE3PC9yZWYtdHlwZT48Y29udHJpYnV0b3JzPjxh
dXRob3JzPjxhdXRob3I+Q29ucmFkLCBELiBGLjwvYXV0aG9yPjxhdXRob3I+UGludG8sIEQuPC9h
dXRob3I+PGF1dGhvcj5SZWRvbiwgUi48L2F1dGhvcj48YXV0aG9yPkZldWssIEwuPC9hdXRob3I+
PGF1dGhvcj5Hb2tjdW1lbiwgTy48L2F1dGhvcj48YXV0aG9yPlpoYW5nLCBZLjwvYXV0aG9yPjxh
dXRob3I+QWVydHMsIEouPC9hdXRob3I+PGF1dGhvcj5BbmRyZXdzLCBULiBELjwvYXV0aG9yPjxh
dXRob3I+QmFybmVzLCBDLjwvYXV0aG9yPjxhdXRob3I+Q2FtcGJlbGwsIFAuPC9hdXRob3I+PGF1
dGhvcj5GaXR6Z2VyYWxkLCBULjwvYXV0aG9yPjxhdXRob3I+SHUsIE0uPC9hdXRob3I+PGF1dGhv
cj5JaG0sIEMuIEguPC9hdXRob3I+PGF1dGhvcj5LcmlzdGlhbnNzb24sIEsuPC9hdXRob3I+PGF1
dGhvcj5NYWNhcnRodXIsIEQuIEcuPC9hdXRob3I+PGF1dGhvcj5NYWNkb25hbGQsIEouIFIuPC9h
dXRob3I+PGF1dGhvcj5PbnlpYWgsIEkuPC9hdXRob3I+PGF1dGhvcj5QYW5nLCBBLiBXLjwvYXV0
aG9yPjxhdXRob3I+Um9ic29uLCBTLjwvYXV0aG9yPjxhdXRob3I+U3RpcnJ1cHMsIEsuPC9hdXRo
b3I+PGF1dGhvcj5WYWxzZXNpYSwgQS48L2F1dGhvcj48YXV0aG9yPldhbHRlciwgSy48L2F1dGhv
cj48YXV0aG9yPldlaSwgSi48L2F1dGhvcj48YXV0aG9yPlR5bGVyLVNtaXRoLCBDLjwvYXV0aG9y
PjxhdXRob3I+Q2FydGVyLCBOLiBQLjwvYXV0aG9yPjxhdXRob3I+TGVlLCBDLjwvYXV0aG9yPjxh
dXRob3I+U2NoZXJlciwgUy4gVy48L2F1dGhvcj48YXV0aG9yPkh1cmxlcywgTS4gRS48L2F1dGhv
cj48L2F1dGhvcnM+PC9jb250cmlidXRvcnM+PGF1dGgtYWRkcmVzcz5UaGUgV2VsbGNvbWUgVHJ1
c3QgU2FuZ2VyIEluc3RpdHV0ZSwgV2VsbGNvbWUgVHJ1c3QgR2Vub21lIENhbXB1cywgSGlueHRv
biwgQ2FtYnJpZGdlLCBDQjEwIDFTQSBVSy48L2F1dGgtYWRkcmVzcz48dGl0bGVzPjx0aXRsZT5P
cmlnaW5zIGFuZCBmdW5jdGlvbmFsIGltcGFjdCBvZiBjb3B5IG51bWJlciB2YXJpYXRpb24gaW4g
dGhlIGh1bWFuIGdlbm9tZTwvdGl0bGU+PHNlY29uZGFyeS10aXRsZT5OYXR1cmU8L3NlY29uZGFy
eS10aXRsZT48L3RpdGxlcz48cGVyaW9kaWNhbD48ZnVsbC10aXRsZT5OYXR1cmU8L2Z1bGwtdGl0
bGU+PGFiYnItMT5OYXR1cmU8L2FiYnItMT48L3BlcmlvZGljYWw+PHBhZ2VzPjcwNC0xMjwvcGFn
ZXM+PHZvbHVtZT40NjQ8L3ZvbHVtZT48bnVtYmVyPjcyODk8L251bWJlcj48ZWRpdGlvbj4yMDA5
LzEwLzA5PC9lZGl0aW9uPjxrZXl3b3Jkcz48a2V5d29yZD5Db250aW5lbnRhbCBQb3B1bGF0aW9u
IEdyb3Vwcy9nZW5ldGljczwva2V5d29yZD48a2V5d29yZD5ETkEgQ29weSBOdW1iZXIgVmFyaWF0
aW9ucy8qZ2VuZXRpY3M8L2tleXdvcmQ+PGtleXdvcmQ+R2VuZSBEdXBsaWNhdGlvbjwva2V5d29y
ZD48a2V5d29yZD5HZW5ldGljIFByZWRpc3Bvc2l0aW9uIHRvIERpc2Vhc2UvKmdlbmV0aWNzPC9r
ZXl3b3JkPjxrZXl3b3JkPkdlbm9tZSwgSHVtYW4vKmdlbmV0aWNzPC9rZXl3b3JkPjxrZXl3b3Jk
Pkdlbm9tZS1XaWRlIEFzc29jaWF0aW9uIFN0dWR5PC9rZXl3b3JkPjxrZXl3b3JkPkdlbm90eXBl
PC9rZXl3b3JkPjxrZXl3b3JkPkhhcGxvdHlwZXMvZ2VuZXRpY3M8L2tleXdvcmQ+PGtleXdvcmQ+
SHVtYW5zPC9rZXl3b3JkPjxrZXl3b3JkPk11dGFnZW5lc2lzLypnZW5ldGljczwva2V5d29yZD48
a2V5d29yZD5PbGlnb251Y2xlb3RpZGUgQXJyYXkgU2VxdWVuY2UgQW5hbHlzaXM8L2tleXdvcmQ+
PGtleXdvcmQ+UG9seW1vcnBoaXNtLCBTaW5nbGUgTnVjbGVvdGlkZS9nZW5ldGljczwva2V5d29y
ZD48a2V5d29yZD5SZXByb2R1Y2liaWxpdHkgb2YgUmVzdWx0czwva2V5d29yZD48L2tleXdvcmRz
PjxkYXRlcz48eWVhcj4yMDEwPC95ZWFyPjxwdWItZGF0ZXM+PGRhdGU+QXByIDE8L2RhdGU+PC9w
dWItZGF0ZXM+PC9kYXRlcz48aXNibj4xNDc2LTQ2ODcgKEVsZWN0cm9uaWMpJiN4RDswMDI4LTA4
MzYgKExpbmtpbmcpPC9pc2JuPjxhY2Nlc3Npb24tbnVtPjE5ODEyNTQ1PC9hY2Nlc3Npb24tbnVt
Pjx1cmxzPjxyZWxhdGVkLXVybHM+PHVybD5odHRwOi8vd3d3Lm5jYmkubmxtLm5paC5nb3YvcHVi
bWVkLzE5ODEyNTQ1PC91cmw+PHVybD5odHRwOi8vd3d3Lm5hdHVyZS5jb20vbmF0dXJlL2pvdXJu
YWwvdjQ2NC9uNzI4OS9wZGYvbmF0dXJlMDg1MTYucGRmPC91cmw+PC9yZWxhdGVkLXVybHM+PC91
cmxzPjxlbGVjdHJvbmljLXJlc291cmNlLW51bT5uYXR1cmUwODUxNiBbcGlpXSYjeEQ7MTAuMTAz
OC9uYXR1cmUwODUxNjwvZWxlY3Ryb25pYy1yZXNvdXJjZS1udW0+PGxhbmd1YWdlPmVuZzwvbGFu
Z3VhZ2U+PC9yZWNvcmQ+PC9DaXRlPjwvRW5kTm90ZT4A
</w:fldData>
        </w:fldChar>
      </w:r>
      <w:r w:rsidR="00554F4E">
        <w:instrText xml:space="preserve"> ADDIN EN.CITE.DATA </w:instrText>
      </w:r>
      <w:r w:rsidR="00554F4E">
        <w:fldChar w:fldCharType="end"/>
      </w:r>
      <w:r w:rsidR="00554F4E">
        <w:fldChar w:fldCharType="separate"/>
      </w:r>
      <w:r w:rsidR="00554F4E">
        <w:t>[</w:t>
      </w:r>
      <w:hyperlink w:anchor="_ENREF_6" w:tooltip="Conrad, 2010 #1809" w:history="1">
        <w:r w:rsidR="00554F4E">
          <w:t>6</w:t>
        </w:r>
      </w:hyperlink>
      <w:r w:rsidR="00554F4E">
        <w:t>]</w:t>
      </w:r>
      <w:r w:rsidR="00554F4E">
        <w:fldChar w:fldCharType="end"/>
      </w:r>
      <w:r>
        <w:t xml:space="preserve">. Only the 11,306 autosomal regions listed were considered. Of these, 5,972 had at least one Illumina probe present and so were run through the CNV analysis pipeline. This was performed for the continuous (quantitative) traits √(Mean Weekly Dose), </w:t>
      </w:r>
      <w:r>
        <w:rPr>
          <w:i/>
        </w:rPr>
        <w:t>SQRTMWD</w:t>
      </w:r>
      <w:r>
        <w:t xml:space="preserve">, and √(Stable Mean Weekly Dose), </w:t>
      </w:r>
      <w:r>
        <w:rPr>
          <w:i/>
        </w:rPr>
        <w:t>SQRTSMWD</w:t>
      </w:r>
      <w:r>
        <w:t>, in turn. At the start of the CNV analysis there were, respectively, 635 and 332 samples with valid (non-NA) values of these traits.</w:t>
      </w:r>
    </w:p>
    <w:p w14:paraId="64C9775C" w14:textId="77777777" w:rsidR="00BD2375" w:rsidRDefault="00BD2375" w:rsidP="00BD2375">
      <w:pPr>
        <w:spacing w:line="360" w:lineRule="auto"/>
        <w:jc w:val="both"/>
      </w:pPr>
    </w:p>
    <w:p w14:paraId="1FF4F93D" w14:textId="23805EFE" w:rsidR="00BD2375" w:rsidRDefault="00BD2375" w:rsidP="00BD2375">
      <w:pPr>
        <w:spacing w:line="360" w:lineRule="auto"/>
        <w:jc w:val="both"/>
      </w:pPr>
      <w:r>
        <w:t xml:space="preserve">For a given (predefined) CNV region, samples with too many NA values were removed; CNVtools then performed a principal component analysis (PCA) on a matrix of standardised signal intensities and clustered the result of the PCA; the clusters represented the copy number assignments for the samples. Output from the PCA procedure could then be used in linear discriminant analysis (LDF) to further improve the clustering of the data </w:t>
      </w:r>
      <w:r w:rsidR="00554F4E">
        <w:fldChar w:fldCharType="begin">
          <w:fldData xml:space="preserve">PEVuZE5vdGU+PENpdGU+PEF1dGhvcj5Db25yYWQ8L0F1dGhvcj48WWVhcj4yMDEwPC9ZZWFyPjxS
ZWNOdW0+MTgwOTwvUmVjTnVtPjxEaXNwbGF5VGV4dD5bNl08L0Rpc3BsYXlUZXh0PjxyZWNvcmQ+
PHJlYy1udW1iZXI+MTgwOTwvcmVjLW51bWJlcj48Zm9yZWlnbi1rZXlzPjxrZXkgYXBwPSJFTiIg
ZGItaWQ9ImZhdzBleHN3OTlhdHBkZXNzZXVwdnR0MWYwZHQwOXdkeHZhdyIgdGltZXN0YW1wPSIx
Mjk2MDU5NTY2Ij4xODA5PC9rZXk+PC9mb3JlaWduLWtleXM+PHJlZi10eXBlIG5hbWU9IkpvdXJu
YWwgQXJ0aWNsZSI+MTc8L3JlZi10eXBlPjxjb250cmlidXRvcnM+PGF1dGhvcnM+PGF1dGhvcj5D
b25yYWQsIEQuIEYuPC9hdXRob3I+PGF1dGhvcj5QaW50bywgRC48L2F1dGhvcj48YXV0aG9yPlJl
ZG9uLCBSLjwvYXV0aG9yPjxhdXRob3I+RmV1aywgTC48L2F1dGhvcj48YXV0aG9yPkdva2N1bWVu
LCBPLjwvYXV0aG9yPjxhdXRob3I+WmhhbmcsIFkuPC9hdXRob3I+PGF1dGhvcj5BZXJ0cywgSi48
L2F1dGhvcj48YXV0aG9yPkFuZHJld3MsIFQuIEQuPC9hdXRob3I+PGF1dGhvcj5CYXJuZXMsIEMu
PC9hdXRob3I+PGF1dGhvcj5DYW1wYmVsbCwgUC48L2F1dGhvcj48YXV0aG9yPkZpdHpnZXJhbGQs
IFQuPC9hdXRob3I+PGF1dGhvcj5IdSwgTS48L2F1dGhvcj48YXV0aG9yPklobSwgQy4gSC48L2F1
dGhvcj48YXV0aG9yPktyaXN0aWFuc3NvbiwgSy48L2F1dGhvcj48YXV0aG9yPk1hY2FydGh1ciwg
RC4gRy48L2F1dGhvcj48YXV0aG9yPk1hY2RvbmFsZCwgSi4gUi48L2F1dGhvcj48YXV0aG9yPk9u
eWlhaCwgSS48L2F1dGhvcj48YXV0aG9yPlBhbmcsIEEuIFcuPC9hdXRob3I+PGF1dGhvcj5Sb2Jz
b24sIFMuPC9hdXRob3I+PGF1dGhvcj5TdGlycnVwcywgSy48L2F1dGhvcj48YXV0aG9yPlZhbHNl
c2lhLCBBLjwvYXV0aG9yPjxhdXRob3I+V2FsdGVyLCBLLjwvYXV0aG9yPjxhdXRob3I+V2VpLCBK
LjwvYXV0aG9yPjxhdXRob3I+VHlsZXItU21pdGgsIEMuPC9hdXRob3I+PGF1dGhvcj5DYXJ0ZXIs
IE4uIFAuPC9hdXRob3I+PGF1dGhvcj5MZWUsIEMuPC9hdXRob3I+PGF1dGhvcj5TY2hlcmVyLCBT
LiBXLjwvYXV0aG9yPjxhdXRob3I+SHVybGVzLCBNLiBFLjwvYXV0aG9yPjwvYXV0aG9ycz48L2Nv
bnRyaWJ1dG9ycz48YXV0aC1hZGRyZXNzPlRoZSBXZWxsY29tZSBUcnVzdCBTYW5nZXIgSW5zdGl0
dXRlLCBXZWxsY29tZSBUcnVzdCBHZW5vbWUgQ2FtcHVzLCBIaW54dG9uLCBDYW1icmlkZ2UsIENC
MTAgMVNBIFVLLjwvYXV0aC1hZGRyZXNzPjx0aXRsZXM+PHRpdGxlPk9yaWdpbnMgYW5kIGZ1bmN0
aW9uYWwgaW1wYWN0IG9mIGNvcHkgbnVtYmVyIHZhcmlhdGlvbiBpbiB0aGUgaHVtYW4gZ2Vub21l
PC90aXRsZT48c2Vjb25kYXJ5LXRpdGxlPk5hdHVyZTwvc2Vjb25kYXJ5LXRpdGxlPjwvdGl0bGVz
PjxwZXJpb2RpY2FsPjxmdWxsLXRpdGxlPk5hdHVyZTwvZnVsbC10aXRsZT48YWJici0xPk5hdHVy
ZTwvYWJici0xPjwvcGVyaW9kaWNhbD48cGFnZXM+NzA0LTEyPC9wYWdlcz48dm9sdW1lPjQ2NDwv
dm9sdW1lPjxudW1iZXI+NzI4OTwvbnVtYmVyPjxlZGl0aW9uPjIwMDkvMTAvMDk8L2VkaXRpb24+
PGtleXdvcmRzPjxrZXl3b3JkPkNvbnRpbmVudGFsIFBvcHVsYXRpb24gR3JvdXBzL2dlbmV0aWNz
PC9rZXl3b3JkPjxrZXl3b3JkPkROQSBDb3B5IE51bWJlciBWYXJpYXRpb25zLypnZW5ldGljczwv
a2V5d29yZD48a2V5d29yZD5HZW5lIER1cGxpY2F0aW9uPC9rZXl3b3JkPjxrZXl3b3JkPkdlbmV0
aWMgUHJlZGlzcG9zaXRpb24gdG8gRGlzZWFzZS8qZ2VuZXRpY3M8L2tleXdvcmQ+PGtleXdvcmQ+
R2Vub21lLCBIdW1hbi8qZ2VuZXRpY3M8L2tleXdvcmQ+PGtleXdvcmQ+R2Vub21lLVdpZGUgQXNz
b2NpYXRpb24gU3R1ZHk8L2tleXdvcmQ+PGtleXdvcmQ+R2Vub3R5cGU8L2tleXdvcmQ+PGtleXdv
cmQ+SGFwbG90eXBlcy9nZW5ldGljczwva2V5d29yZD48a2V5d29yZD5IdW1hbnM8L2tleXdvcmQ+
PGtleXdvcmQ+TXV0YWdlbmVzaXMvKmdlbmV0aWNzPC9rZXl3b3JkPjxrZXl3b3JkPk9saWdvbnVj
bGVvdGlkZSBBcnJheSBTZXF1ZW5jZSBBbmFseXNpczwva2V5d29yZD48a2V5d29yZD5Qb2x5bW9y
cGhpc20sIFNpbmdsZSBOdWNsZW90aWRlL2dlbmV0aWNzPC9rZXl3b3JkPjxrZXl3b3JkPlJlcHJv
ZHVjaWJpbGl0eSBvZiBSZXN1bHRzPC9rZXl3b3JkPjwva2V5d29yZHM+PGRhdGVzPjx5ZWFyPjIw
MTA8L3llYXI+PHB1Yi1kYXRlcz48ZGF0ZT5BcHIgMTwvZGF0ZT48L3B1Yi1kYXRlcz48L2RhdGVz
Pjxpc2JuPjE0NzYtNDY4NyAoRWxlY3Ryb25pYykmI3hEOzAwMjgtMDgzNiAoTGlua2luZyk8L2lz
Ym4+PGFjY2Vzc2lvbi1udW0+MTk4MTI1NDU8L2FjY2Vzc2lvbi1udW0+PHVybHM+PHJlbGF0ZWQt
dXJscz48dXJsPmh0dHA6Ly93d3cubmNiaS5ubG0ubmloLmdvdi9wdWJtZWQvMTk4MTI1NDU8L3Vy
bD48dXJsPmh0dHA6Ly93d3cubmF0dXJlLmNvbS9uYXR1cmUvam91cm5hbC92NDY0L243Mjg5L3Bk
Zi9uYXR1cmUwODUxNi5wZGY8L3VybD48L3JlbGF0ZWQtdXJscz48L3VybHM+PGVsZWN0cm9uaWMt
cmVzb3VyY2UtbnVtPm5hdHVyZTA4NTE2IFtwaWldJiN4RDsxMC4xMDM4L25hdHVyZTA4NTE2PC9l
bGVjdHJvbmljLXJlc291cmNlLW51bT48bGFuZ3VhZ2U+ZW5nPC9sYW5ndWFnZT48L3JlY29yZD48
L0NpdGU+PC9FbmROb3RlPgB=
</w:fldData>
        </w:fldChar>
      </w:r>
      <w:r w:rsidR="00554F4E">
        <w:instrText xml:space="preserve"> ADDIN EN.CITE </w:instrText>
      </w:r>
      <w:r w:rsidR="00554F4E">
        <w:fldChar w:fldCharType="begin">
          <w:fldData xml:space="preserve">PEVuZE5vdGU+PENpdGU+PEF1dGhvcj5Db25yYWQ8L0F1dGhvcj48WWVhcj4yMDEwPC9ZZWFyPjxS
ZWNOdW0+MTgwOTwvUmVjTnVtPjxEaXNwbGF5VGV4dD5bNl08L0Rpc3BsYXlUZXh0PjxyZWNvcmQ+
PHJlYy1udW1iZXI+MTgwOTwvcmVjLW51bWJlcj48Zm9yZWlnbi1rZXlzPjxrZXkgYXBwPSJFTiIg
ZGItaWQ9ImZhdzBleHN3OTlhdHBkZXNzZXVwdnR0MWYwZHQwOXdkeHZhdyIgdGltZXN0YW1wPSIx
Mjk2MDU5NTY2Ij4xODA5PC9rZXk+PC9mb3JlaWduLWtleXM+PHJlZi10eXBlIG5hbWU9IkpvdXJu
YWwgQXJ0aWNsZSI+MTc8L3JlZi10eXBlPjxjb250cmlidXRvcnM+PGF1dGhvcnM+PGF1dGhvcj5D
b25yYWQsIEQuIEYuPC9hdXRob3I+PGF1dGhvcj5QaW50bywgRC48L2F1dGhvcj48YXV0aG9yPlJl
ZG9uLCBSLjwvYXV0aG9yPjxhdXRob3I+RmV1aywgTC48L2F1dGhvcj48YXV0aG9yPkdva2N1bWVu
LCBPLjwvYXV0aG9yPjxhdXRob3I+WmhhbmcsIFkuPC9hdXRob3I+PGF1dGhvcj5BZXJ0cywgSi48
L2F1dGhvcj48YXV0aG9yPkFuZHJld3MsIFQuIEQuPC9hdXRob3I+PGF1dGhvcj5CYXJuZXMsIEMu
PC9hdXRob3I+PGF1dGhvcj5DYW1wYmVsbCwgUC48L2F1dGhvcj48YXV0aG9yPkZpdHpnZXJhbGQs
IFQuPC9hdXRob3I+PGF1dGhvcj5IdSwgTS48L2F1dGhvcj48YXV0aG9yPklobSwgQy4gSC48L2F1
dGhvcj48YXV0aG9yPktyaXN0aWFuc3NvbiwgSy48L2F1dGhvcj48YXV0aG9yPk1hY2FydGh1ciwg
RC4gRy48L2F1dGhvcj48YXV0aG9yPk1hY2RvbmFsZCwgSi4gUi48L2F1dGhvcj48YXV0aG9yPk9u
eWlhaCwgSS48L2F1dGhvcj48YXV0aG9yPlBhbmcsIEEuIFcuPC9hdXRob3I+PGF1dGhvcj5Sb2Jz
b24sIFMuPC9hdXRob3I+PGF1dGhvcj5TdGlycnVwcywgSy48L2F1dGhvcj48YXV0aG9yPlZhbHNl
c2lhLCBBLjwvYXV0aG9yPjxhdXRob3I+V2FsdGVyLCBLLjwvYXV0aG9yPjxhdXRob3I+V2VpLCBK
LjwvYXV0aG9yPjxhdXRob3I+VHlsZXItU21pdGgsIEMuPC9hdXRob3I+PGF1dGhvcj5DYXJ0ZXIs
IE4uIFAuPC9hdXRob3I+PGF1dGhvcj5MZWUsIEMuPC9hdXRob3I+PGF1dGhvcj5TY2hlcmVyLCBT
LiBXLjwvYXV0aG9yPjxhdXRob3I+SHVybGVzLCBNLiBFLjwvYXV0aG9yPjwvYXV0aG9ycz48L2Nv
bnRyaWJ1dG9ycz48YXV0aC1hZGRyZXNzPlRoZSBXZWxsY29tZSBUcnVzdCBTYW5nZXIgSW5zdGl0
dXRlLCBXZWxsY29tZSBUcnVzdCBHZW5vbWUgQ2FtcHVzLCBIaW54dG9uLCBDYW1icmlkZ2UsIENC
MTAgMVNBIFVLLjwvYXV0aC1hZGRyZXNzPjx0aXRsZXM+PHRpdGxlPk9yaWdpbnMgYW5kIGZ1bmN0
aW9uYWwgaW1wYWN0IG9mIGNvcHkgbnVtYmVyIHZhcmlhdGlvbiBpbiB0aGUgaHVtYW4gZ2Vub21l
PC90aXRsZT48c2Vjb25kYXJ5LXRpdGxlPk5hdHVyZTwvc2Vjb25kYXJ5LXRpdGxlPjwvdGl0bGVz
PjxwZXJpb2RpY2FsPjxmdWxsLXRpdGxlPk5hdHVyZTwvZnVsbC10aXRsZT48YWJici0xPk5hdHVy
ZTwvYWJici0xPjwvcGVyaW9kaWNhbD48cGFnZXM+NzA0LTEyPC9wYWdlcz48dm9sdW1lPjQ2NDwv
dm9sdW1lPjxudW1iZXI+NzI4OTwvbnVtYmVyPjxlZGl0aW9uPjIwMDkvMTAvMDk8L2VkaXRpb24+
PGtleXdvcmRzPjxrZXl3b3JkPkNvbnRpbmVudGFsIFBvcHVsYXRpb24gR3JvdXBzL2dlbmV0aWNz
PC9rZXl3b3JkPjxrZXl3b3JkPkROQSBDb3B5IE51bWJlciBWYXJpYXRpb25zLypnZW5ldGljczwv
a2V5d29yZD48a2V5d29yZD5HZW5lIER1cGxpY2F0aW9uPC9rZXl3b3JkPjxrZXl3b3JkPkdlbmV0
aWMgUHJlZGlzcG9zaXRpb24gdG8gRGlzZWFzZS8qZ2VuZXRpY3M8L2tleXdvcmQ+PGtleXdvcmQ+
R2Vub21lLCBIdW1hbi8qZ2VuZXRpY3M8L2tleXdvcmQ+PGtleXdvcmQ+R2Vub21lLVdpZGUgQXNz
b2NpYXRpb24gU3R1ZHk8L2tleXdvcmQ+PGtleXdvcmQ+R2Vub3R5cGU8L2tleXdvcmQ+PGtleXdv
cmQ+SGFwbG90eXBlcy9nZW5ldGljczwva2V5d29yZD48a2V5d29yZD5IdW1hbnM8L2tleXdvcmQ+
PGtleXdvcmQ+TXV0YWdlbmVzaXMvKmdlbmV0aWNzPC9rZXl3b3JkPjxrZXl3b3JkPk9saWdvbnVj
bGVvdGlkZSBBcnJheSBTZXF1ZW5jZSBBbmFseXNpczwva2V5d29yZD48a2V5d29yZD5Qb2x5bW9y
cGhpc20sIFNpbmdsZSBOdWNsZW90aWRlL2dlbmV0aWNzPC9rZXl3b3JkPjxrZXl3b3JkPlJlcHJv
ZHVjaWJpbGl0eSBvZiBSZXN1bHRzPC9rZXl3b3JkPjwva2V5d29yZHM+PGRhdGVzPjx5ZWFyPjIw
MTA8L3llYXI+PHB1Yi1kYXRlcz48ZGF0ZT5BcHIgMTwvZGF0ZT48L3B1Yi1kYXRlcz48L2RhdGVz
Pjxpc2JuPjE0NzYtNDY4NyAoRWxlY3Ryb25pYykmI3hEOzAwMjgtMDgzNiAoTGlua2luZyk8L2lz
Ym4+PGFjY2Vzc2lvbi1udW0+MTk4MTI1NDU8L2FjY2Vzc2lvbi1udW0+PHVybHM+PHJlbGF0ZWQt
dXJscz48dXJsPmh0dHA6Ly93d3cubmNiaS5ubG0ubmloLmdvdi9wdWJtZWQvMTk4MTI1NDU8L3Vy
bD48dXJsPmh0dHA6Ly93d3cubmF0dXJlLmNvbS9uYXR1cmUvam91cm5hbC92NDY0L243Mjg5L3Bk
Zi9uYXR1cmUwODUxNi5wZGY8L3VybD48L3JlbGF0ZWQtdXJscz48L3VybHM+PGVsZWN0cm9uaWMt
cmVzb3VyY2UtbnVtPm5hdHVyZTA4NTE2IFtwaWldJiN4RDsxMC4xMDM4L25hdHVyZTA4NTE2PC9l
bGVjdHJvbmljLXJlc291cmNlLW51bT48bGFuZ3VhZ2U+ZW5nPC9sYW5ndWFnZT48L3JlY29yZD48
L0NpdGU+PC9FbmROb3RlPgB=
</w:fldData>
        </w:fldChar>
      </w:r>
      <w:r w:rsidR="00554F4E">
        <w:instrText xml:space="preserve"> ADDIN EN.CITE.DATA </w:instrText>
      </w:r>
      <w:r w:rsidR="00554F4E">
        <w:fldChar w:fldCharType="end"/>
      </w:r>
      <w:r w:rsidR="00554F4E">
        <w:fldChar w:fldCharType="separate"/>
      </w:r>
      <w:r w:rsidR="00554F4E">
        <w:t>[</w:t>
      </w:r>
      <w:hyperlink w:anchor="_ENREF_6" w:tooltip="Conrad, 2010 #1809" w:history="1">
        <w:r w:rsidR="00554F4E">
          <w:t>6</w:t>
        </w:r>
      </w:hyperlink>
      <w:r w:rsidR="00554F4E">
        <w:t>]</w:t>
      </w:r>
      <w:r w:rsidR="00554F4E">
        <w:fldChar w:fldCharType="end"/>
      </w:r>
      <w:r>
        <w:t xml:space="preserve">. </w:t>
      </w:r>
    </w:p>
    <w:p w14:paraId="140A5375" w14:textId="77777777" w:rsidR="00BD2375" w:rsidRDefault="00BD2375" w:rsidP="00BD2375">
      <w:pPr>
        <w:spacing w:line="360" w:lineRule="auto"/>
        <w:jc w:val="both"/>
      </w:pPr>
    </w:p>
    <w:p w14:paraId="6B306F1E" w14:textId="77777777" w:rsidR="00BD2375" w:rsidRDefault="00BD2375" w:rsidP="00BD2375">
      <w:pPr>
        <w:spacing w:line="360" w:lineRule="auto"/>
        <w:jc w:val="both"/>
      </w:pPr>
      <w:r>
        <w:t xml:space="preserve">The approach taken (post sample QC) was: (i) initial QC, (ii) first fitting attempts for all regions (“run 1”), (iii) further QC, (iv) second and final fitting attempts (“run 2”), (v) identification of “interesting” regions, (vi) additional checks and (vii) visual inspection of the clusters produced by CNVtools and comparison of these with the observed intensity signal distribution. </w:t>
      </w:r>
    </w:p>
    <w:p w14:paraId="1ECAB978" w14:textId="77777777" w:rsidR="00BD2375" w:rsidRDefault="00BD2375" w:rsidP="00E55B43">
      <w:pPr>
        <w:jc w:val="both"/>
      </w:pPr>
    </w:p>
    <w:p w14:paraId="3A731D66" w14:textId="77777777" w:rsidR="00554F4E" w:rsidRDefault="00554F4E" w:rsidP="00E55B43">
      <w:pPr>
        <w:jc w:val="both"/>
      </w:pPr>
    </w:p>
    <w:p w14:paraId="3CDBC4D1" w14:textId="77777777" w:rsidR="00E55B43" w:rsidRDefault="00E55B43" w:rsidP="00E55B43">
      <w:pPr>
        <w:jc w:val="both"/>
      </w:pPr>
      <w:r>
        <w:lastRenderedPageBreak/>
        <w:t xml:space="preserve">Detail of the approach taken post sample QC: </w:t>
      </w:r>
    </w:p>
    <w:p w14:paraId="561A5E44" w14:textId="132B5EAD" w:rsidR="00E55B43" w:rsidRDefault="00E55B43" w:rsidP="00E55B43">
      <w:pPr>
        <w:numPr>
          <w:ilvl w:val="0"/>
          <w:numId w:val="11"/>
        </w:numPr>
        <w:autoSpaceDE w:val="0"/>
        <w:autoSpaceDN w:val="0"/>
        <w:adjustRightInd w:val="0"/>
        <w:spacing w:after="0" w:line="240" w:lineRule="auto"/>
        <w:jc w:val="both"/>
      </w:pPr>
      <w:r>
        <w:rPr>
          <w:i/>
        </w:rPr>
        <w:t>Initial QC</w:t>
      </w:r>
      <w:r>
        <w:t xml:space="preserve">. This was done on a per-chromosome basis. The value of the Illumina BeadStudio quantity </w:t>
      </w:r>
      <w:r>
        <w:rPr>
          <w:i/>
        </w:rPr>
        <w:t>R=X+Y</w:t>
      </w:r>
      <w:r>
        <w:t>, i.e. the total BeadStudio-normalised intensity</w:t>
      </w:r>
      <w:r w:rsidR="00554F4E">
        <w:fldChar w:fldCharType="begin"/>
      </w:r>
      <w:r w:rsidR="00554F4E">
        <w:instrText xml:space="preserve"> ADDIN EN.CITE &lt;EndNote&gt;&lt;Cite&gt;&lt;Author&gt;Illumina&lt;/Author&gt;&lt;Year&gt;2007&lt;/Year&gt;&lt;RecNum&gt;3949&lt;/RecNum&gt;&lt;DisplayText&gt;[7]&lt;/DisplayText&gt;&lt;record&gt;&lt;rec-number&gt;3949&lt;/rec-number&gt;&lt;foreign-keys&gt;&lt;key app="EN" db-id="faw0exsw99atpdesseupvtt1f0dt09wdxvaw" timestamp="1425052566"&gt;3949&lt;/key&gt;&lt;/foreign-keys&gt;&lt;ref-type name="Generic"&gt;13&lt;/ref-type&gt;&lt;contributors&gt;&lt;authors&gt;&lt;author&gt;Illumina&lt;/author&gt;&lt;/authors&gt;&lt;/contributors&gt;&lt;titles&gt;&lt;title&gt;Genotyping Data Normalization Methods&lt;/title&gt;&lt;/titles&gt;&lt;number&gt;970-2007-010&lt;/number&gt;&lt;dates&gt;&lt;year&gt;2007&lt;/year&gt;&lt;pub-dates&gt;&lt;date&gt;04/03/2007&lt;/date&gt;&lt;/pub-dates&gt;&lt;/dates&gt;&lt;urls&gt;&lt;/urls&gt;&lt;/record&gt;&lt;/Cite&gt;&lt;/EndNote&gt;</w:instrText>
      </w:r>
      <w:r w:rsidR="00554F4E">
        <w:fldChar w:fldCharType="separate"/>
      </w:r>
      <w:r w:rsidR="00554F4E">
        <w:t>[</w:t>
      </w:r>
      <w:hyperlink w:anchor="_ENREF_7" w:tooltip="Illumina, 2007 #3949" w:history="1">
        <w:r w:rsidR="00554F4E">
          <w:t>7</w:t>
        </w:r>
      </w:hyperlink>
      <w:r w:rsidR="00554F4E">
        <w:t>]</w:t>
      </w:r>
      <w:r w:rsidR="00554F4E">
        <w:fldChar w:fldCharType="end"/>
      </w:r>
      <w:r>
        <w:t xml:space="preserve">, was found for each sample at each probe position. It was assumed that </w:t>
      </w:r>
      <w:r>
        <w:rPr>
          <w:i/>
        </w:rPr>
        <w:t>R</w:t>
      </w:r>
      <w:r>
        <w:t xml:space="preserve"> was a proxy for the underlying copy number. After removing </w:t>
      </w:r>
      <w:r>
        <w:rPr>
          <w:rFonts w:ascii="Courier New" w:hAnsi="Courier New"/>
        </w:rPr>
        <w:t>NaN</w:t>
      </w:r>
      <w:r>
        <w:t xml:space="preserve"> values, two quantities were calculated for each sample: (a) the median value of </w:t>
      </w:r>
      <w:r>
        <w:rPr>
          <w:i/>
        </w:rPr>
        <w:t>R</w:t>
      </w:r>
      <w:r>
        <w:t xml:space="preserve">, and (b) </w:t>
      </w:r>
      <w:r>
        <w:rPr>
          <w:i/>
        </w:rPr>
        <w:t>mad.d1r</w:t>
      </w:r>
      <w:r>
        <w:t xml:space="preserve">, the median of absolute differences in copy number measurement between neighbouring probes. Scatter plots of the two parameters and subsequent visual inspection aided cut-off values to be determined for sample rejection; 3 standard deviations (s.d.) from the mean were used in this case. Extreme (&gt; 3 and &lt; 3 s.d.) values of median </w:t>
      </w:r>
      <w:r>
        <w:rPr>
          <w:i/>
        </w:rPr>
        <w:t>R</w:t>
      </w:r>
      <w:r>
        <w:t xml:space="preserve"> indicated possible aneuploidies (in practice, probably cell-line artefacts), whereas values of </w:t>
      </w:r>
      <w:r>
        <w:rPr>
          <w:i/>
        </w:rPr>
        <w:t>mad.d1r</w:t>
      </w:r>
      <w:r>
        <w:t xml:space="preserve"> &gt; 3 s.d. above the mean cast doubt on the veracity of the probe readings, as this indicated frequent sudden changes in </w:t>
      </w:r>
      <w:r>
        <w:rPr>
          <w:i/>
        </w:rPr>
        <w:t>R</w:t>
      </w:r>
      <w:r>
        <w:t xml:space="preserve"> between adjacent probes. Samples with values outside the bounds described were deemed to have failed initial QC for, and were removed from the analysis of, that chromosome. This process was repeated for each chromosome in turn.</w:t>
      </w:r>
    </w:p>
    <w:p w14:paraId="4C9F3676" w14:textId="77777777" w:rsidR="00E55B43" w:rsidRDefault="00E55B43" w:rsidP="00E55B43">
      <w:pPr>
        <w:ind w:left="566"/>
        <w:jc w:val="both"/>
      </w:pPr>
    </w:p>
    <w:p w14:paraId="12F92BF4" w14:textId="77777777" w:rsidR="00E55B43" w:rsidRDefault="00E55B43" w:rsidP="00E55B43">
      <w:pPr>
        <w:numPr>
          <w:ilvl w:val="0"/>
          <w:numId w:val="11"/>
        </w:numPr>
        <w:autoSpaceDE w:val="0"/>
        <w:autoSpaceDN w:val="0"/>
        <w:adjustRightInd w:val="0"/>
        <w:spacing w:after="0" w:line="240" w:lineRule="auto"/>
        <w:jc w:val="both"/>
      </w:pPr>
      <w:r>
        <w:rPr>
          <w:i/>
        </w:rPr>
        <w:t>Run1</w:t>
      </w:r>
      <w:r>
        <w:t xml:space="preserve">. CNVtools has parameters which can be specified to influence the way it attempts its cluster fitting. The parameters considered were: whether to use Gaussian or </w:t>
      </w:r>
      <w:r>
        <w:rPr>
          <w:i/>
        </w:rPr>
        <w:t>t</w:t>
      </w:r>
      <w:r>
        <w:t xml:space="preserve"> distributions; whether to force a 3-cluster model or allow CNVtools to estimate the number of clusters freely; and whether to allow each cluster’s variance to be different or force them to be equal. There were thus 8 (=2</w:t>
      </w:r>
      <w:r>
        <w:rPr>
          <w:vertAlign w:val="superscript"/>
        </w:rPr>
        <w:t>3</w:t>
      </w:r>
      <w:r>
        <w:t>) possible parameter combinations.</w:t>
      </w:r>
    </w:p>
    <w:p w14:paraId="7C17F65F" w14:textId="77777777" w:rsidR="00E55B43" w:rsidRDefault="00E55B43" w:rsidP="00E55B43">
      <w:pPr>
        <w:pStyle w:val="ListParagraph"/>
      </w:pPr>
    </w:p>
    <w:p w14:paraId="3E538655" w14:textId="5D73B0B8" w:rsidR="00E55B43" w:rsidRDefault="00E55B43" w:rsidP="00E55B43">
      <w:pPr>
        <w:ind w:left="566"/>
        <w:jc w:val="both"/>
      </w:pPr>
      <w:r>
        <w:t xml:space="preserve">Fits were attempted for all regions, with at least one probe present, for each chromosome in turn; samples which had failed initial QC for a given chromosome were not included in the fitting attempts for that chromosome’s regions. “Pass” fits were deemed to be those which converged at all three fitting stages and had values of the cluster separation parameter </w:t>
      </w:r>
      <w:r>
        <w:rPr>
          <w:i/>
        </w:rPr>
        <w:t>Q</w:t>
      </w:r>
      <w:r>
        <w:t xml:space="preserve"> &gt; 4 </w:t>
      </w:r>
      <w:r w:rsidR="00554F4E">
        <w:fldChar w:fldCharType="begin">
          <w:fldData xml:space="preserve">PEVuZE5vdGU+PENpdGU+PEF1dGhvcj5Db25yYWQ8L0F1dGhvcj48WWVhcj4yMDEwPC9ZZWFyPjxS
ZWNOdW0+Mzk0NzwvUmVjTnVtPjxEaXNwbGF5VGV4dD5bOF08L0Rpc3BsYXlUZXh0PjxyZWNvcmQ+
PHJlYy1udW1iZXI+Mzk0NzwvcmVjLW51bWJlcj48Zm9yZWlnbi1rZXlzPjxrZXkgYXBwPSJFTiIg
ZGItaWQ9ImZhdzBleHN3OTlhdHBkZXNzZXVwdnR0MWYwZHQwOXdkeHZhdyIgdGltZXN0YW1wPSIx
NDI1MDUxNzQ2Ij4zOTQ3PC9rZXk+PC9mb3JlaWduLWtleXM+PHJlZi10eXBlIG5hbWU9IkpvdXJu
YWwgQXJ0aWNsZSI+MTc8L3JlZi10eXBlPjxjb250cmlidXRvcnM+PGF1dGhvcnM+PGF1dGhvcj5D
b25yYWQsIEQuIEYuPC9hdXRob3I+PGF1dGhvcj5QaW50bywgRC48L2F1dGhvcj48YXV0aG9yPlJl
ZG9uLCBSLjwvYXV0aG9yPjxhdXRob3I+RmV1aywgTC48L2F1dGhvcj48YXV0aG9yPkdva2N1bWVu
LCBPLjwvYXV0aG9yPjxhdXRob3I+WmhhbmcsIFkuPC9hdXRob3I+PGF1dGhvcj5BZXJ0cywgSi48
L2F1dGhvcj48YXV0aG9yPkFuZHJld3MsIFQuIEQuPC9hdXRob3I+PGF1dGhvcj5CYXJuZXMsIEMu
PC9hdXRob3I+PGF1dGhvcj5DYW1wYmVsbCwgUC48L2F1dGhvcj48YXV0aG9yPkZpdHpnZXJhbGQs
IFQuPC9hdXRob3I+PGF1dGhvcj5IdSwgTS48L2F1dGhvcj48YXV0aG9yPklobSwgQy4gSC48L2F1
dGhvcj48YXV0aG9yPktyaXN0aWFuc3NvbiwgSy48L2F1dGhvcj48YXV0aG9yPk1hY2FydGh1ciwg
RC4gRy48L2F1dGhvcj48YXV0aG9yPk1hY2RvbmFsZCwgSi4gUi48L2F1dGhvcj48YXV0aG9yPk9u
eWlhaCwgSS48L2F1dGhvcj48YXV0aG9yPlBhbmcsIEEuIFcuPC9hdXRob3I+PGF1dGhvcj5Sb2Jz
b24sIFMuPC9hdXRob3I+PGF1dGhvcj5TdGlycnVwcywgSy48L2F1dGhvcj48YXV0aG9yPlZhbHNl
c2lhLCBBLjwvYXV0aG9yPjxhdXRob3I+V2FsdGVyLCBLLjwvYXV0aG9yPjxhdXRob3I+V2VpLCBK
LjwvYXV0aG9yPjxhdXRob3I+V2VsbGNvbWUgVHJ1c3QgQ2FzZSBDb250cm9sLCBDb25zb3J0aXVt
PC9hdXRob3I+PGF1dGhvcj5UeWxlci1TbWl0aCwgQy48L2F1dGhvcj48YXV0aG9yPkNhcnRlciwg
Ti4gUC48L2F1dGhvcj48YXV0aG9yPkxlZSwgQy48L2F1dGhvcj48YXV0aG9yPlNjaGVyZXIsIFMu
IFcuPC9hdXRob3I+PGF1dGhvcj5IdXJsZXMsIE0uIEUuPC9hdXRob3I+PC9hdXRob3JzPjwvY29u
dHJpYnV0b3JzPjxhdXRoLWFkZHJlc3M+VGhlIFdlbGxjb21lIFRydXN0IFNhbmdlciBJbnN0aXR1
dGUsIFdlbGxjb21lIFRydXN0IEdlbm9tZSBDYW1wdXMsIEhpbnh0b24sIENhbWJyaWRnZSwgQ0Ix
MCAxU0EgVUsuPC9hdXRoLWFkZHJlc3M+PHRpdGxlcz48dGl0bGU+T3JpZ2lucyBhbmQgZnVuY3Rp
b25hbCBpbXBhY3Qgb2YgY29weSBudW1iZXIgdmFyaWF0aW9uIGluIHRoZSBodW1hbiBnZW5vbWU8
L3RpdGxlPjxzZWNvbmRhcnktdGl0bGU+TmF0dXJlPC9zZWNvbmRhcnktdGl0bGU+PGFsdC10aXRs
ZT5OYXR1cmU8L2FsdC10aXRsZT48L3RpdGxlcz48cGVyaW9kaWNhbD48ZnVsbC10aXRsZT5OYXR1
cmU8L2Z1bGwtdGl0bGU+PGFiYnItMT5OYXR1cmU8L2FiYnItMT48L3BlcmlvZGljYWw+PGFsdC1w
ZXJpb2RpY2FsPjxmdWxsLXRpdGxlPk5hdHVyZTwvZnVsbC10aXRsZT48YWJici0xPk5hdHVyZTwv
YWJici0xPjwvYWx0LXBlcmlvZGljYWw+PHBhZ2VzPjcwNC0xMjwvcGFnZXM+PHZvbHVtZT40NjQ8
L3ZvbHVtZT48bnVtYmVyPjcyODk8L251bWJlcj48a2V5d29yZHM+PGtleXdvcmQ+Q29udGluZW50
YWwgUG9wdWxhdGlvbiBHcm91cHMvZ2VuZXRpY3M8L2tleXdvcmQ+PGtleXdvcmQ+RE5BIENvcHkg
TnVtYmVyIFZhcmlhdGlvbnMvKmdlbmV0aWNzPC9rZXl3b3JkPjxrZXl3b3JkPkdlbmUgRHVwbGlj
YXRpb248L2tleXdvcmQ+PGtleXdvcmQ+R2VuZXRpYyBQcmVkaXNwb3NpdGlvbiB0byBEaXNlYXNl
LypnZW5ldGljczwva2V5d29yZD48a2V5d29yZD5HZW5vbWUsIEh1bWFuLypnZW5ldGljczwva2V5
d29yZD48a2V5d29yZD5HZW5vbWUtV2lkZSBBc3NvY2lhdGlvbiBTdHVkeTwva2V5d29yZD48a2V5
d29yZD5HZW5vdHlwZTwva2V5d29yZD48a2V5d29yZD5IYXBsb3R5cGVzL2dlbmV0aWNzPC9rZXl3
b3JkPjxrZXl3b3JkPkh1bWFuczwva2V5d29yZD48a2V5d29yZD5NdXRhZ2VuZXNpcy8qZ2VuZXRp
Y3M8L2tleXdvcmQ+PGtleXdvcmQ+T2xpZ29udWNsZW90aWRlIEFycmF5IFNlcXVlbmNlIEFuYWx5
c2lzPC9rZXl3b3JkPjxrZXl3b3JkPlBvbHltb3JwaGlzbSwgU2luZ2xlIE51Y2xlb3RpZGUvZ2Vu
ZXRpY3M8L2tleXdvcmQ+PGtleXdvcmQ+UmVwcm9kdWNpYmlsaXR5IG9mIFJlc3VsdHM8L2tleXdv
cmQ+PC9rZXl3b3Jkcz48ZGF0ZXM+PHllYXI+MjAxMDwveWVhcj48cHViLWRhdGVzPjxkYXRlPkFw
ciAxPC9kYXRlPjwvcHViLWRhdGVzPjwvZGF0ZXM+PGlzYm4+MTQ3Ni00Njg3IChFbGVjdHJvbmlj
KSYjeEQ7MDAyOC0wODM2IChMaW5raW5nKTwvaXNibj48YWNjZXNzaW9uLW51bT4xOTgxMjU0NTwv
YWNjZXNzaW9uLW51bT48dXJscz48cmVsYXRlZC11cmxzPjx1cmw+aHR0cDovL3d3dy5uY2JpLm5s
bS5uaWguZ292L3B1Ym1lZC8xOTgxMjU0NTwvdXJsPjwvcmVsYXRlZC11cmxzPjwvdXJscz48Y3Vz
dG9tMj4zMzMwNzQ4PC9jdXN0b20yPjxlbGVjdHJvbmljLXJlc291cmNlLW51bT4xMC4xMDM4L25h
dHVyZTA4NTE2PC9lbGVjdHJvbmljLXJlc291cmNlLW51bT48L3JlY29yZD48L0NpdGU+PC9FbmRO
b3RlPn==
</w:fldData>
        </w:fldChar>
      </w:r>
      <w:r w:rsidR="00554F4E">
        <w:instrText xml:space="preserve"> ADDIN EN.CITE </w:instrText>
      </w:r>
      <w:r w:rsidR="00554F4E">
        <w:fldChar w:fldCharType="begin">
          <w:fldData xml:space="preserve">PEVuZE5vdGU+PENpdGU+PEF1dGhvcj5Db25yYWQ8L0F1dGhvcj48WWVhcj4yMDEwPC9ZZWFyPjxS
ZWNOdW0+Mzk0NzwvUmVjTnVtPjxEaXNwbGF5VGV4dD5bOF08L0Rpc3BsYXlUZXh0PjxyZWNvcmQ+
PHJlYy1udW1iZXI+Mzk0NzwvcmVjLW51bWJlcj48Zm9yZWlnbi1rZXlzPjxrZXkgYXBwPSJFTiIg
ZGItaWQ9ImZhdzBleHN3OTlhdHBkZXNzZXVwdnR0MWYwZHQwOXdkeHZhdyIgdGltZXN0YW1wPSIx
NDI1MDUxNzQ2Ij4zOTQ3PC9rZXk+PC9mb3JlaWduLWtleXM+PHJlZi10eXBlIG5hbWU9IkpvdXJu
YWwgQXJ0aWNsZSI+MTc8L3JlZi10eXBlPjxjb250cmlidXRvcnM+PGF1dGhvcnM+PGF1dGhvcj5D
b25yYWQsIEQuIEYuPC9hdXRob3I+PGF1dGhvcj5QaW50bywgRC48L2F1dGhvcj48YXV0aG9yPlJl
ZG9uLCBSLjwvYXV0aG9yPjxhdXRob3I+RmV1aywgTC48L2F1dGhvcj48YXV0aG9yPkdva2N1bWVu
LCBPLjwvYXV0aG9yPjxhdXRob3I+WmhhbmcsIFkuPC9hdXRob3I+PGF1dGhvcj5BZXJ0cywgSi48
L2F1dGhvcj48YXV0aG9yPkFuZHJld3MsIFQuIEQuPC9hdXRob3I+PGF1dGhvcj5CYXJuZXMsIEMu
PC9hdXRob3I+PGF1dGhvcj5DYW1wYmVsbCwgUC48L2F1dGhvcj48YXV0aG9yPkZpdHpnZXJhbGQs
IFQuPC9hdXRob3I+PGF1dGhvcj5IdSwgTS48L2F1dGhvcj48YXV0aG9yPklobSwgQy4gSC48L2F1
dGhvcj48YXV0aG9yPktyaXN0aWFuc3NvbiwgSy48L2F1dGhvcj48YXV0aG9yPk1hY2FydGh1ciwg
RC4gRy48L2F1dGhvcj48YXV0aG9yPk1hY2RvbmFsZCwgSi4gUi48L2F1dGhvcj48YXV0aG9yPk9u
eWlhaCwgSS48L2F1dGhvcj48YXV0aG9yPlBhbmcsIEEuIFcuPC9hdXRob3I+PGF1dGhvcj5Sb2Jz
b24sIFMuPC9hdXRob3I+PGF1dGhvcj5TdGlycnVwcywgSy48L2F1dGhvcj48YXV0aG9yPlZhbHNl
c2lhLCBBLjwvYXV0aG9yPjxhdXRob3I+V2FsdGVyLCBLLjwvYXV0aG9yPjxhdXRob3I+V2VpLCBK
LjwvYXV0aG9yPjxhdXRob3I+V2VsbGNvbWUgVHJ1c3QgQ2FzZSBDb250cm9sLCBDb25zb3J0aXVt
PC9hdXRob3I+PGF1dGhvcj5UeWxlci1TbWl0aCwgQy48L2F1dGhvcj48YXV0aG9yPkNhcnRlciwg
Ti4gUC48L2F1dGhvcj48YXV0aG9yPkxlZSwgQy48L2F1dGhvcj48YXV0aG9yPlNjaGVyZXIsIFMu
IFcuPC9hdXRob3I+PGF1dGhvcj5IdXJsZXMsIE0uIEUuPC9hdXRob3I+PC9hdXRob3JzPjwvY29u
dHJpYnV0b3JzPjxhdXRoLWFkZHJlc3M+VGhlIFdlbGxjb21lIFRydXN0IFNhbmdlciBJbnN0aXR1
dGUsIFdlbGxjb21lIFRydXN0IEdlbm9tZSBDYW1wdXMsIEhpbnh0b24sIENhbWJyaWRnZSwgQ0Ix
MCAxU0EgVUsuPC9hdXRoLWFkZHJlc3M+PHRpdGxlcz48dGl0bGU+T3JpZ2lucyBhbmQgZnVuY3Rp
b25hbCBpbXBhY3Qgb2YgY29weSBudW1iZXIgdmFyaWF0aW9uIGluIHRoZSBodW1hbiBnZW5vbWU8
L3RpdGxlPjxzZWNvbmRhcnktdGl0bGU+TmF0dXJlPC9zZWNvbmRhcnktdGl0bGU+PGFsdC10aXRs
ZT5OYXR1cmU8L2FsdC10aXRsZT48L3RpdGxlcz48cGVyaW9kaWNhbD48ZnVsbC10aXRsZT5OYXR1
cmU8L2Z1bGwtdGl0bGU+PGFiYnItMT5OYXR1cmU8L2FiYnItMT48L3BlcmlvZGljYWw+PGFsdC1w
ZXJpb2RpY2FsPjxmdWxsLXRpdGxlPk5hdHVyZTwvZnVsbC10aXRsZT48YWJici0xPk5hdHVyZTwv
YWJici0xPjwvYWx0LXBlcmlvZGljYWw+PHBhZ2VzPjcwNC0xMjwvcGFnZXM+PHZvbHVtZT40NjQ8
L3ZvbHVtZT48bnVtYmVyPjcyODk8L251bWJlcj48a2V5d29yZHM+PGtleXdvcmQ+Q29udGluZW50
YWwgUG9wdWxhdGlvbiBHcm91cHMvZ2VuZXRpY3M8L2tleXdvcmQ+PGtleXdvcmQ+RE5BIENvcHkg
TnVtYmVyIFZhcmlhdGlvbnMvKmdlbmV0aWNzPC9rZXl3b3JkPjxrZXl3b3JkPkdlbmUgRHVwbGlj
YXRpb248L2tleXdvcmQ+PGtleXdvcmQ+R2VuZXRpYyBQcmVkaXNwb3NpdGlvbiB0byBEaXNlYXNl
LypnZW5ldGljczwva2V5d29yZD48a2V5d29yZD5HZW5vbWUsIEh1bWFuLypnZW5ldGljczwva2V5
d29yZD48a2V5d29yZD5HZW5vbWUtV2lkZSBBc3NvY2lhdGlvbiBTdHVkeTwva2V5d29yZD48a2V5
d29yZD5HZW5vdHlwZTwva2V5d29yZD48a2V5d29yZD5IYXBsb3R5cGVzL2dlbmV0aWNzPC9rZXl3
b3JkPjxrZXl3b3JkPkh1bWFuczwva2V5d29yZD48a2V5d29yZD5NdXRhZ2VuZXNpcy8qZ2VuZXRp
Y3M8L2tleXdvcmQ+PGtleXdvcmQ+T2xpZ29udWNsZW90aWRlIEFycmF5IFNlcXVlbmNlIEFuYWx5
c2lzPC9rZXl3b3JkPjxrZXl3b3JkPlBvbHltb3JwaGlzbSwgU2luZ2xlIE51Y2xlb3RpZGUvZ2Vu
ZXRpY3M8L2tleXdvcmQ+PGtleXdvcmQ+UmVwcm9kdWNpYmlsaXR5IG9mIFJlc3VsdHM8L2tleXdv
cmQ+PC9rZXl3b3Jkcz48ZGF0ZXM+PHllYXI+MjAxMDwveWVhcj48cHViLWRhdGVzPjxkYXRlPkFw
ciAxPC9kYXRlPjwvcHViLWRhdGVzPjwvZGF0ZXM+PGlzYm4+MTQ3Ni00Njg3IChFbGVjdHJvbmlj
KSYjeEQ7MDAyOC0wODM2IChMaW5raW5nKTwvaXNibj48YWNjZXNzaW9uLW51bT4xOTgxMjU0NTwv
YWNjZXNzaW9uLW51bT48dXJscz48cmVsYXRlZC11cmxzPjx1cmw+aHR0cDovL3d3dy5uY2JpLm5s
bS5uaWguZ292L3B1Ym1lZC8xOTgxMjU0NTwvdXJsPjwvcmVsYXRlZC11cmxzPjwvdXJscz48Y3Vz
dG9tMj4zMzMwNzQ4PC9jdXN0b20yPjxlbGVjdHJvbmljLXJlc291cmNlLW51bT4xMC4xMDM4L25h
dHVyZTA4NTE2PC9lbGVjdHJvbmljLXJlc291cmNlLW51bT48L3JlY29yZD48L0NpdGU+PC9FbmRO
b3RlPn==
</w:fldData>
        </w:fldChar>
      </w:r>
      <w:r w:rsidR="00554F4E">
        <w:instrText xml:space="preserve"> ADDIN EN.CITE.DATA </w:instrText>
      </w:r>
      <w:r w:rsidR="00554F4E">
        <w:fldChar w:fldCharType="end"/>
      </w:r>
      <w:r w:rsidR="00554F4E">
        <w:fldChar w:fldCharType="separate"/>
      </w:r>
      <w:r w:rsidR="00554F4E">
        <w:t>[</w:t>
      </w:r>
      <w:hyperlink w:anchor="_ENREF_8" w:tooltip="Conrad, 2010 #3947" w:history="1">
        <w:r w:rsidR="00554F4E">
          <w:t>8</w:t>
        </w:r>
      </w:hyperlink>
      <w:r w:rsidR="00554F4E">
        <w:t>]</w:t>
      </w:r>
      <w:r w:rsidR="00554F4E">
        <w:fldChar w:fldCharType="end"/>
      </w:r>
      <w:r>
        <w:t xml:space="preserve">. An automatic refitting procedure was implemented which tried all 8 parameter combinations in turn, stopping if a fit had passed. At the end of this process not all CNV regions achieved a pass fit; some had lower </w:t>
      </w:r>
      <w:r>
        <w:rPr>
          <w:i/>
        </w:rPr>
        <w:t>Q</w:t>
      </w:r>
      <w:r>
        <w:t xml:space="preserve"> values, some did not converge at all three stages and some ran into difficulties, namely posterior probability problems or software errors.</w:t>
      </w:r>
    </w:p>
    <w:p w14:paraId="25555368" w14:textId="77777777" w:rsidR="00E55B43" w:rsidRDefault="00E55B43" w:rsidP="00E55B43">
      <w:pPr>
        <w:ind w:left="566"/>
        <w:jc w:val="both"/>
      </w:pPr>
    </w:p>
    <w:p w14:paraId="556D7F2B" w14:textId="77777777" w:rsidR="00E55B43" w:rsidRDefault="00E55B43" w:rsidP="00E55B43">
      <w:pPr>
        <w:numPr>
          <w:ilvl w:val="0"/>
          <w:numId w:val="11"/>
        </w:numPr>
        <w:autoSpaceDE w:val="0"/>
        <w:autoSpaceDN w:val="0"/>
        <w:adjustRightInd w:val="0"/>
        <w:spacing w:after="0" w:line="240" w:lineRule="auto"/>
        <w:jc w:val="both"/>
      </w:pPr>
      <w:r>
        <w:rPr>
          <w:i/>
        </w:rPr>
        <w:t>Further QC</w:t>
      </w:r>
      <w:r>
        <w:t xml:space="preserve">. This step identified samples which tended to lie in the tails of the model clusters, i.e. less confidence could be attached to the assigned cluster numbers of these samples. For each region, CNVtools recorded the mean and standard deviation of each cluster it deduced during the fitting process, together with which cluster each sample was assigned to. Regions which did not run into difficulties (including those with </w:t>
      </w:r>
      <w:r>
        <w:rPr>
          <w:i/>
        </w:rPr>
        <w:t>Q</w:t>
      </w:r>
      <w:r>
        <w:t xml:space="preserve"> ≤ 4) were used for further QC. For each such region, the means and standard deviations of the fitted clusters, together with each sample’s cluster number and signal value, were noted. In cases of uncertainty (e.g. a sample lying near the midpoint of a region overlapped by the tails of two adjacent clusters) the fit assigned a cluster number of -1 to the sample; otherwise, the number of valid regions for a given sample was incremented by 1. Let </w:t>
      </w:r>
      <w:r>
        <w:rPr>
          <w:i/>
        </w:rPr>
        <w:t>N</w:t>
      </w:r>
      <w:r>
        <w:t xml:space="preserve"> be the number of </w:t>
      </w:r>
      <w:r>
        <w:lastRenderedPageBreak/>
        <w:t xml:space="preserve">regions, in a given chromosome, processed in this way. Let </w:t>
      </w:r>
      <w:r>
        <w:rPr>
          <w:i/>
        </w:rPr>
        <w:t>n</w:t>
      </w:r>
      <w:r>
        <w:t xml:space="preserve"> be the number of valid regions obtained for a particular sample. Samples with </w:t>
      </w:r>
      <w:r>
        <w:rPr>
          <w:i/>
        </w:rPr>
        <w:t>n</w:t>
      </w:r>
      <w:r>
        <w:t xml:space="preserve"> &lt; 0.95</w:t>
      </w:r>
      <w:r>
        <w:rPr>
          <w:i/>
        </w:rPr>
        <w:t>N</w:t>
      </w:r>
      <w:r>
        <w:t xml:space="preserve"> were rejected. </w:t>
      </w:r>
    </w:p>
    <w:p w14:paraId="64B46BE9" w14:textId="77777777" w:rsidR="00E55B43" w:rsidRDefault="00E55B43" w:rsidP="00E55B43">
      <w:pPr>
        <w:ind w:left="566"/>
        <w:jc w:val="both"/>
      </w:pPr>
    </w:p>
    <w:p w14:paraId="789CBAEF" w14:textId="77777777" w:rsidR="00E55B43" w:rsidRDefault="00E55B43" w:rsidP="00E55B43">
      <w:pPr>
        <w:ind w:left="566"/>
        <w:jc w:val="both"/>
      </w:pPr>
      <w:r>
        <w:t>For each remaining sample, a metric</w:t>
      </w:r>
    </w:p>
    <w:p w14:paraId="2FBC553E" w14:textId="77777777" w:rsidR="00E55B43" w:rsidRDefault="00E55B43" w:rsidP="00E55B43">
      <w:pPr>
        <w:ind w:left="566"/>
        <w:jc w:val="both"/>
      </w:pPr>
    </w:p>
    <w:p w14:paraId="671EED15" w14:textId="77777777" w:rsidR="00E55B43" w:rsidRDefault="0087485B" w:rsidP="00E55B43">
      <w:pPr>
        <w:ind w:left="566"/>
        <w:jc w:val="center"/>
      </w:pPr>
      <m:oMathPara>
        <m:oMath>
          <m:acc>
            <m:accPr>
              <m:chr m:val="̅"/>
              <m:ctrlPr>
                <w:rPr>
                  <w:rFonts w:ascii="Cambria Math" w:hAnsi="Cambria Math"/>
                  <w:i/>
                </w:rPr>
              </m:ctrlPr>
            </m:accPr>
            <m:e>
              <m:r>
                <w:rPr>
                  <w:rFonts w:ascii="Cambria Math" w:hAnsi="Cambria Math"/>
                </w:rPr>
                <m:t>S</m:t>
              </m:r>
            </m:e>
          </m:acc>
          <m:r>
            <w:rPr>
              <w:rFonts w:ascii="Cambria Math" w:hAnsi="Cambria Math"/>
            </w:rPr>
            <m:t>=</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acc>
                        <m:accPr>
                          <m:chr m:val="̅"/>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num>
                    <m:den>
                      <m:sSub>
                        <m:sSubPr>
                          <m:ctrlPr>
                            <w:rPr>
                              <w:rFonts w:ascii="Cambria Math" w:hAnsi="Cambria Math"/>
                              <w:i/>
                            </w:rPr>
                          </m:ctrlPr>
                        </m:sSubPr>
                        <m:e>
                          <m:r>
                            <w:rPr>
                              <w:rFonts w:ascii="Cambria Math" w:hAnsi="Cambria Math"/>
                            </w:rPr>
                            <m:t>σ</m:t>
                          </m:r>
                        </m:e>
                        <m:sub>
                          <m:r>
                            <w:rPr>
                              <w:rFonts w:ascii="Cambria Math" w:hAnsi="Cambria Math"/>
                            </w:rPr>
                            <m:t>cluster i</m:t>
                          </m:r>
                        </m:sub>
                      </m:sSub>
                    </m:den>
                  </m:f>
                </m:e>
              </m:nary>
            </m:num>
            <m:den>
              <m:r>
                <w:rPr>
                  <w:rFonts w:ascii="Cambria Math" w:hAnsi="Cambria Math"/>
                </w:rPr>
                <m:t>n</m:t>
              </m:r>
            </m:den>
          </m:f>
        </m:oMath>
      </m:oMathPara>
    </w:p>
    <w:p w14:paraId="287A3C5C" w14:textId="77777777" w:rsidR="00E55B43" w:rsidRDefault="00E55B43" w:rsidP="00E55B43">
      <w:pPr>
        <w:ind w:left="566"/>
        <w:jc w:val="both"/>
      </w:pPr>
    </w:p>
    <w:p w14:paraId="746A6751" w14:textId="30636F73" w:rsidR="00E55B43" w:rsidRDefault="00E55B43" w:rsidP="00E55B43">
      <w:pPr>
        <w:ind w:left="566"/>
        <w:jc w:val="both"/>
      </w:pPr>
      <w:r>
        <w:t xml:space="preserve">was calculated across its </w:t>
      </w:r>
      <w:r>
        <w:rPr>
          <w:i/>
        </w:rPr>
        <w:t>n</w:t>
      </w:r>
      <w:r>
        <w:t xml:space="preserve"> valid regions, where </w:t>
      </w:r>
      <w:r>
        <w:rPr>
          <w:rFonts w:ascii="Symbol" w:hAnsi="Symbol"/>
        </w:rPr>
        <w:t></w:t>
      </w:r>
      <w:r>
        <w:rPr>
          <w:i/>
          <w:vertAlign w:val="subscript"/>
        </w:rPr>
        <w:t>cluster i</w:t>
      </w:r>
      <w:r>
        <w:t xml:space="preserve"> was the standard deviation of the cluster to which the sample had been assigned for the </w:t>
      </w:r>
      <w:r>
        <w:rPr>
          <w:i/>
        </w:rPr>
        <w:t>i</w:t>
      </w:r>
      <w:r>
        <w:rPr>
          <w:vertAlign w:val="superscript"/>
        </w:rPr>
        <w:t>th</w:t>
      </w:r>
      <w:r>
        <w:t xml:space="preserve"> CNV region, </w:t>
      </w:r>
      <m:oMath>
        <m:acc>
          <m:accPr>
            <m:chr m:val="̅"/>
            <m:ctrlPr>
              <w:rPr>
                <w:rFonts w:ascii="Cambria Math" w:hAnsi="Cambria Math"/>
                <w:i/>
              </w:rPr>
            </m:ctrlPr>
          </m:accPr>
          <m:e>
            <m:r>
              <w:rPr>
                <w:rFonts w:ascii="Cambria Math" w:hAnsi="Cambria Math"/>
              </w:rPr>
              <m:t>x</m:t>
            </m:r>
          </m:e>
        </m:acc>
      </m:oMath>
      <w:r>
        <w:t xml:space="preserve"> the mean of that cluster and </w:t>
      </w:r>
      <w:r>
        <w:rPr>
          <w:i/>
        </w:rPr>
        <w:t>x</w:t>
      </w:r>
      <w:r>
        <w:rPr>
          <w:i/>
          <w:vertAlign w:val="subscript"/>
        </w:rPr>
        <w:t>i</w:t>
      </w:r>
      <w:r>
        <w:t xml:space="preserve"> the sample’s signal value. The distribution of ln(</w:t>
      </w:r>
      <m:oMath>
        <m:acc>
          <m:accPr>
            <m:chr m:val="̅"/>
            <m:ctrlPr>
              <w:rPr>
                <w:rFonts w:ascii="Cambria Math" w:hAnsi="Cambria Math"/>
                <w:i/>
              </w:rPr>
            </m:ctrlPr>
          </m:accPr>
          <m:e>
            <m:r>
              <w:rPr>
                <w:rFonts w:ascii="Cambria Math" w:hAnsi="Cambria Math"/>
              </w:rPr>
              <m:t>S</m:t>
            </m:r>
          </m:e>
        </m:acc>
      </m:oMath>
      <w:r>
        <w:t>) was approximately normal, and a boxplot approach was used to identify high outliers from this distribution; a sample was excluded if its ln(</w:t>
      </w:r>
      <m:oMath>
        <m:acc>
          <m:accPr>
            <m:chr m:val="̅"/>
            <m:ctrlPr>
              <w:rPr>
                <w:rFonts w:ascii="Cambria Math" w:hAnsi="Cambria Math"/>
                <w:i/>
              </w:rPr>
            </m:ctrlPr>
          </m:accPr>
          <m:e>
            <m:r>
              <w:rPr>
                <w:rFonts w:ascii="Cambria Math" w:hAnsi="Cambria Math"/>
              </w:rPr>
              <m:t>S</m:t>
            </m:r>
          </m:e>
        </m:acc>
      </m:oMath>
      <w:r>
        <w:t>) value was more than 1½ times the inter-quartile range above the third quartile</w:t>
      </w:r>
      <w:r w:rsidR="00554F4E">
        <w:fldChar w:fldCharType="begin"/>
      </w:r>
      <w:r w:rsidR="00554F4E">
        <w:instrText xml:space="preserve"> ADDIN EN.CITE &lt;EndNote&gt;&lt;Cite&gt;&lt;Author&gt;NIST/SEMATECH&lt;/Author&gt;&lt;RecNum&gt;3948&lt;/RecNum&gt;&lt;DisplayText&gt;[9]&lt;/DisplayText&gt;&lt;record&gt;&lt;rec-number&gt;3948&lt;/rec-number&gt;&lt;foreign-keys&gt;&lt;key app="EN" db-id="faw0exsw99atpdesseupvtt1f0dt09wdxvaw" timestamp="1425052146"&gt;3948&lt;/key&gt;&lt;/foreign-keys&gt;&lt;ref-type name="Web Page"&gt;12&lt;/ref-type&gt;&lt;contributors&gt;&lt;authors&gt;&lt;author&gt;NIST/SEMATECH&lt;/author&gt;&lt;/authors&gt;&lt;/contributors&gt;&lt;titles&gt;&lt;title&gt;e-Handbook of Statistical Methods&lt;/title&gt;&lt;/titles&gt;&lt;volume&gt;2009&lt;/volume&gt;&lt;number&gt;September&lt;/number&gt;&lt;dates&gt;&lt;/dates&gt;&lt;urls&gt;&lt;related-urls&gt;&lt;url&gt;http://www.itl.nist.gov/div898/handbook/eda/section3/boxplot.htm and http://www.itl.nist.gov/div898/handbook/apr/section2/apr233.htm&lt;/url&gt;&lt;/related-urls&gt;&lt;/urls&gt;&lt;/record&gt;&lt;/Cite&gt;&lt;/EndNote&gt;</w:instrText>
      </w:r>
      <w:r w:rsidR="00554F4E">
        <w:fldChar w:fldCharType="separate"/>
      </w:r>
      <w:r w:rsidR="00554F4E">
        <w:t>[</w:t>
      </w:r>
      <w:hyperlink w:anchor="_ENREF_9" w:tooltip="NIST/SEMATECH,  #3948" w:history="1">
        <w:r w:rsidR="00554F4E">
          <w:t>9</w:t>
        </w:r>
      </w:hyperlink>
      <w:r w:rsidR="00554F4E">
        <w:t>]</w:t>
      </w:r>
      <w:r w:rsidR="00554F4E">
        <w:fldChar w:fldCharType="end"/>
      </w:r>
      <w:r>
        <w:t xml:space="preserve">. </w:t>
      </w:r>
    </w:p>
    <w:p w14:paraId="310A7CB9" w14:textId="77777777" w:rsidR="00E55B43" w:rsidRDefault="00E55B43" w:rsidP="00E55B43">
      <w:pPr>
        <w:ind w:left="566"/>
        <w:jc w:val="both"/>
      </w:pPr>
    </w:p>
    <w:p w14:paraId="7A5F8711" w14:textId="77777777" w:rsidR="00E55B43" w:rsidRDefault="00E55B43" w:rsidP="00E55B43">
      <w:pPr>
        <w:numPr>
          <w:ilvl w:val="0"/>
          <w:numId w:val="11"/>
        </w:numPr>
        <w:autoSpaceDE w:val="0"/>
        <w:autoSpaceDN w:val="0"/>
        <w:adjustRightInd w:val="0"/>
        <w:spacing w:after="0" w:line="240" w:lineRule="auto"/>
        <w:jc w:val="both"/>
      </w:pPr>
      <w:r>
        <w:rPr>
          <w:i/>
        </w:rPr>
        <w:t>Run 2</w:t>
      </w:r>
      <w:r>
        <w:t>. Having removed the “persistent outlier” samples found in the further QC step, the automatic refitting approach was again used to maximise the number of pass fits.</w:t>
      </w:r>
    </w:p>
    <w:p w14:paraId="3DCD8A6A" w14:textId="77777777" w:rsidR="00E55B43" w:rsidRDefault="00E55B43" w:rsidP="00E55B43">
      <w:pPr>
        <w:ind w:left="566"/>
        <w:jc w:val="both"/>
      </w:pPr>
    </w:p>
    <w:p w14:paraId="1143EC70" w14:textId="6CA2BE80" w:rsidR="00E55B43" w:rsidRDefault="00E55B43" w:rsidP="00E55B43">
      <w:pPr>
        <w:numPr>
          <w:ilvl w:val="0"/>
          <w:numId w:val="11"/>
        </w:numPr>
        <w:autoSpaceDE w:val="0"/>
        <w:autoSpaceDN w:val="0"/>
        <w:adjustRightInd w:val="0"/>
        <w:spacing w:after="0" w:line="240" w:lineRule="auto"/>
        <w:jc w:val="both"/>
      </w:pPr>
      <w:r>
        <w:rPr>
          <w:i/>
        </w:rPr>
        <w:t>Identification of “interesting” regions</w:t>
      </w:r>
      <w:r>
        <w:t>. CNVtools produced posterior probability files for fitted regions under both H</w:t>
      </w:r>
      <w:r>
        <w:rPr>
          <w:vertAlign w:val="subscript"/>
        </w:rPr>
        <w:t>0</w:t>
      </w:r>
      <w:r>
        <w:t xml:space="preserve"> (no correlation between copy number and the quantitative trait under investigation) and H</w:t>
      </w:r>
      <w:r>
        <w:rPr>
          <w:vertAlign w:val="subscript"/>
        </w:rPr>
        <w:t>1</w:t>
      </w:r>
      <w:r>
        <w:t xml:space="preserve"> (correlation). The χ</w:t>
      </w:r>
      <w:r>
        <w:rPr>
          <w:vertAlign w:val="superscript"/>
        </w:rPr>
        <w:t>2</w:t>
      </w:r>
      <w:r>
        <w:t xml:space="preserve"> goodness-of-fit value was extracted from each region which had passed the run 2 fitting process; this was defined</w:t>
      </w:r>
      <w:r w:rsidR="00554F4E">
        <w:fldChar w:fldCharType="begin"/>
      </w:r>
      <w:r w:rsidR="00554F4E">
        <w:instrText xml:space="preserve"> ADDIN EN.CITE &lt;EndNote&gt;&lt;Cite&gt;&lt;Author&gt;NIST/SEMATECH&lt;/Author&gt;&lt;RecNum&gt;3948&lt;/RecNum&gt;&lt;DisplayText&gt;[9]&lt;/DisplayText&gt;&lt;record&gt;&lt;rec-number&gt;3948&lt;/rec-number&gt;&lt;foreign-keys&gt;&lt;key app="EN" db-id="faw0exsw99atpdesseupvtt1f0dt09wdxvaw" timestamp="1425052146"&gt;3948&lt;/key&gt;&lt;/foreign-keys&gt;&lt;ref-type name="Web Page"&gt;12&lt;/ref-type&gt;&lt;contributors&gt;&lt;authors&gt;&lt;author&gt;NIST/SEMATECH&lt;/author&gt;&lt;/authors&gt;&lt;/contributors&gt;&lt;titles&gt;&lt;title&gt;e-Handbook of Statistical Methods&lt;/title&gt;&lt;/titles&gt;&lt;volume&gt;2009&lt;/volume&gt;&lt;number&gt;September&lt;/number&gt;&lt;dates&gt;&lt;/dates&gt;&lt;urls&gt;&lt;related-urls&gt;&lt;url&gt;http://www.itl.nist.gov/div898/handbook/eda/section3/boxplot.htm and http://www.itl.nist.gov/div898/handbook/apr/section2/apr233.htm&lt;/url&gt;&lt;/related-urls&gt;&lt;/urls&gt;&lt;/record&gt;&lt;/Cite&gt;&lt;/EndNote&gt;</w:instrText>
      </w:r>
      <w:r w:rsidR="00554F4E">
        <w:fldChar w:fldCharType="separate"/>
      </w:r>
      <w:r w:rsidR="00554F4E">
        <w:t>[</w:t>
      </w:r>
      <w:hyperlink w:anchor="_ENREF_9" w:tooltip="NIST/SEMATECH,  #3948" w:history="1">
        <w:r w:rsidR="00554F4E">
          <w:t>9</w:t>
        </w:r>
      </w:hyperlink>
      <w:r w:rsidR="00554F4E">
        <w:t>]</w:t>
      </w:r>
      <w:r w:rsidR="00554F4E">
        <w:fldChar w:fldCharType="end"/>
      </w:r>
      <w:r>
        <w:t xml:space="preserve"> as χ</w:t>
      </w:r>
      <w:r>
        <w:rPr>
          <w:vertAlign w:val="superscript"/>
        </w:rPr>
        <w:t xml:space="preserve">2 </w:t>
      </w:r>
      <w:r>
        <w:t>= - 2ln(</w:t>
      </w:r>
      <w:r>
        <w:rPr>
          <w:i/>
        </w:rPr>
        <w:t>L</w:t>
      </w:r>
      <w:r>
        <w:rPr>
          <w:i/>
          <w:vertAlign w:val="subscript"/>
        </w:rPr>
        <w:t>0</w:t>
      </w:r>
      <w:r>
        <w:t>/</w:t>
      </w:r>
      <w:r>
        <w:rPr>
          <w:i/>
        </w:rPr>
        <w:t>L</w:t>
      </w:r>
      <w:r>
        <w:rPr>
          <w:i/>
          <w:vertAlign w:val="subscript"/>
        </w:rPr>
        <w:t>1</w:t>
      </w:r>
      <w:r>
        <w:t xml:space="preserve">), </w:t>
      </w:r>
      <w:r>
        <w:rPr>
          <w:i/>
        </w:rPr>
        <w:t>L</w:t>
      </w:r>
      <w:r>
        <w:rPr>
          <w:i/>
          <w:vertAlign w:val="subscript"/>
        </w:rPr>
        <w:t>0</w:t>
      </w:r>
      <w:r>
        <w:t xml:space="preserve"> and </w:t>
      </w:r>
      <w:r>
        <w:rPr>
          <w:i/>
        </w:rPr>
        <w:t>L</w:t>
      </w:r>
      <w:r>
        <w:rPr>
          <w:i/>
          <w:vertAlign w:val="subscript"/>
        </w:rPr>
        <w:t>1</w:t>
      </w:r>
      <w:r>
        <w:t xml:space="preserve"> being the likelihood of the fit under H</w:t>
      </w:r>
      <w:r>
        <w:rPr>
          <w:vertAlign w:val="subscript"/>
        </w:rPr>
        <w:t>0</w:t>
      </w:r>
      <w:r>
        <w:t xml:space="preserve"> and H</w:t>
      </w:r>
      <w:r>
        <w:rPr>
          <w:vertAlign w:val="subscript"/>
        </w:rPr>
        <w:t>1</w:t>
      </w:r>
      <w:r>
        <w:t xml:space="preserve">, respectively. The CNVtools function </w:t>
      </w:r>
      <w:r>
        <w:rPr>
          <w:rFonts w:ascii="Courier New" w:hAnsi="Courier New"/>
        </w:rPr>
        <w:t>qq.chisq()</w:t>
      </w:r>
      <w:r>
        <w:t xml:space="preserve"> (from the “Genotools” part of the package) was used to produce a QQ plot of the observed </w:t>
      </w:r>
      <w:r>
        <w:rPr>
          <w:i/>
        </w:rPr>
        <w:t>vs.</w:t>
      </w:r>
      <w:r>
        <w:t xml:space="preserve"> expected χ</w:t>
      </w:r>
      <w:r>
        <w:rPr>
          <w:vertAlign w:val="superscript"/>
        </w:rPr>
        <w:t>2</w:t>
      </w:r>
      <w:r>
        <w:t xml:space="preserve"> distributions. Regions lying outside the plot’s 95% probability region, and having χ</w:t>
      </w:r>
      <w:r>
        <w:rPr>
          <w:vertAlign w:val="superscript"/>
        </w:rPr>
        <w:t xml:space="preserve">2 </w:t>
      </w:r>
      <w:r>
        <w:t>&gt; 10, were noted for further investigation.</w:t>
      </w:r>
    </w:p>
    <w:p w14:paraId="75D235B0" w14:textId="77777777" w:rsidR="00E55B43" w:rsidRDefault="00E55B43" w:rsidP="00E55B43">
      <w:pPr>
        <w:jc w:val="both"/>
      </w:pPr>
    </w:p>
    <w:p w14:paraId="1C629933" w14:textId="77777777" w:rsidR="00E55B43" w:rsidRDefault="00E55B43" w:rsidP="00E55B43">
      <w:pPr>
        <w:numPr>
          <w:ilvl w:val="0"/>
          <w:numId w:val="11"/>
        </w:numPr>
        <w:autoSpaceDE w:val="0"/>
        <w:autoSpaceDN w:val="0"/>
        <w:adjustRightInd w:val="0"/>
        <w:spacing w:after="0" w:line="240" w:lineRule="auto"/>
        <w:jc w:val="both"/>
      </w:pPr>
      <w:r>
        <w:rPr>
          <w:i/>
        </w:rPr>
        <w:t>Additional checks</w:t>
      </w:r>
      <w:r>
        <w:t xml:space="preserve">. The posterior probability files were checked for all fitting attempts. CNV regions were marked for exclusion if the fitted model had inconsistent cluster numbering (e.g. claiming to have clusters numbered 1, 2, 4 and 5 but no samples in cluster 3). Any regions in the “further investigation” list obtained in the previous step were removed from that list if they failed this check. </w:t>
      </w:r>
    </w:p>
    <w:p w14:paraId="0D9C0189" w14:textId="77777777" w:rsidR="00E55B43" w:rsidRDefault="00E55B43" w:rsidP="00E55B43">
      <w:pPr>
        <w:jc w:val="both"/>
      </w:pPr>
    </w:p>
    <w:p w14:paraId="34F3AD9A" w14:textId="77777777" w:rsidR="00E55B43" w:rsidRDefault="00E55B43" w:rsidP="00E55B43">
      <w:pPr>
        <w:numPr>
          <w:ilvl w:val="0"/>
          <w:numId w:val="11"/>
        </w:numPr>
        <w:autoSpaceDE w:val="0"/>
        <w:autoSpaceDN w:val="0"/>
        <w:adjustRightInd w:val="0"/>
        <w:spacing w:after="0" w:line="240" w:lineRule="auto"/>
        <w:jc w:val="both"/>
      </w:pPr>
      <w:r>
        <w:rPr>
          <w:i/>
        </w:rPr>
        <w:t>Plot inspection</w:t>
      </w:r>
      <w:r>
        <w:t xml:space="preserve">. Finally, the remaining regions in the “further investigation” list were plotted using a variant of the CNVtools </w:t>
      </w:r>
      <w:r>
        <w:rPr>
          <w:rFonts w:ascii="Courier New" w:hAnsi="Courier New"/>
        </w:rPr>
        <w:t>cnv.plot()</w:t>
      </w:r>
      <w:r>
        <w:t xml:space="preserve"> function. These showed histograms of the input intensity signals, having undergone the PCA (and sometimes LDF) and standardisation steps; posterior probability (fitted cluster estimate) lines were overlaid on these. Visual </w:t>
      </w:r>
      <w:r>
        <w:lastRenderedPageBreak/>
        <w:t>inspection was then used to discard fits which were obviously wrong, i.e. the fit was not a good match to the intensity histogram.</w:t>
      </w:r>
    </w:p>
    <w:p w14:paraId="78542C7E" w14:textId="18C4048A" w:rsidR="0068752B" w:rsidRDefault="0068752B" w:rsidP="00DE7779">
      <w:pPr>
        <w:spacing w:line="360" w:lineRule="auto"/>
        <w:rPr>
          <w:b/>
        </w:rPr>
      </w:pPr>
    </w:p>
    <w:p w14:paraId="1D63D065" w14:textId="0AC41D95" w:rsidR="002E670A" w:rsidRDefault="002E670A">
      <w:pPr>
        <w:spacing w:after="0" w:line="240" w:lineRule="auto"/>
        <w:rPr>
          <w:b/>
        </w:rPr>
      </w:pPr>
    </w:p>
    <w:p w14:paraId="7C7E9CEF" w14:textId="77777777" w:rsidR="008534B2" w:rsidRDefault="008534B2" w:rsidP="00115091">
      <w:bookmarkStart w:id="0" w:name="_GoBack"/>
      <w:bookmarkEnd w:id="0"/>
    </w:p>
    <w:p w14:paraId="59454515" w14:textId="77777777" w:rsidR="00554F4E" w:rsidRPr="00554F4E" w:rsidRDefault="008534B2" w:rsidP="00554F4E">
      <w:pPr>
        <w:pStyle w:val="EndNoteBibliographyTitle"/>
      </w:pPr>
      <w:r>
        <w:fldChar w:fldCharType="begin"/>
      </w:r>
      <w:r>
        <w:instrText xml:space="preserve"> ADDIN EN.REFLIST </w:instrText>
      </w:r>
      <w:r>
        <w:fldChar w:fldCharType="separate"/>
      </w:r>
      <w:r w:rsidR="00554F4E" w:rsidRPr="00554F4E">
        <w:t>REFERENCES</w:t>
      </w:r>
    </w:p>
    <w:p w14:paraId="065EBA4C" w14:textId="77777777" w:rsidR="00554F4E" w:rsidRPr="00554F4E" w:rsidRDefault="00554F4E" w:rsidP="00554F4E">
      <w:pPr>
        <w:pStyle w:val="EndNoteBibliographyTitle"/>
      </w:pPr>
    </w:p>
    <w:p w14:paraId="5969D168" w14:textId="77777777" w:rsidR="00554F4E" w:rsidRPr="00554F4E" w:rsidRDefault="00554F4E" w:rsidP="00554F4E">
      <w:pPr>
        <w:pStyle w:val="EndNoteBibliography"/>
      </w:pPr>
      <w:bookmarkStart w:id="1" w:name="_ENREF_1"/>
      <w:r w:rsidRPr="00554F4E">
        <w:t>1. Purcell S, Neale B, Todd-Brown K, Thomas L, Ferreira MA, Bender D et al. PLINK: a tool set for whole-genome association and population-based linkage analyses. Am J Hum Genet. 2007;81(3):559-75. doi:S0002-9297(07)61352-4 [pii]</w:t>
      </w:r>
    </w:p>
    <w:p w14:paraId="7123DC9C" w14:textId="77777777" w:rsidR="00554F4E" w:rsidRPr="00554F4E" w:rsidRDefault="00554F4E" w:rsidP="00554F4E">
      <w:pPr>
        <w:pStyle w:val="EndNoteBibliography"/>
        <w:spacing w:after="0"/>
      </w:pPr>
      <w:r w:rsidRPr="00554F4E">
        <w:t>10.1086/519795.</w:t>
      </w:r>
      <w:bookmarkEnd w:id="1"/>
    </w:p>
    <w:p w14:paraId="147417A9" w14:textId="77777777" w:rsidR="00554F4E" w:rsidRPr="00554F4E" w:rsidRDefault="00554F4E" w:rsidP="00554F4E">
      <w:pPr>
        <w:pStyle w:val="EndNoteBibliography"/>
        <w:spacing w:after="0"/>
      </w:pPr>
      <w:bookmarkStart w:id="2" w:name="_ENREF_2"/>
      <w:r w:rsidRPr="00554F4E">
        <w:t xml:space="preserve">2. R Development Core Team R. R: A language and environment for statistical computing. R Foundation forStatistical C om puting, V ienna, A ustria, ISB. 2006:07-0. </w:t>
      </w:r>
      <w:bookmarkEnd w:id="2"/>
    </w:p>
    <w:p w14:paraId="0F3946CF" w14:textId="77777777" w:rsidR="00554F4E" w:rsidRPr="00554F4E" w:rsidRDefault="00554F4E" w:rsidP="00554F4E">
      <w:pPr>
        <w:pStyle w:val="EndNoteBibliography"/>
      </w:pPr>
      <w:bookmarkStart w:id="3" w:name="_ENREF_3"/>
      <w:r w:rsidRPr="00554F4E">
        <w:t>3. Patterson N, Price AL, Reich D. Population structure and eigenanalysis. PLoS Genet. 2006;2(12):e190. doi:06-PLGE-RA-0101R3 [pii]</w:t>
      </w:r>
    </w:p>
    <w:p w14:paraId="708B0F29" w14:textId="77777777" w:rsidR="00554F4E" w:rsidRPr="00554F4E" w:rsidRDefault="00554F4E" w:rsidP="00554F4E">
      <w:pPr>
        <w:pStyle w:val="EndNoteBibliography"/>
        <w:spacing w:after="0"/>
      </w:pPr>
      <w:r w:rsidRPr="00554F4E">
        <w:t>10.1371/journal.pgen.0020190.</w:t>
      </w:r>
      <w:bookmarkEnd w:id="3"/>
    </w:p>
    <w:p w14:paraId="268075B3" w14:textId="77777777" w:rsidR="00554F4E" w:rsidRPr="00554F4E" w:rsidRDefault="00554F4E" w:rsidP="00554F4E">
      <w:pPr>
        <w:pStyle w:val="EndNoteBibliography"/>
        <w:spacing w:after="0"/>
      </w:pPr>
      <w:bookmarkStart w:id="4" w:name="_ENREF_4"/>
      <w:r w:rsidRPr="00554F4E">
        <w:t>4. Howie BN, Donnelly P, Marchini J. A flexible and accurate genotype imputation method for the next generation of genome-wide association studies. PLoS Genet. 2009;5(6):e1000529. doi:10.1371/journal.pgen.1000529.</w:t>
      </w:r>
      <w:bookmarkEnd w:id="4"/>
    </w:p>
    <w:p w14:paraId="36BE81F2" w14:textId="77777777" w:rsidR="00554F4E" w:rsidRPr="00554F4E" w:rsidRDefault="00554F4E" w:rsidP="00554F4E">
      <w:pPr>
        <w:pStyle w:val="EndNoteBibliography"/>
      </w:pPr>
      <w:bookmarkStart w:id="5" w:name="_ENREF_5"/>
      <w:r w:rsidRPr="00554F4E">
        <w:t>5. Marchini J, Howie B. Genotype imputation for genome-wide association studies. Nat Rev Genet. 2010;11(7):499-511. doi:nrg2796 [pii]</w:t>
      </w:r>
    </w:p>
    <w:p w14:paraId="230073BD" w14:textId="77777777" w:rsidR="00554F4E" w:rsidRPr="00554F4E" w:rsidRDefault="00554F4E" w:rsidP="00554F4E">
      <w:pPr>
        <w:pStyle w:val="EndNoteBibliography"/>
        <w:spacing w:after="0"/>
      </w:pPr>
      <w:r w:rsidRPr="00554F4E">
        <w:t>10.1038/nrg2796.</w:t>
      </w:r>
      <w:bookmarkEnd w:id="5"/>
    </w:p>
    <w:p w14:paraId="5775CCAF" w14:textId="77777777" w:rsidR="00554F4E" w:rsidRPr="00554F4E" w:rsidRDefault="00554F4E" w:rsidP="00554F4E">
      <w:pPr>
        <w:pStyle w:val="EndNoteBibliography"/>
      </w:pPr>
      <w:bookmarkStart w:id="6" w:name="_ENREF_6"/>
      <w:r w:rsidRPr="00554F4E">
        <w:t>6. Conrad DF, Pinto D, Redon R, Feuk L, Gokcumen O, Zhang Y et al. Origins and functional impact of copy number variation in the human genome. Nature. 2010;464(7289):704-12. doi:nature08516 [pii]</w:t>
      </w:r>
    </w:p>
    <w:p w14:paraId="1BF7AA28" w14:textId="77777777" w:rsidR="00554F4E" w:rsidRPr="00554F4E" w:rsidRDefault="00554F4E" w:rsidP="00554F4E">
      <w:pPr>
        <w:pStyle w:val="EndNoteBibliography"/>
        <w:spacing w:after="0"/>
      </w:pPr>
      <w:r w:rsidRPr="00554F4E">
        <w:t>10.1038/nature08516.</w:t>
      </w:r>
      <w:bookmarkEnd w:id="6"/>
    </w:p>
    <w:p w14:paraId="5DDDC401" w14:textId="77777777" w:rsidR="00554F4E" w:rsidRPr="00554F4E" w:rsidRDefault="00554F4E" w:rsidP="00554F4E">
      <w:pPr>
        <w:pStyle w:val="EndNoteBibliography"/>
        <w:spacing w:after="0"/>
      </w:pPr>
      <w:bookmarkStart w:id="7" w:name="_ENREF_7"/>
      <w:r w:rsidRPr="00554F4E">
        <w:t>7. Illumina. Genotyping Data Normalization Methods. 2007.</w:t>
      </w:r>
      <w:bookmarkEnd w:id="7"/>
    </w:p>
    <w:p w14:paraId="183C860C" w14:textId="77777777" w:rsidR="00554F4E" w:rsidRPr="00554F4E" w:rsidRDefault="00554F4E" w:rsidP="00554F4E">
      <w:pPr>
        <w:pStyle w:val="EndNoteBibliography"/>
        <w:spacing w:after="0"/>
      </w:pPr>
      <w:bookmarkStart w:id="8" w:name="_ENREF_8"/>
      <w:r w:rsidRPr="00554F4E">
        <w:t>8. Conrad DF, Pinto D, Redon R, Feuk L, Gokcumen O, Zhang Y et al. Origins and functional impact of copy number variation in the human genome. Nature. 2010;464(7289):704-12. doi:10.1038/nature08516.</w:t>
      </w:r>
      <w:bookmarkEnd w:id="8"/>
    </w:p>
    <w:p w14:paraId="39FD0C80" w14:textId="0D0B45BB" w:rsidR="00554F4E" w:rsidRPr="00554F4E" w:rsidRDefault="00554F4E" w:rsidP="00554F4E">
      <w:pPr>
        <w:pStyle w:val="EndNoteBibliography"/>
      </w:pPr>
      <w:bookmarkStart w:id="9" w:name="_ENREF_9"/>
      <w:r w:rsidRPr="00554F4E">
        <w:t xml:space="preserve">9. NIST/SEMATECH. e-Handbook of Statistical Methods. </w:t>
      </w:r>
      <w:hyperlink r:id="rId8" w:history="1">
        <w:r w:rsidRPr="00554F4E">
          <w:rPr>
            <w:rStyle w:val="Hyperlink"/>
          </w:rPr>
          <w:t>http://www.itl.nist.gov/div898/handbook/eda/section3/boxplot.htm</w:t>
        </w:r>
      </w:hyperlink>
      <w:r w:rsidRPr="00554F4E">
        <w:t xml:space="preserve"> and </w:t>
      </w:r>
      <w:hyperlink r:id="rId9" w:history="1">
        <w:r w:rsidRPr="00554F4E">
          <w:rPr>
            <w:rStyle w:val="Hyperlink"/>
          </w:rPr>
          <w:t>http://www.itl.nist.gov/div898/handbook/apr/section2/apr233.htm</w:t>
        </w:r>
      </w:hyperlink>
      <w:r w:rsidRPr="00554F4E">
        <w:t>. Accessed September 2009.</w:t>
      </w:r>
      <w:bookmarkEnd w:id="9"/>
    </w:p>
    <w:p w14:paraId="21431D89" w14:textId="492560BD" w:rsidR="00EA5929" w:rsidRPr="000A295D" w:rsidRDefault="008534B2" w:rsidP="00115091">
      <w:r>
        <w:fldChar w:fldCharType="end"/>
      </w:r>
    </w:p>
    <w:sectPr w:rsidR="00EA5929" w:rsidRPr="000A295D" w:rsidSect="00E71072">
      <w:headerReference w:type="default" r:id="rId10"/>
      <w:footerReference w:type="defaul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166100" w14:textId="77777777" w:rsidR="0087485B" w:rsidRDefault="0087485B" w:rsidP="00B6386B">
      <w:pPr>
        <w:spacing w:after="0" w:line="240" w:lineRule="auto"/>
      </w:pPr>
      <w:r>
        <w:separator/>
      </w:r>
    </w:p>
  </w:endnote>
  <w:endnote w:type="continuationSeparator" w:id="0">
    <w:p w14:paraId="7B038A5C" w14:textId="77777777" w:rsidR="0087485B" w:rsidRDefault="0087485B" w:rsidP="00B63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441152261"/>
      <w:docPartObj>
        <w:docPartGallery w:val="Page Numbers (Bottom of Page)"/>
        <w:docPartUnique/>
      </w:docPartObj>
    </w:sdtPr>
    <w:sdtEndPr>
      <w:rPr>
        <w:noProof/>
      </w:rPr>
    </w:sdtEndPr>
    <w:sdtContent>
      <w:p w14:paraId="15DD0567" w14:textId="37312163" w:rsidR="002E670A" w:rsidRDefault="002E670A">
        <w:pPr>
          <w:pStyle w:val="Footer"/>
          <w:jc w:val="right"/>
        </w:pPr>
        <w:r>
          <w:rPr>
            <w:noProof w:val="0"/>
          </w:rPr>
          <w:fldChar w:fldCharType="begin"/>
        </w:r>
        <w:r>
          <w:instrText xml:space="preserve"> PAGE   \* MERGEFORMAT </w:instrText>
        </w:r>
        <w:r>
          <w:rPr>
            <w:noProof w:val="0"/>
          </w:rPr>
          <w:fldChar w:fldCharType="separate"/>
        </w:r>
        <w:r w:rsidR="00554F4E">
          <w:t>4</w:t>
        </w:r>
        <w:r>
          <w:fldChar w:fldCharType="end"/>
        </w:r>
      </w:p>
    </w:sdtContent>
  </w:sdt>
  <w:p w14:paraId="5F2F063A" w14:textId="77777777" w:rsidR="002E670A" w:rsidRDefault="002E67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29EDBF" w14:textId="77777777" w:rsidR="0087485B" w:rsidRDefault="0087485B" w:rsidP="00B6386B">
      <w:pPr>
        <w:spacing w:after="0" w:line="240" w:lineRule="auto"/>
      </w:pPr>
      <w:r>
        <w:separator/>
      </w:r>
    </w:p>
  </w:footnote>
  <w:footnote w:type="continuationSeparator" w:id="0">
    <w:p w14:paraId="2606CF04" w14:textId="77777777" w:rsidR="0087485B" w:rsidRDefault="0087485B" w:rsidP="00B638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1075C" w14:textId="03E0A802" w:rsidR="002E670A" w:rsidRPr="00775980" w:rsidRDefault="002E670A" w:rsidP="00B6386B">
    <w:pPr>
      <w:spacing w:line="360" w:lineRule="auto"/>
      <w:jc w:val="center"/>
      <w:rPr>
        <w:b/>
        <w:sz w:val="32"/>
      </w:rPr>
    </w:pPr>
    <w:r>
      <w:t xml:space="preserve">BOURGEOIS et al. </w:t>
    </w:r>
    <w:r>
      <w:tab/>
    </w:r>
    <w:r>
      <w:tab/>
    </w:r>
    <w:r w:rsidRPr="00E71072">
      <w:t>RESPONSE TO WARFARIN IN A UK PROSPECTIVE COHORT</w:t>
    </w:r>
  </w:p>
  <w:p w14:paraId="1E4CB994" w14:textId="1A3A349C" w:rsidR="002E670A" w:rsidRDefault="002E670A">
    <w:pPr>
      <w:pStyle w:val="Header"/>
    </w:pPr>
  </w:p>
  <w:p w14:paraId="419CBCD1" w14:textId="77777777" w:rsidR="002E670A" w:rsidRDefault="002E67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3F2"/>
    <w:multiLevelType w:val="singleLevel"/>
    <w:tmpl w:val="00000403"/>
    <w:lvl w:ilvl="0">
      <w:start w:val="1"/>
      <w:numFmt w:val="lowerRoman"/>
      <w:lvlText w:val="%1)"/>
      <w:lvlJc w:val="left"/>
      <w:pPr>
        <w:ind w:left="1080" w:hanging="720"/>
      </w:pPr>
    </w:lvl>
  </w:abstractNum>
  <w:abstractNum w:abstractNumId="1" w15:restartNumberingAfterBreak="0">
    <w:nsid w:val="042B07DA"/>
    <w:multiLevelType w:val="hybridMultilevel"/>
    <w:tmpl w:val="AEE88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D2B84"/>
    <w:multiLevelType w:val="hybridMultilevel"/>
    <w:tmpl w:val="378455E2"/>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695F4B"/>
    <w:multiLevelType w:val="hybridMultilevel"/>
    <w:tmpl w:val="7BFCFEEE"/>
    <w:lvl w:ilvl="0" w:tplc="F4CA7240">
      <w:start w:val="1"/>
      <w:numFmt w:val="lowerRoman"/>
      <w:lvlText w:val="(%1)"/>
      <w:lvlJc w:val="left"/>
      <w:pPr>
        <w:ind w:left="1080" w:hanging="72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15:restartNumberingAfterBreak="0">
    <w:nsid w:val="2E9D0497"/>
    <w:multiLevelType w:val="hybridMultilevel"/>
    <w:tmpl w:val="C9BE07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D50AD6"/>
    <w:multiLevelType w:val="hybridMultilevel"/>
    <w:tmpl w:val="CE669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F9589A"/>
    <w:multiLevelType w:val="hybridMultilevel"/>
    <w:tmpl w:val="DB26BB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0942F2"/>
    <w:multiLevelType w:val="hybridMultilevel"/>
    <w:tmpl w:val="A880A8B6"/>
    <w:lvl w:ilvl="0" w:tplc="029436CC">
      <w:start w:val="1"/>
      <w:numFmt w:val="lowerRoman"/>
      <w:lvlText w:val="(%1)"/>
      <w:lvlJc w:val="left"/>
      <w:pPr>
        <w:tabs>
          <w:tab w:val="num" w:pos="833"/>
        </w:tabs>
        <w:ind w:left="720" w:firstLine="116"/>
      </w:pPr>
      <w:rPr>
        <w:rFonts w:hint="default"/>
        <w:b w:val="0"/>
        <w:i w:val="0"/>
      </w:rPr>
    </w:lvl>
    <w:lvl w:ilvl="1" w:tplc="9704DF9C">
      <w:start w:val="6"/>
      <w:numFmt w:val="bullet"/>
      <w:lvlText w:val="-"/>
      <w:lvlJc w:val="left"/>
      <w:pPr>
        <w:tabs>
          <w:tab w:val="num" w:pos="1196"/>
        </w:tabs>
        <w:ind w:left="1196" w:hanging="360"/>
      </w:pPr>
      <w:rPr>
        <w:rFonts w:ascii="Times New Roman" w:eastAsia="Calibri" w:hAnsi="Times New Roman" w:cs="Times New Roman" w:hint="default"/>
      </w:rPr>
    </w:lvl>
    <w:lvl w:ilvl="2" w:tplc="D30E6D3C">
      <w:start w:val="1"/>
      <w:numFmt w:val="decimal"/>
      <w:lvlText w:val="%3."/>
      <w:lvlJc w:val="left"/>
      <w:pPr>
        <w:tabs>
          <w:tab w:val="num" w:pos="2096"/>
        </w:tabs>
        <w:ind w:left="2096" w:hanging="360"/>
      </w:pPr>
      <w:rPr>
        <w:rFonts w:hint="default"/>
      </w:rPr>
    </w:lvl>
    <w:lvl w:ilvl="3" w:tplc="0809000F" w:tentative="1">
      <w:start w:val="1"/>
      <w:numFmt w:val="decimal"/>
      <w:lvlText w:val="%4."/>
      <w:lvlJc w:val="left"/>
      <w:pPr>
        <w:tabs>
          <w:tab w:val="num" w:pos="2636"/>
        </w:tabs>
        <w:ind w:left="2636" w:hanging="360"/>
      </w:pPr>
    </w:lvl>
    <w:lvl w:ilvl="4" w:tplc="08090019" w:tentative="1">
      <w:start w:val="1"/>
      <w:numFmt w:val="lowerLetter"/>
      <w:lvlText w:val="%5."/>
      <w:lvlJc w:val="left"/>
      <w:pPr>
        <w:tabs>
          <w:tab w:val="num" w:pos="3356"/>
        </w:tabs>
        <w:ind w:left="3356" w:hanging="360"/>
      </w:pPr>
    </w:lvl>
    <w:lvl w:ilvl="5" w:tplc="0809001B" w:tentative="1">
      <w:start w:val="1"/>
      <w:numFmt w:val="lowerRoman"/>
      <w:lvlText w:val="%6."/>
      <w:lvlJc w:val="right"/>
      <w:pPr>
        <w:tabs>
          <w:tab w:val="num" w:pos="4076"/>
        </w:tabs>
        <w:ind w:left="4076" w:hanging="180"/>
      </w:pPr>
    </w:lvl>
    <w:lvl w:ilvl="6" w:tplc="0809000F" w:tentative="1">
      <w:start w:val="1"/>
      <w:numFmt w:val="decimal"/>
      <w:lvlText w:val="%7."/>
      <w:lvlJc w:val="left"/>
      <w:pPr>
        <w:tabs>
          <w:tab w:val="num" w:pos="4796"/>
        </w:tabs>
        <w:ind w:left="4796" w:hanging="360"/>
      </w:pPr>
    </w:lvl>
    <w:lvl w:ilvl="7" w:tplc="08090019" w:tentative="1">
      <w:start w:val="1"/>
      <w:numFmt w:val="lowerLetter"/>
      <w:lvlText w:val="%8."/>
      <w:lvlJc w:val="left"/>
      <w:pPr>
        <w:tabs>
          <w:tab w:val="num" w:pos="5516"/>
        </w:tabs>
        <w:ind w:left="5516" w:hanging="360"/>
      </w:pPr>
    </w:lvl>
    <w:lvl w:ilvl="8" w:tplc="0809001B" w:tentative="1">
      <w:start w:val="1"/>
      <w:numFmt w:val="lowerRoman"/>
      <w:lvlText w:val="%9."/>
      <w:lvlJc w:val="right"/>
      <w:pPr>
        <w:tabs>
          <w:tab w:val="num" w:pos="6236"/>
        </w:tabs>
        <w:ind w:left="6236" w:hanging="180"/>
      </w:pPr>
    </w:lvl>
  </w:abstractNum>
  <w:abstractNum w:abstractNumId="8" w15:restartNumberingAfterBreak="0">
    <w:nsid w:val="55013C63"/>
    <w:multiLevelType w:val="hybridMultilevel"/>
    <w:tmpl w:val="AF501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FD6D8C"/>
    <w:multiLevelType w:val="hybridMultilevel"/>
    <w:tmpl w:val="AAA27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FE54C9"/>
    <w:multiLevelType w:val="hybridMultilevel"/>
    <w:tmpl w:val="A880A8B6"/>
    <w:lvl w:ilvl="0" w:tplc="029436CC">
      <w:start w:val="1"/>
      <w:numFmt w:val="lowerRoman"/>
      <w:lvlText w:val="(%1)"/>
      <w:lvlJc w:val="left"/>
      <w:pPr>
        <w:tabs>
          <w:tab w:val="num" w:pos="1077"/>
        </w:tabs>
        <w:ind w:left="964" w:firstLine="116"/>
      </w:pPr>
      <w:rPr>
        <w:rFonts w:hint="default"/>
        <w:b w:val="0"/>
        <w:i w:val="0"/>
      </w:rPr>
    </w:lvl>
    <w:lvl w:ilvl="1" w:tplc="9704DF9C">
      <w:start w:val="6"/>
      <w:numFmt w:val="bullet"/>
      <w:lvlText w:val="-"/>
      <w:lvlJc w:val="left"/>
      <w:pPr>
        <w:tabs>
          <w:tab w:val="num" w:pos="1440"/>
        </w:tabs>
        <w:ind w:left="1440" w:hanging="360"/>
      </w:pPr>
      <w:rPr>
        <w:rFonts w:ascii="Times New Roman" w:eastAsia="Calibri" w:hAnsi="Times New Roman" w:cs="Times New Roman" w:hint="default"/>
      </w:rPr>
    </w:lvl>
    <w:lvl w:ilvl="2" w:tplc="D30E6D3C">
      <w:start w:val="1"/>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BA567C7"/>
    <w:multiLevelType w:val="hybridMultilevel"/>
    <w:tmpl w:val="47FCF6C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9773DD"/>
    <w:multiLevelType w:val="hybridMultilevel"/>
    <w:tmpl w:val="B3FC606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
  </w:num>
  <w:num w:numId="3">
    <w:abstractNumId w:val="11"/>
  </w:num>
  <w:num w:numId="4">
    <w:abstractNumId w:val="8"/>
  </w:num>
  <w:num w:numId="5">
    <w:abstractNumId w:val="6"/>
  </w:num>
  <w:num w:numId="6">
    <w:abstractNumId w:val="7"/>
  </w:num>
  <w:num w:numId="7">
    <w:abstractNumId w:val="12"/>
  </w:num>
  <w:num w:numId="8">
    <w:abstractNumId w:val="4"/>
  </w:num>
  <w:num w:numId="9">
    <w:abstractNumId w:val="1"/>
  </w:num>
  <w:num w:numId="10">
    <w:abstractNumId w:val="3"/>
  </w:num>
  <w:num w:numId="11">
    <w:abstractNumId w:val="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VancouverNumber&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aw0exsw99atpdesseupvtt1f0dt09wdxvaw&quot;&gt;WTSI EndNote Library&lt;record-ids&gt;&lt;item&gt;1710&lt;/item&gt;&lt;item&gt;1711&lt;/item&gt;&lt;item&gt;1801&lt;/item&gt;&lt;item&gt;1803&lt;/item&gt;&lt;item&gt;1804&lt;/item&gt;&lt;item&gt;1809&lt;/item&gt;&lt;item&gt;3947&lt;/item&gt;&lt;item&gt;3948&lt;/item&gt;&lt;item&gt;3949&lt;/item&gt;&lt;/record-ids&gt;&lt;/item&gt;&lt;/Libraries&gt;"/>
  </w:docVars>
  <w:rsids>
    <w:rsidRoot w:val="00390239"/>
    <w:rsid w:val="00006B33"/>
    <w:rsid w:val="0001140A"/>
    <w:rsid w:val="00011616"/>
    <w:rsid w:val="00012AA2"/>
    <w:rsid w:val="00013180"/>
    <w:rsid w:val="00014710"/>
    <w:rsid w:val="000179F7"/>
    <w:rsid w:val="000361C5"/>
    <w:rsid w:val="0005421D"/>
    <w:rsid w:val="0005766B"/>
    <w:rsid w:val="00061F86"/>
    <w:rsid w:val="000629B4"/>
    <w:rsid w:val="0006322C"/>
    <w:rsid w:val="000653EA"/>
    <w:rsid w:val="0007513D"/>
    <w:rsid w:val="000757FC"/>
    <w:rsid w:val="0007623E"/>
    <w:rsid w:val="0008055A"/>
    <w:rsid w:val="0008355E"/>
    <w:rsid w:val="00086F87"/>
    <w:rsid w:val="00087608"/>
    <w:rsid w:val="00087F3A"/>
    <w:rsid w:val="0009217E"/>
    <w:rsid w:val="00095CA2"/>
    <w:rsid w:val="000A1BC2"/>
    <w:rsid w:val="000A295D"/>
    <w:rsid w:val="000A47DE"/>
    <w:rsid w:val="000B1C49"/>
    <w:rsid w:val="000C51F8"/>
    <w:rsid w:val="000D17A9"/>
    <w:rsid w:val="000D42A1"/>
    <w:rsid w:val="000F58E8"/>
    <w:rsid w:val="0010106E"/>
    <w:rsid w:val="00106013"/>
    <w:rsid w:val="00115091"/>
    <w:rsid w:val="00117EFF"/>
    <w:rsid w:val="00120025"/>
    <w:rsid w:val="0013381C"/>
    <w:rsid w:val="00134B1A"/>
    <w:rsid w:val="00140E53"/>
    <w:rsid w:val="00145140"/>
    <w:rsid w:val="00147978"/>
    <w:rsid w:val="00165153"/>
    <w:rsid w:val="00165F60"/>
    <w:rsid w:val="00171EFB"/>
    <w:rsid w:val="00183DF6"/>
    <w:rsid w:val="001871B0"/>
    <w:rsid w:val="00191912"/>
    <w:rsid w:val="00196DD5"/>
    <w:rsid w:val="001A314F"/>
    <w:rsid w:val="001D189F"/>
    <w:rsid w:val="001D3584"/>
    <w:rsid w:val="001D6046"/>
    <w:rsid w:val="001D7356"/>
    <w:rsid w:val="001E5470"/>
    <w:rsid w:val="001F5CAA"/>
    <w:rsid w:val="00203BD9"/>
    <w:rsid w:val="0020429A"/>
    <w:rsid w:val="002053E6"/>
    <w:rsid w:val="0020555C"/>
    <w:rsid w:val="002143DD"/>
    <w:rsid w:val="0022236C"/>
    <w:rsid w:val="002361E0"/>
    <w:rsid w:val="0024008A"/>
    <w:rsid w:val="00242A9F"/>
    <w:rsid w:val="0024451F"/>
    <w:rsid w:val="00247100"/>
    <w:rsid w:val="002515F2"/>
    <w:rsid w:val="002522C6"/>
    <w:rsid w:val="00252B43"/>
    <w:rsid w:val="002537F4"/>
    <w:rsid w:val="0026344D"/>
    <w:rsid w:val="002654D4"/>
    <w:rsid w:val="00267CD1"/>
    <w:rsid w:val="00270F7A"/>
    <w:rsid w:val="00273E35"/>
    <w:rsid w:val="00277464"/>
    <w:rsid w:val="00291790"/>
    <w:rsid w:val="00291834"/>
    <w:rsid w:val="00293AF1"/>
    <w:rsid w:val="00296C5D"/>
    <w:rsid w:val="00297243"/>
    <w:rsid w:val="002A1AB4"/>
    <w:rsid w:val="002A1D5B"/>
    <w:rsid w:val="002A4890"/>
    <w:rsid w:val="002A6E4C"/>
    <w:rsid w:val="002B0D99"/>
    <w:rsid w:val="002B3F28"/>
    <w:rsid w:val="002B3FF3"/>
    <w:rsid w:val="002B454F"/>
    <w:rsid w:val="002B5405"/>
    <w:rsid w:val="002C3BF4"/>
    <w:rsid w:val="002D1F68"/>
    <w:rsid w:val="002D5C42"/>
    <w:rsid w:val="002D7945"/>
    <w:rsid w:val="002E221A"/>
    <w:rsid w:val="002E670A"/>
    <w:rsid w:val="002F4961"/>
    <w:rsid w:val="00304957"/>
    <w:rsid w:val="00310010"/>
    <w:rsid w:val="003135BF"/>
    <w:rsid w:val="00316E90"/>
    <w:rsid w:val="00323BF9"/>
    <w:rsid w:val="003259F8"/>
    <w:rsid w:val="0033535D"/>
    <w:rsid w:val="00341E4A"/>
    <w:rsid w:val="00342D11"/>
    <w:rsid w:val="00344594"/>
    <w:rsid w:val="00350E0B"/>
    <w:rsid w:val="00352869"/>
    <w:rsid w:val="00360C68"/>
    <w:rsid w:val="00362D17"/>
    <w:rsid w:val="003648F6"/>
    <w:rsid w:val="003656D5"/>
    <w:rsid w:val="003719AF"/>
    <w:rsid w:val="00374469"/>
    <w:rsid w:val="00376032"/>
    <w:rsid w:val="0038283B"/>
    <w:rsid w:val="00382F2B"/>
    <w:rsid w:val="00384863"/>
    <w:rsid w:val="00390239"/>
    <w:rsid w:val="0039226C"/>
    <w:rsid w:val="00392F0F"/>
    <w:rsid w:val="003A123C"/>
    <w:rsid w:val="003A1F70"/>
    <w:rsid w:val="003A201A"/>
    <w:rsid w:val="003A6733"/>
    <w:rsid w:val="003B28D1"/>
    <w:rsid w:val="003B3C0C"/>
    <w:rsid w:val="003B444F"/>
    <w:rsid w:val="003C0EB4"/>
    <w:rsid w:val="003C7E35"/>
    <w:rsid w:val="003D0E3F"/>
    <w:rsid w:val="003D3B3E"/>
    <w:rsid w:val="003D54A8"/>
    <w:rsid w:val="003D7313"/>
    <w:rsid w:val="003D7867"/>
    <w:rsid w:val="003E01E2"/>
    <w:rsid w:val="003E4699"/>
    <w:rsid w:val="003E66C7"/>
    <w:rsid w:val="003F39F5"/>
    <w:rsid w:val="003F3F7B"/>
    <w:rsid w:val="003F4285"/>
    <w:rsid w:val="003F456A"/>
    <w:rsid w:val="003F4FD6"/>
    <w:rsid w:val="0040685D"/>
    <w:rsid w:val="004106C7"/>
    <w:rsid w:val="0041693E"/>
    <w:rsid w:val="00421E5B"/>
    <w:rsid w:val="004270CF"/>
    <w:rsid w:val="004431C8"/>
    <w:rsid w:val="00444384"/>
    <w:rsid w:val="004510B4"/>
    <w:rsid w:val="00453F4A"/>
    <w:rsid w:val="0045407F"/>
    <w:rsid w:val="00457DD7"/>
    <w:rsid w:val="00460160"/>
    <w:rsid w:val="00463503"/>
    <w:rsid w:val="0046566C"/>
    <w:rsid w:val="00470CB1"/>
    <w:rsid w:val="0047521B"/>
    <w:rsid w:val="00476504"/>
    <w:rsid w:val="00484597"/>
    <w:rsid w:val="00484D77"/>
    <w:rsid w:val="00487046"/>
    <w:rsid w:val="004872BE"/>
    <w:rsid w:val="004A36F8"/>
    <w:rsid w:val="004B263C"/>
    <w:rsid w:val="004B51A0"/>
    <w:rsid w:val="004B5F89"/>
    <w:rsid w:val="004B7688"/>
    <w:rsid w:val="004C03E7"/>
    <w:rsid w:val="004D0EA3"/>
    <w:rsid w:val="004D279B"/>
    <w:rsid w:val="004E38C9"/>
    <w:rsid w:val="004E4724"/>
    <w:rsid w:val="004E65F9"/>
    <w:rsid w:val="004F5A97"/>
    <w:rsid w:val="00505713"/>
    <w:rsid w:val="0050607F"/>
    <w:rsid w:val="00515258"/>
    <w:rsid w:val="00527845"/>
    <w:rsid w:val="00527960"/>
    <w:rsid w:val="00530305"/>
    <w:rsid w:val="0054269A"/>
    <w:rsid w:val="005466C5"/>
    <w:rsid w:val="00547AE1"/>
    <w:rsid w:val="00550472"/>
    <w:rsid w:val="00550E60"/>
    <w:rsid w:val="00552D9B"/>
    <w:rsid w:val="00553867"/>
    <w:rsid w:val="00554F4E"/>
    <w:rsid w:val="00556965"/>
    <w:rsid w:val="00557EA8"/>
    <w:rsid w:val="00561919"/>
    <w:rsid w:val="0057002D"/>
    <w:rsid w:val="0057027D"/>
    <w:rsid w:val="00580666"/>
    <w:rsid w:val="00582AC3"/>
    <w:rsid w:val="00582CAF"/>
    <w:rsid w:val="00584BE0"/>
    <w:rsid w:val="00593B6E"/>
    <w:rsid w:val="00594F33"/>
    <w:rsid w:val="005969BD"/>
    <w:rsid w:val="005A4058"/>
    <w:rsid w:val="005A5F05"/>
    <w:rsid w:val="005A7496"/>
    <w:rsid w:val="005B2819"/>
    <w:rsid w:val="005C16CC"/>
    <w:rsid w:val="005C5A47"/>
    <w:rsid w:val="005D14DE"/>
    <w:rsid w:val="005D434A"/>
    <w:rsid w:val="005D5888"/>
    <w:rsid w:val="005D6676"/>
    <w:rsid w:val="005D73F8"/>
    <w:rsid w:val="005E65CA"/>
    <w:rsid w:val="005E784D"/>
    <w:rsid w:val="005F60DE"/>
    <w:rsid w:val="00602B49"/>
    <w:rsid w:val="00607C36"/>
    <w:rsid w:val="006109F1"/>
    <w:rsid w:val="006115C1"/>
    <w:rsid w:val="00613BA8"/>
    <w:rsid w:val="0061579C"/>
    <w:rsid w:val="00617B25"/>
    <w:rsid w:val="006224ED"/>
    <w:rsid w:val="006226E1"/>
    <w:rsid w:val="00623534"/>
    <w:rsid w:val="00632894"/>
    <w:rsid w:val="00636997"/>
    <w:rsid w:val="0064010E"/>
    <w:rsid w:val="00640444"/>
    <w:rsid w:val="006410B8"/>
    <w:rsid w:val="006501BF"/>
    <w:rsid w:val="00650FD6"/>
    <w:rsid w:val="0065136D"/>
    <w:rsid w:val="00673E05"/>
    <w:rsid w:val="006745C7"/>
    <w:rsid w:val="00680077"/>
    <w:rsid w:val="00684FFC"/>
    <w:rsid w:val="0068752B"/>
    <w:rsid w:val="00687EF6"/>
    <w:rsid w:val="00693E39"/>
    <w:rsid w:val="006952C2"/>
    <w:rsid w:val="006A03BC"/>
    <w:rsid w:val="006A1A95"/>
    <w:rsid w:val="006A1C75"/>
    <w:rsid w:val="006A3A66"/>
    <w:rsid w:val="006A4050"/>
    <w:rsid w:val="006A5A1F"/>
    <w:rsid w:val="006A63B3"/>
    <w:rsid w:val="006B7B1E"/>
    <w:rsid w:val="006C0045"/>
    <w:rsid w:val="006C1FB3"/>
    <w:rsid w:val="006C2DF9"/>
    <w:rsid w:val="006C6FE0"/>
    <w:rsid w:val="006D1D22"/>
    <w:rsid w:val="006D4430"/>
    <w:rsid w:val="006D4B45"/>
    <w:rsid w:val="006E4E70"/>
    <w:rsid w:val="006E7A57"/>
    <w:rsid w:val="006F10FE"/>
    <w:rsid w:val="006F37D6"/>
    <w:rsid w:val="006F403D"/>
    <w:rsid w:val="006F4FBC"/>
    <w:rsid w:val="0070018F"/>
    <w:rsid w:val="00702CD1"/>
    <w:rsid w:val="00715AAF"/>
    <w:rsid w:val="007163F8"/>
    <w:rsid w:val="00716D4C"/>
    <w:rsid w:val="00716FA2"/>
    <w:rsid w:val="00720033"/>
    <w:rsid w:val="007415B8"/>
    <w:rsid w:val="00746BF0"/>
    <w:rsid w:val="00746DE9"/>
    <w:rsid w:val="00760FB9"/>
    <w:rsid w:val="00771EB2"/>
    <w:rsid w:val="0077473B"/>
    <w:rsid w:val="00775980"/>
    <w:rsid w:val="0078504F"/>
    <w:rsid w:val="007A28E5"/>
    <w:rsid w:val="007A6DC7"/>
    <w:rsid w:val="007B12BF"/>
    <w:rsid w:val="007C16AA"/>
    <w:rsid w:val="007C2AC8"/>
    <w:rsid w:val="007C6EBB"/>
    <w:rsid w:val="007C7B80"/>
    <w:rsid w:val="007D6E21"/>
    <w:rsid w:val="007E35EE"/>
    <w:rsid w:val="007F0B76"/>
    <w:rsid w:val="007F3045"/>
    <w:rsid w:val="007F3D1C"/>
    <w:rsid w:val="007F5230"/>
    <w:rsid w:val="007F54DF"/>
    <w:rsid w:val="00806D95"/>
    <w:rsid w:val="00807711"/>
    <w:rsid w:val="008077D8"/>
    <w:rsid w:val="00813646"/>
    <w:rsid w:val="00815894"/>
    <w:rsid w:val="00816452"/>
    <w:rsid w:val="0082288E"/>
    <w:rsid w:val="00827C9C"/>
    <w:rsid w:val="008350CF"/>
    <w:rsid w:val="008534B2"/>
    <w:rsid w:val="00853DFE"/>
    <w:rsid w:val="008649BD"/>
    <w:rsid w:val="00865145"/>
    <w:rsid w:val="008677EE"/>
    <w:rsid w:val="00870E18"/>
    <w:rsid w:val="00872C7D"/>
    <w:rsid w:val="0087485B"/>
    <w:rsid w:val="00877976"/>
    <w:rsid w:val="0088077F"/>
    <w:rsid w:val="008823E9"/>
    <w:rsid w:val="00883B00"/>
    <w:rsid w:val="008A1AB0"/>
    <w:rsid w:val="008B03EC"/>
    <w:rsid w:val="008B2BF7"/>
    <w:rsid w:val="008B5E17"/>
    <w:rsid w:val="008C15DC"/>
    <w:rsid w:val="008E06D2"/>
    <w:rsid w:val="008F4A69"/>
    <w:rsid w:val="008F62BC"/>
    <w:rsid w:val="008F665B"/>
    <w:rsid w:val="008F6892"/>
    <w:rsid w:val="00902D46"/>
    <w:rsid w:val="00913B9E"/>
    <w:rsid w:val="00915156"/>
    <w:rsid w:val="00921870"/>
    <w:rsid w:val="00923770"/>
    <w:rsid w:val="00926202"/>
    <w:rsid w:val="00927B2A"/>
    <w:rsid w:val="00945FC9"/>
    <w:rsid w:val="009505C3"/>
    <w:rsid w:val="00954469"/>
    <w:rsid w:val="00955B6E"/>
    <w:rsid w:val="00974AC2"/>
    <w:rsid w:val="00983263"/>
    <w:rsid w:val="009864BB"/>
    <w:rsid w:val="0098753D"/>
    <w:rsid w:val="00993CBF"/>
    <w:rsid w:val="00996E40"/>
    <w:rsid w:val="009A2571"/>
    <w:rsid w:val="009B050D"/>
    <w:rsid w:val="009B5591"/>
    <w:rsid w:val="009C2D4A"/>
    <w:rsid w:val="009C5E70"/>
    <w:rsid w:val="009D24D6"/>
    <w:rsid w:val="009D2FE7"/>
    <w:rsid w:val="009D48B8"/>
    <w:rsid w:val="009D52E1"/>
    <w:rsid w:val="009D6D4A"/>
    <w:rsid w:val="009E2C33"/>
    <w:rsid w:val="009E6CB9"/>
    <w:rsid w:val="009E6E34"/>
    <w:rsid w:val="009E6F76"/>
    <w:rsid w:val="009F3260"/>
    <w:rsid w:val="009F73E6"/>
    <w:rsid w:val="00A0157E"/>
    <w:rsid w:val="00A045EB"/>
    <w:rsid w:val="00A058ED"/>
    <w:rsid w:val="00A12673"/>
    <w:rsid w:val="00A13CE0"/>
    <w:rsid w:val="00A17F4C"/>
    <w:rsid w:val="00A20802"/>
    <w:rsid w:val="00A21006"/>
    <w:rsid w:val="00A31E7B"/>
    <w:rsid w:val="00A438E4"/>
    <w:rsid w:val="00A43C71"/>
    <w:rsid w:val="00A44400"/>
    <w:rsid w:val="00A44AF3"/>
    <w:rsid w:val="00A50F06"/>
    <w:rsid w:val="00A628A9"/>
    <w:rsid w:val="00A64737"/>
    <w:rsid w:val="00A659B0"/>
    <w:rsid w:val="00A75C88"/>
    <w:rsid w:val="00A75DA3"/>
    <w:rsid w:val="00A86757"/>
    <w:rsid w:val="00A910C3"/>
    <w:rsid w:val="00A937C0"/>
    <w:rsid w:val="00A9577A"/>
    <w:rsid w:val="00AA70BE"/>
    <w:rsid w:val="00AB2368"/>
    <w:rsid w:val="00AB2F17"/>
    <w:rsid w:val="00AB4926"/>
    <w:rsid w:val="00AC0E92"/>
    <w:rsid w:val="00AC2C79"/>
    <w:rsid w:val="00AD038A"/>
    <w:rsid w:val="00AD2B61"/>
    <w:rsid w:val="00AD633A"/>
    <w:rsid w:val="00B02176"/>
    <w:rsid w:val="00B02E96"/>
    <w:rsid w:val="00B062DF"/>
    <w:rsid w:val="00B06C10"/>
    <w:rsid w:val="00B1090C"/>
    <w:rsid w:val="00B13047"/>
    <w:rsid w:val="00B270BE"/>
    <w:rsid w:val="00B36C8B"/>
    <w:rsid w:val="00B41C83"/>
    <w:rsid w:val="00B453B1"/>
    <w:rsid w:val="00B52A7B"/>
    <w:rsid w:val="00B6386B"/>
    <w:rsid w:val="00B63F0F"/>
    <w:rsid w:val="00B66FA9"/>
    <w:rsid w:val="00B75EA0"/>
    <w:rsid w:val="00B84ECF"/>
    <w:rsid w:val="00B919F9"/>
    <w:rsid w:val="00B9212E"/>
    <w:rsid w:val="00B9310B"/>
    <w:rsid w:val="00B94781"/>
    <w:rsid w:val="00BA0A80"/>
    <w:rsid w:val="00BA559B"/>
    <w:rsid w:val="00BA6270"/>
    <w:rsid w:val="00BB1401"/>
    <w:rsid w:val="00BB50B9"/>
    <w:rsid w:val="00BB6B71"/>
    <w:rsid w:val="00BC10ED"/>
    <w:rsid w:val="00BC3C09"/>
    <w:rsid w:val="00BC5BA9"/>
    <w:rsid w:val="00BC7B46"/>
    <w:rsid w:val="00BD1706"/>
    <w:rsid w:val="00BD182B"/>
    <w:rsid w:val="00BD2375"/>
    <w:rsid w:val="00BD27BB"/>
    <w:rsid w:val="00BD3FA9"/>
    <w:rsid w:val="00BD4850"/>
    <w:rsid w:val="00BD5F09"/>
    <w:rsid w:val="00BD6303"/>
    <w:rsid w:val="00BF23FD"/>
    <w:rsid w:val="00BF2F6A"/>
    <w:rsid w:val="00C035A3"/>
    <w:rsid w:val="00C0418E"/>
    <w:rsid w:val="00C0593A"/>
    <w:rsid w:val="00C15DDF"/>
    <w:rsid w:val="00C1710A"/>
    <w:rsid w:val="00C17301"/>
    <w:rsid w:val="00C17A7B"/>
    <w:rsid w:val="00C22DC4"/>
    <w:rsid w:val="00C23B13"/>
    <w:rsid w:val="00C24065"/>
    <w:rsid w:val="00C24433"/>
    <w:rsid w:val="00C27647"/>
    <w:rsid w:val="00C31335"/>
    <w:rsid w:val="00C3470D"/>
    <w:rsid w:val="00C35BCC"/>
    <w:rsid w:val="00C364CE"/>
    <w:rsid w:val="00C44A37"/>
    <w:rsid w:val="00C45B48"/>
    <w:rsid w:val="00C527AB"/>
    <w:rsid w:val="00C52BB5"/>
    <w:rsid w:val="00C53946"/>
    <w:rsid w:val="00C548F0"/>
    <w:rsid w:val="00C55A90"/>
    <w:rsid w:val="00C606EF"/>
    <w:rsid w:val="00C613EC"/>
    <w:rsid w:val="00C61CB7"/>
    <w:rsid w:val="00C6697E"/>
    <w:rsid w:val="00C703F6"/>
    <w:rsid w:val="00C71BC3"/>
    <w:rsid w:val="00C773C4"/>
    <w:rsid w:val="00C83BDA"/>
    <w:rsid w:val="00C83CFF"/>
    <w:rsid w:val="00C9094A"/>
    <w:rsid w:val="00C92436"/>
    <w:rsid w:val="00CA363D"/>
    <w:rsid w:val="00CA4CB6"/>
    <w:rsid w:val="00CA573B"/>
    <w:rsid w:val="00CA5F22"/>
    <w:rsid w:val="00CB2BEC"/>
    <w:rsid w:val="00CB2C70"/>
    <w:rsid w:val="00CB7F56"/>
    <w:rsid w:val="00CC5398"/>
    <w:rsid w:val="00CD2566"/>
    <w:rsid w:val="00CD256E"/>
    <w:rsid w:val="00CE0DFA"/>
    <w:rsid w:val="00CE2C4D"/>
    <w:rsid w:val="00CE7D3E"/>
    <w:rsid w:val="00CF49B3"/>
    <w:rsid w:val="00CF6E9B"/>
    <w:rsid w:val="00D004D3"/>
    <w:rsid w:val="00D02A63"/>
    <w:rsid w:val="00D05B53"/>
    <w:rsid w:val="00D1317F"/>
    <w:rsid w:val="00D17C0F"/>
    <w:rsid w:val="00D23652"/>
    <w:rsid w:val="00D429C7"/>
    <w:rsid w:val="00D4486E"/>
    <w:rsid w:val="00D5149C"/>
    <w:rsid w:val="00D5193C"/>
    <w:rsid w:val="00D544B5"/>
    <w:rsid w:val="00D606F5"/>
    <w:rsid w:val="00D65731"/>
    <w:rsid w:val="00D66351"/>
    <w:rsid w:val="00D739AB"/>
    <w:rsid w:val="00D74E07"/>
    <w:rsid w:val="00D76234"/>
    <w:rsid w:val="00D7705A"/>
    <w:rsid w:val="00D800BF"/>
    <w:rsid w:val="00D8314A"/>
    <w:rsid w:val="00D8405B"/>
    <w:rsid w:val="00D87818"/>
    <w:rsid w:val="00DA4894"/>
    <w:rsid w:val="00DB5046"/>
    <w:rsid w:val="00DB7092"/>
    <w:rsid w:val="00DC28DF"/>
    <w:rsid w:val="00DD4223"/>
    <w:rsid w:val="00DE118D"/>
    <w:rsid w:val="00DE7779"/>
    <w:rsid w:val="00DF390A"/>
    <w:rsid w:val="00DF5B77"/>
    <w:rsid w:val="00E04C13"/>
    <w:rsid w:val="00E078C7"/>
    <w:rsid w:val="00E10704"/>
    <w:rsid w:val="00E11888"/>
    <w:rsid w:val="00E11C15"/>
    <w:rsid w:val="00E1320D"/>
    <w:rsid w:val="00E235C0"/>
    <w:rsid w:val="00E23A24"/>
    <w:rsid w:val="00E23EA4"/>
    <w:rsid w:val="00E257FF"/>
    <w:rsid w:val="00E36728"/>
    <w:rsid w:val="00E4154A"/>
    <w:rsid w:val="00E441A2"/>
    <w:rsid w:val="00E44B20"/>
    <w:rsid w:val="00E50D12"/>
    <w:rsid w:val="00E55B43"/>
    <w:rsid w:val="00E61FC5"/>
    <w:rsid w:val="00E634E1"/>
    <w:rsid w:val="00E64C85"/>
    <w:rsid w:val="00E71072"/>
    <w:rsid w:val="00E72742"/>
    <w:rsid w:val="00E74DCC"/>
    <w:rsid w:val="00E770DC"/>
    <w:rsid w:val="00E92E09"/>
    <w:rsid w:val="00E9614C"/>
    <w:rsid w:val="00EA5929"/>
    <w:rsid w:val="00EB1BFC"/>
    <w:rsid w:val="00EB58BF"/>
    <w:rsid w:val="00EC4D5B"/>
    <w:rsid w:val="00EC6A09"/>
    <w:rsid w:val="00ED1301"/>
    <w:rsid w:val="00ED14AB"/>
    <w:rsid w:val="00EE32D9"/>
    <w:rsid w:val="00EE5569"/>
    <w:rsid w:val="00EF0BB1"/>
    <w:rsid w:val="00EF3008"/>
    <w:rsid w:val="00F020E8"/>
    <w:rsid w:val="00F07439"/>
    <w:rsid w:val="00F0756F"/>
    <w:rsid w:val="00F101C7"/>
    <w:rsid w:val="00F15124"/>
    <w:rsid w:val="00F2749F"/>
    <w:rsid w:val="00F2788E"/>
    <w:rsid w:val="00F326A7"/>
    <w:rsid w:val="00F369B4"/>
    <w:rsid w:val="00F415CF"/>
    <w:rsid w:val="00F43288"/>
    <w:rsid w:val="00F50477"/>
    <w:rsid w:val="00F51D5D"/>
    <w:rsid w:val="00F54689"/>
    <w:rsid w:val="00F61A05"/>
    <w:rsid w:val="00F64501"/>
    <w:rsid w:val="00F65A50"/>
    <w:rsid w:val="00F72AFB"/>
    <w:rsid w:val="00F74715"/>
    <w:rsid w:val="00F816AF"/>
    <w:rsid w:val="00F81A88"/>
    <w:rsid w:val="00F845EB"/>
    <w:rsid w:val="00F85528"/>
    <w:rsid w:val="00F867ED"/>
    <w:rsid w:val="00F87E2C"/>
    <w:rsid w:val="00F968F2"/>
    <w:rsid w:val="00FA1BE3"/>
    <w:rsid w:val="00FB052C"/>
    <w:rsid w:val="00FB1389"/>
    <w:rsid w:val="00FB145C"/>
    <w:rsid w:val="00FB363A"/>
    <w:rsid w:val="00FB3CD2"/>
    <w:rsid w:val="00FB6157"/>
    <w:rsid w:val="00FC25C5"/>
    <w:rsid w:val="00FC36F5"/>
    <w:rsid w:val="00FC5760"/>
    <w:rsid w:val="00FD3AAE"/>
    <w:rsid w:val="00FD5095"/>
    <w:rsid w:val="00FD5DA2"/>
    <w:rsid w:val="00FE70C8"/>
    <w:rsid w:val="00FF0CBD"/>
    <w:rsid w:val="00FF59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F2C30"/>
  <w15:docId w15:val="{F3EEC754-2653-4732-B151-32B7F495D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4D6"/>
    <w:pPr>
      <w:spacing w:after="200" w:line="276" w:lineRule="auto"/>
    </w:pPr>
    <w:rPr>
      <w:noProof/>
      <w:sz w:val="22"/>
      <w:szCs w:val="22"/>
      <w:lang w:eastAsia="en-US"/>
    </w:rPr>
  </w:style>
  <w:style w:type="paragraph" w:styleId="Heading4">
    <w:name w:val="heading 4"/>
    <w:basedOn w:val="Normal"/>
    <w:link w:val="Heading4Char"/>
    <w:uiPriority w:val="9"/>
    <w:qFormat/>
    <w:rsid w:val="0045407F"/>
    <w:pPr>
      <w:spacing w:before="100" w:beforeAutospacing="1" w:after="100" w:afterAutospacing="1" w:line="240" w:lineRule="auto"/>
      <w:outlineLvl w:val="3"/>
    </w:pPr>
    <w:rPr>
      <w:rFonts w:ascii="Times New Roman" w:eastAsia="Times New Roman" w:hAnsi="Times New Roman"/>
      <w:b/>
      <w:bCs/>
      <w:noProof w:val="0"/>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90239"/>
    <w:pPr>
      <w:ind w:left="720"/>
      <w:contextualSpacing/>
    </w:pPr>
    <w:rPr>
      <w:noProof w:val="0"/>
    </w:rPr>
  </w:style>
  <w:style w:type="table" w:styleId="TableGrid">
    <w:name w:val="Table Grid"/>
    <w:basedOn w:val="TableNormal"/>
    <w:uiPriority w:val="59"/>
    <w:rsid w:val="006224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FB145C"/>
    <w:rPr>
      <w:color w:val="0000FF"/>
      <w:u w:val="single"/>
    </w:rPr>
  </w:style>
  <w:style w:type="paragraph" w:styleId="BalloonText">
    <w:name w:val="Balloon Text"/>
    <w:basedOn w:val="Normal"/>
    <w:link w:val="BalloonTextChar"/>
    <w:uiPriority w:val="99"/>
    <w:semiHidden/>
    <w:unhideWhenUsed/>
    <w:rsid w:val="00B02E96"/>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B02E96"/>
    <w:rPr>
      <w:rFonts w:ascii="Tahoma" w:hAnsi="Tahoma" w:cs="Tahoma"/>
      <w:noProof/>
      <w:sz w:val="16"/>
      <w:szCs w:val="16"/>
      <w:lang w:val="en-GB"/>
    </w:rPr>
  </w:style>
  <w:style w:type="character" w:styleId="CommentReference">
    <w:name w:val="annotation reference"/>
    <w:uiPriority w:val="99"/>
    <w:semiHidden/>
    <w:unhideWhenUsed/>
    <w:rsid w:val="00FC25C5"/>
    <w:rPr>
      <w:sz w:val="16"/>
      <w:szCs w:val="16"/>
    </w:rPr>
  </w:style>
  <w:style w:type="paragraph" w:styleId="CommentText">
    <w:name w:val="annotation text"/>
    <w:basedOn w:val="Normal"/>
    <w:link w:val="CommentTextChar"/>
    <w:uiPriority w:val="99"/>
    <w:semiHidden/>
    <w:unhideWhenUsed/>
    <w:rsid w:val="00FC25C5"/>
    <w:pPr>
      <w:spacing w:line="240" w:lineRule="auto"/>
    </w:pPr>
    <w:rPr>
      <w:sz w:val="20"/>
      <w:szCs w:val="20"/>
      <w:lang w:eastAsia="x-none"/>
    </w:rPr>
  </w:style>
  <w:style w:type="character" w:customStyle="1" w:styleId="CommentTextChar">
    <w:name w:val="Comment Text Char"/>
    <w:link w:val="CommentText"/>
    <w:uiPriority w:val="99"/>
    <w:semiHidden/>
    <w:rsid w:val="00FC25C5"/>
    <w:rPr>
      <w:noProof/>
      <w:lang w:val="en-GB"/>
    </w:rPr>
  </w:style>
  <w:style w:type="paragraph" w:styleId="CommentSubject">
    <w:name w:val="annotation subject"/>
    <w:basedOn w:val="CommentText"/>
    <w:next w:val="CommentText"/>
    <w:link w:val="CommentSubjectChar"/>
    <w:uiPriority w:val="99"/>
    <w:semiHidden/>
    <w:unhideWhenUsed/>
    <w:rsid w:val="00FC25C5"/>
    <w:rPr>
      <w:b/>
      <w:bCs/>
    </w:rPr>
  </w:style>
  <w:style w:type="character" w:customStyle="1" w:styleId="CommentSubjectChar">
    <w:name w:val="Comment Subject Char"/>
    <w:link w:val="CommentSubject"/>
    <w:uiPriority w:val="99"/>
    <w:semiHidden/>
    <w:rsid w:val="00FC25C5"/>
    <w:rPr>
      <w:b/>
      <w:bCs/>
      <w:noProof/>
      <w:lang w:val="en-GB"/>
    </w:rPr>
  </w:style>
  <w:style w:type="paragraph" w:styleId="Revision">
    <w:name w:val="Revision"/>
    <w:hidden/>
    <w:uiPriority w:val="99"/>
    <w:semiHidden/>
    <w:rsid w:val="00D544B5"/>
    <w:rPr>
      <w:noProof/>
      <w:sz w:val="22"/>
      <w:szCs w:val="22"/>
      <w:lang w:eastAsia="en-US"/>
    </w:rPr>
  </w:style>
  <w:style w:type="paragraph" w:customStyle="1" w:styleId="Title1">
    <w:name w:val="Title1"/>
    <w:basedOn w:val="Normal"/>
    <w:rsid w:val="0040685D"/>
    <w:pPr>
      <w:spacing w:before="100" w:beforeAutospacing="1" w:after="100" w:afterAutospacing="1" w:line="240" w:lineRule="auto"/>
    </w:pPr>
    <w:rPr>
      <w:rFonts w:ascii="Times New Roman" w:eastAsia="Times New Roman" w:hAnsi="Times New Roman"/>
      <w:noProof w:val="0"/>
      <w:sz w:val="24"/>
      <w:szCs w:val="24"/>
      <w:lang w:eastAsia="en-GB"/>
    </w:rPr>
  </w:style>
  <w:style w:type="paragraph" w:customStyle="1" w:styleId="desc">
    <w:name w:val="desc"/>
    <w:basedOn w:val="Normal"/>
    <w:rsid w:val="0040685D"/>
    <w:pPr>
      <w:spacing w:before="100" w:beforeAutospacing="1" w:after="100" w:afterAutospacing="1" w:line="240" w:lineRule="auto"/>
    </w:pPr>
    <w:rPr>
      <w:rFonts w:ascii="Times New Roman" w:eastAsia="Times New Roman" w:hAnsi="Times New Roman"/>
      <w:noProof w:val="0"/>
      <w:sz w:val="24"/>
      <w:szCs w:val="24"/>
      <w:lang w:eastAsia="en-GB"/>
    </w:rPr>
  </w:style>
  <w:style w:type="paragraph" w:customStyle="1" w:styleId="details">
    <w:name w:val="details"/>
    <w:basedOn w:val="Normal"/>
    <w:rsid w:val="0040685D"/>
    <w:pPr>
      <w:spacing w:before="100" w:beforeAutospacing="1" w:after="100" w:afterAutospacing="1" w:line="240" w:lineRule="auto"/>
    </w:pPr>
    <w:rPr>
      <w:rFonts w:ascii="Times New Roman" w:eastAsia="Times New Roman" w:hAnsi="Times New Roman"/>
      <w:noProof w:val="0"/>
      <w:sz w:val="24"/>
      <w:szCs w:val="24"/>
      <w:lang w:eastAsia="en-GB"/>
    </w:rPr>
  </w:style>
  <w:style w:type="character" w:customStyle="1" w:styleId="jrnl">
    <w:name w:val="jrnl"/>
    <w:basedOn w:val="DefaultParagraphFont"/>
    <w:rsid w:val="0040685D"/>
  </w:style>
  <w:style w:type="paragraph" w:customStyle="1" w:styleId="EndNoteBibliographyTitle">
    <w:name w:val="EndNote Bibliography Title"/>
    <w:basedOn w:val="Normal"/>
    <w:link w:val="EndNoteBibliographyTitleChar"/>
    <w:rsid w:val="00A12673"/>
    <w:pPr>
      <w:spacing w:after="0"/>
      <w:jc w:val="center"/>
    </w:pPr>
    <w:rPr>
      <w:lang w:val="en-US"/>
    </w:rPr>
  </w:style>
  <w:style w:type="character" w:customStyle="1" w:styleId="EndNoteBibliographyTitleChar">
    <w:name w:val="EndNote Bibliography Title Char"/>
    <w:link w:val="EndNoteBibliographyTitle"/>
    <w:rsid w:val="00A12673"/>
    <w:rPr>
      <w:noProof/>
      <w:sz w:val="22"/>
      <w:szCs w:val="22"/>
      <w:lang w:val="en-US" w:eastAsia="en-US"/>
    </w:rPr>
  </w:style>
  <w:style w:type="paragraph" w:customStyle="1" w:styleId="EndNoteBibliography">
    <w:name w:val="EndNote Bibliography"/>
    <w:basedOn w:val="Normal"/>
    <w:link w:val="EndNoteBibliographyChar"/>
    <w:rsid w:val="00A12673"/>
    <w:pPr>
      <w:spacing w:line="240" w:lineRule="auto"/>
    </w:pPr>
    <w:rPr>
      <w:lang w:val="en-US"/>
    </w:rPr>
  </w:style>
  <w:style w:type="character" w:customStyle="1" w:styleId="EndNoteBibliographyChar">
    <w:name w:val="EndNote Bibliography Char"/>
    <w:link w:val="EndNoteBibliography"/>
    <w:rsid w:val="00A12673"/>
    <w:rPr>
      <w:noProof/>
      <w:sz w:val="22"/>
      <w:szCs w:val="22"/>
      <w:lang w:val="en-US" w:eastAsia="en-US"/>
    </w:rPr>
  </w:style>
  <w:style w:type="paragraph" w:styleId="Header">
    <w:name w:val="header"/>
    <w:basedOn w:val="Normal"/>
    <w:link w:val="HeaderChar"/>
    <w:uiPriority w:val="99"/>
    <w:unhideWhenUsed/>
    <w:rsid w:val="00B638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86B"/>
    <w:rPr>
      <w:noProof/>
      <w:sz w:val="22"/>
      <w:szCs w:val="22"/>
      <w:lang w:eastAsia="en-US"/>
    </w:rPr>
  </w:style>
  <w:style w:type="paragraph" w:styleId="Footer">
    <w:name w:val="footer"/>
    <w:basedOn w:val="Normal"/>
    <w:link w:val="FooterChar"/>
    <w:uiPriority w:val="99"/>
    <w:unhideWhenUsed/>
    <w:rsid w:val="00B638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86B"/>
    <w:rPr>
      <w:noProof/>
      <w:sz w:val="22"/>
      <w:szCs w:val="22"/>
      <w:lang w:eastAsia="en-US"/>
    </w:rPr>
  </w:style>
  <w:style w:type="character" w:customStyle="1" w:styleId="Heading4Char">
    <w:name w:val="Heading 4 Char"/>
    <w:basedOn w:val="DefaultParagraphFont"/>
    <w:link w:val="Heading4"/>
    <w:uiPriority w:val="9"/>
    <w:rsid w:val="0045407F"/>
    <w:rPr>
      <w:rFonts w:ascii="Times New Roman" w:eastAsia="Times New Roman" w:hAnsi="Times New Roman"/>
      <w:b/>
      <w:bCs/>
      <w:sz w:val="24"/>
      <w:szCs w:val="24"/>
    </w:rPr>
  </w:style>
  <w:style w:type="paragraph" w:styleId="NormalWeb">
    <w:name w:val="Normal (Web)"/>
    <w:basedOn w:val="Normal"/>
    <w:uiPriority w:val="99"/>
    <w:semiHidden/>
    <w:unhideWhenUsed/>
    <w:rsid w:val="0045407F"/>
    <w:pPr>
      <w:spacing w:before="100" w:beforeAutospacing="1" w:after="100" w:afterAutospacing="1" w:line="240" w:lineRule="auto"/>
    </w:pPr>
    <w:rPr>
      <w:rFonts w:ascii="Times New Roman" w:eastAsia="Times New Roman" w:hAnsi="Times New Roman"/>
      <w:noProof w:val="0"/>
      <w:sz w:val="24"/>
      <w:szCs w:val="24"/>
      <w:lang w:eastAsia="en-GB"/>
    </w:rPr>
  </w:style>
  <w:style w:type="character" w:styleId="Emphasis">
    <w:name w:val="Emphasis"/>
    <w:basedOn w:val="DefaultParagraphFont"/>
    <w:uiPriority w:val="20"/>
    <w:qFormat/>
    <w:rsid w:val="0045407F"/>
    <w:rPr>
      <w:i/>
      <w:iCs/>
    </w:rPr>
  </w:style>
  <w:style w:type="paragraph" w:styleId="Caption">
    <w:name w:val="caption"/>
    <w:basedOn w:val="Normal"/>
    <w:next w:val="Normal"/>
    <w:uiPriority w:val="35"/>
    <w:semiHidden/>
    <w:unhideWhenUsed/>
    <w:qFormat/>
    <w:rsid w:val="0068752B"/>
    <w:pPr>
      <w:spacing w:line="240" w:lineRule="auto"/>
    </w:pPr>
    <w:rPr>
      <w:i/>
      <w:iCs/>
      <w:color w:val="44546A" w:themeColor="text2"/>
      <w:sz w:val="18"/>
      <w:szCs w:val="18"/>
    </w:rPr>
  </w:style>
  <w:style w:type="character" w:customStyle="1" w:styleId="nowrap1">
    <w:name w:val="nowrap1"/>
    <w:basedOn w:val="DefaultParagraphFont"/>
    <w:rsid w:val="00550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0239">
      <w:bodyDiv w:val="1"/>
      <w:marLeft w:val="0"/>
      <w:marRight w:val="0"/>
      <w:marTop w:val="0"/>
      <w:marBottom w:val="0"/>
      <w:divBdr>
        <w:top w:val="none" w:sz="0" w:space="0" w:color="auto"/>
        <w:left w:val="none" w:sz="0" w:space="0" w:color="auto"/>
        <w:bottom w:val="none" w:sz="0" w:space="0" w:color="auto"/>
        <w:right w:val="none" w:sz="0" w:space="0" w:color="auto"/>
      </w:divBdr>
    </w:div>
    <w:div w:id="271086571">
      <w:bodyDiv w:val="1"/>
      <w:marLeft w:val="0"/>
      <w:marRight w:val="0"/>
      <w:marTop w:val="0"/>
      <w:marBottom w:val="0"/>
      <w:divBdr>
        <w:top w:val="none" w:sz="0" w:space="0" w:color="auto"/>
        <w:left w:val="none" w:sz="0" w:space="0" w:color="auto"/>
        <w:bottom w:val="none" w:sz="0" w:space="0" w:color="auto"/>
        <w:right w:val="none" w:sz="0" w:space="0" w:color="auto"/>
      </w:divBdr>
      <w:divsChild>
        <w:div w:id="277026024">
          <w:marLeft w:val="0"/>
          <w:marRight w:val="0"/>
          <w:marTop w:val="0"/>
          <w:marBottom w:val="450"/>
          <w:divBdr>
            <w:top w:val="none" w:sz="0" w:space="0" w:color="auto"/>
            <w:left w:val="none" w:sz="0" w:space="0" w:color="auto"/>
            <w:bottom w:val="none" w:sz="0" w:space="0" w:color="auto"/>
            <w:right w:val="none" w:sz="0" w:space="0" w:color="auto"/>
          </w:divBdr>
          <w:divsChild>
            <w:div w:id="1487936181">
              <w:marLeft w:val="0"/>
              <w:marRight w:val="0"/>
              <w:marTop w:val="0"/>
              <w:marBottom w:val="0"/>
              <w:divBdr>
                <w:top w:val="none" w:sz="0" w:space="0" w:color="auto"/>
                <w:left w:val="none" w:sz="0" w:space="0" w:color="auto"/>
                <w:bottom w:val="none" w:sz="0" w:space="0" w:color="auto"/>
                <w:right w:val="none" w:sz="0" w:space="0" w:color="auto"/>
              </w:divBdr>
              <w:divsChild>
                <w:div w:id="428894978">
                  <w:marLeft w:val="0"/>
                  <w:marRight w:val="0"/>
                  <w:marTop w:val="0"/>
                  <w:marBottom w:val="0"/>
                  <w:divBdr>
                    <w:top w:val="none" w:sz="0" w:space="0" w:color="auto"/>
                    <w:left w:val="none" w:sz="0" w:space="0" w:color="auto"/>
                    <w:bottom w:val="none" w:sz="0" w:space="0" w:color="auto"/>
                    <w:right w:val="none" w:sz="0" w:space="0" w:color="auto"/>
                  </w:divBdr>
                  <w:divsChild>
                    <w:div w:id="1412311597">
                      <w:marLeft w:val="0"/>
                      <w:marRight w:val="0"/>
                      <w:marTop w:val="0"/>
                      <w:marBottom w:val="0"/>
                      <w:divBdr>
                        <w:top w:val="none" w:sz="0" w:space="0" w:color="auto"/>
                        <w:left w:val="none" w:sz="0" w:space="0" w:color="auto"/>
                        <w:bottom w:val="none" w:sz="0" w:space="0" w:color="auto"/>
                        <w:right w:val="none" w:sz="0" w:space="0" w:color="auto"/>
                      </w:divBdr>
                      <w:divsChild>
                        <w:div w:id="1599367678">
                          <w:marLeft w:val="0"/>
                          <w:marRight w:val="0"/>
                          <w:marTop w:val="0"/>
                          <w:marBottom w:val="0"/>
                          <w:divBdr>
                            <w:top w:val="none" w:sz="0" w:space="0" w:color="auto"/>
                            <w:left w:val="none" w:sz="0" w:space="0" w:color="auto"/>
                            <w:bottom w:val="none" w:sz="0" w:space="0" w:color="auto"/>
                            <w:right w:val="none" w:sz="0" w:space="0" w:color="auto"/>
                          </w:divBdr>
                          <w:divsChild>
                            <w:div w:id="642275760">
                              <w:marLeft w:val="0"/>
                              <w:marRight w:val="0"/>
                              <w:marTop w:val="0"/>
                              <w:marBottom w:val="0"/>
                              <w:divBdr>
                                <w:top w:val="single" w:sz="6" w:space="0" w:color="EEEEEE"/>
                                <w:left w:val="single" w:sz="6" w:space="0" w:color="EEEEEE"/>
                                <w:bottom w:val="single" w:sz="6" w:space="0" w:color="EEEEEE"/>
                                <w:right w:val="single" w:sz="6" w:space="0" w:color="EEEEEE"/>
                              </w:divBdr>
                            </w:div>
                          </w:divsChild>
                        </w:div>
                      </w:divsChild>
                    </w:div>
                  </w:divsChild>
                </w:div>
              </w:divsChild>
            </w:div>
          </w:divsChild>
        </w:div>
      </w:divsChild>
    </w:div>
    <w:div w:id="339359033">
      <w:bodyDiv w:val="1"/>
      <w:marLeft w:val="0"/>
      <w:marRight w:val="0"/>
      <w:marTop w:val="0"/>
      <w:marBottom w:val="0"/>
      <w:divBdr>
        <w:top w:val="none" w:sz="0" w:space="0" w:color="auto"/>
        <w:left w:val="none" w:sz="0" w:space="0" w:color="auto"/>
        <w:bottom w:val="none" w:sz="0" w:space="0" w:color="auto"/>
        <w:right w:val="none" w:sz="0" w:space="0" w:color="auto"/>
      </w:divBdr>
    </w:div>
    <w:div w:id="508254661">
      <w:bodyDiv w:val="1"/>
      <w:marLeft w:val="0"/>
      <w:marRight w:val="0"/>
      <w:marTop w:val="0"/>
      <w:marBottom w:val="0"/>
      <w:divBdr>
        <w:top w:val="none" w:sz="0" w:space="0" w:color="auto"/>
        <w:left w:val="none" w:sz="0" w:space="0" w:color="auto"/>
        <w:bottom w:val="none" w:sz="0" w:space="0" w:color="auto"/>
        <w:right w:val="none" w:sz="0" w:space="0" w:color="auto"/>
      </w:divBdr>
    </w:div>
    <w:div w:id="779223583">
      <w:bodyDiv w:val="1"/>
      <w:marLeft w:val="0"/>
      <w:marRight w:val="0"/>
      <w:marTop w:val="0"/>
      <w:marBottom w:val="0"/>
      <w:divBdr>
        <w:top w:val="none" w:sz="0" w:space="0" w:color="auto"/>
        <w:left w:val="none" w:sz="0" w:space="0" w:color="auto"/>
        <w:bottom w:val="none" w:sz="0" w:space="0" w:color="auto"/>
        <w:right w:val="none" w:sz="0" w:space="0" w:color="auto"/>
      </w:divBdr>
    </w:div>
    <w:div w:id="1300575091">
      <w:bodyDiv w:val="1"/>
      <w:marLeft w:val="0"/>
      <w:marRight w:val="0"/>
      <w:marTop w:val="0"/>
      <w:marBottom w:val="0"/>
      <w:divBdr>
        <w:top w:val="none" w:sz="0" w:space="0" w:color="auto"/>
        <w:left w:val="none" w:sz="0" w:space="0" w:color="auto"/>
        <w:bottom w:val="none" w:sz="0" w:space="0" w:color="auto"/>
        <w:right w:val="none" w:sz="0" w:space="0" w:color="auto"/>
      </w:divBdr>
    </w:div>
    <w:div w:id="1647784397">
      <w:bodyDiv w:val="1"/>
      <w:marLeft w:val="0"/>
      <w:marRight w:val="0"/>
      <w:marTop w:val="0"/>
      <w:marBottom w:val="0"/>
      <w:divBdr>
        <w:top w:val="none" w:sz="0" w:space="0" w:color="auto"/>
        <w:left w:val="none" w:sz="0" w:space="0" w:color="auto"/>
        <w:bottom w:val="none" w:sz="0" w:space="0" w:color="auto"/>
        <w:right w:val="none" w:sz="0" w:space="0" w:color="auto"/>
      </w:divBdr>
      <w:divsChild>
        <w:div w:id="423957741">
          <w:marLeft w:val="0"/>
          <w:marRight w:val="0"/>
          <w:marTop w:val="0"/>
          <w:marBottom w:val="0"/>
          <w:divBdr>
            <w:top w:val="none" w:sz="0" w:space="0" w:color="auto"/>
            <w:left w:val="none" w:sz="0" w:space="0" w:color="auto"/>
            <w:bottom w:val="none" w:sz="0" w:space="0" w:color="auto"/>
            <w:right w:val="none" w:sz="0" w:space="0" w:color="auto"/>
          </w:divBdr>
        </w:div>
      </w:divsChild>
    </w:div>
    <w:div w:id="185121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l.nist.gov/div898/handbook/eda/section3/boxplo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tl.nist.gov/div898/handbook/apr/section2/apr23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284F6-1346-4C86-9BF3-6FF51BFB6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3201</Words>
  <Characters>18251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Genome Research</Company>
  <LinksUpToDate>false</LinksUpToDate>
  <CharactersWithSpaces>21410</CharactersWithSpaces>
  <SharedDoc>false</SharedDoc>
  <HLinks>
    <vt:vector size="270" baseType="variant">
      <vt:variant>
        <vt:i4>4325387</vt:i4>
      </vt:variant>
      <vt:variant>
        <vt:i4>271</vt:i4>
      </vt:variant>
      <vt:variant>
        <vt:i4>0</vt:i4>
      </vt:variant>
      <vt:variant>
        <vt:i4>5</vt:i4>
      </vt:variant>
      <vt:variant>
        <vt:lpwstr/>
      </vt:variant>
      <vt:variant>
        <vt:lpwstr>_ENREF_35</vt:lpwstr>
      </vt:variant>
      <vt:variant>
        <vt:i4>4325387</vt:i4>
      </vt:variant>
      <vt:variant>
        <vt:i4>263</vt:i4>
      </vt:variant>
      <vt:variant>
        <vt:i4>0</vt:i4>
      </vt:variant>
      <vt:variant>
        <vt:i4>5</vt:i4>
      </vt:variant>
      <vt:variant>
        <vt:lpwstr/>
      </vt:variant>
      <vt:variant>
        <vt:lpwstr>_ENREF_37</vt:lpwstr>
      </vt:variant>
      <vt:variant>
        <vt:i4>4325387</vt:i4>
      </vt:variant>
      <vt:variant>
        <vt:i4>255</vt:i4>
      </vt:variant>
      <vt:variant>
        <vt:i4>0</vt:i4>
      </vt:variant>
      <vt:variant>
        <vt:i4>5</vt:i4>
      </vt:variant>
      <vt:variant>
        <vt:lpwstr/>
      </vt:variant>
      <vt:variant>
        <vt:lpwstr>_ENREF_31</vt:lpwstr>
      </vt:variant>
      <vt:variant>
        <vt:i4>4325387</vt:i4>
      </vt:variant>
      <vt:variant>
        <vt:i4>247</vt:i4>
      </vt:variant>
      <vt:variant>
        <vt:i4>0</vt:i4>
      </vt:variant>
      <vt:variant>
        <vt:i4>5</vt:i4>
      </vt:variant>
      <vt:variant>
        <vt:lpwstr/>
      </vt:variant>
      <vt:variant>
        <vt:lpwstr>_ENREF_36</vt:lpwstr>
      </vt:variant>
      <vt:variant>
        <vt:i4>4325387</vt:i4>
      </vt:variant>
      <vt:variant>
        <vt:i4>239</vt:i4>
      </vt:variant>
      <vt:variant>
        <vt:i4>0</vt:i4>
      </vt:variant>
      <vt:variant>
        <vt:i4>5</vt:i4>
      </vt:variant>
      <vt:variant>
        <vt:lpwstr/>
      </vt:variant>
      <vt:variant>
        <vt:lpwstr>_ENREF_35</vt:lpwstr>
      </vt:variant>
      <vt:variant>
        <vt:i4>4325387</vt:i4>
      </vt:variant>
      <vt:variant>
        <vt:i4>236</vt:i4>
      </vt:variant>
      <vt:variant>
        <vt:i4>0</vt:i4>
      </vt:variant>
      <vt:variant>
        <vt:i4>5</vt:i4>
      </vt:variant>
      <vt:variant>
        <vt:lpwstr/>
      </vt:variant>
      <vt:variant>
        <vt:lpwstr>_ENREF_34</vt:lpwstr>
      </vt:variant>
      <vt:variant>
        <vt:i4>4390923</vt:i4>
      </vt:variant>
      <vt:variant>
        <vt:i4>233</vt:i4>
      </vt:variant>
      <vt:variant>
        <vt:i4>0</vt:i4>
      </vt:variant>
      <vt:variant>
        <vt:i4>5</vt:i4>
      </vt:variant>
      <vt:variant>
        <vt:lpwstr/>
      </vt:variant>
      <vt:variant>
        <vt:lpwstr>_ENREF_23</vt:lpwstr>
      </vt:variant>
      <vt:variant>
        <vt:i4>4587531</vt:i4>
      </vt:variant>
      <vt:variant>
        <vt:i4>230</vt:i4>
      </vt:variant>
      <vt:variant>
        <vt:i4>0</vt:i4>
      </vt:variant>
      <vt:variant>
        <vt:i4>5</vt:i4>
      </vt:variant>
      <vt:variant>
        <vt:lpwstr/>
      </vt:variant>
      <vt:variant>
        <vt:lpwstr>_ENREF_7</vt:lpwstr>
      </vt:variant>
      <vt:variant>
        <vt:i4>4325387</vt:i4>
      </vt:variant>
      <vt:variant>
        <vt:i4>222</vt:i4>
      </vt:variant>
      <vt:variant>
        <vt:i4>0</vt:i4>
      </vt:variant>
      <vt:variant>
        <vt:i4>5</vt:i4>
      </vt:variant>
      <vt:variant>
        <vt:lpwstr/>
      </vt:variant>
      <vt:variant>
        <vt:lpwstr>_ENREF_30</vt:lpwstr>
      </vt:variant>
      <vt:variant>
        <vt:i4>4194315</vt:i4>
      </vt:variant>
      <vt:variant>
        <vt:i4>219</vt:i4>
      </vt:variant>
      <vt:variant>
        <vt:i4>0</vt:i4>
      </vt:variant>
      <vt:variant>
        <vt:i4>5</vt:i4>
      </vt:variant>
      <vt:variant>
        <vt:lpwstr/>
      </vt:variant>
      <vt:variant>
        <vt:lpwstr>_ENREF_19</vt:lpwstr>
      </vt:variant>
      <vt:variant>
        <vt:i4>4194315</vt:i4>
      </vt:variant>
      <vt:variant>
        <vt:i4>211</vt:i4>
      </vt:variant>
      <vt:variant>
        <vt:i4>0</vt:i4>
      </vt:variant>
      <vt:variant>
        <vt:i4>5</vt:i4>
      </vt:variant>
      <vt:variant>
        <vt:lpwstr/>
      </vt:variant>
      <vt:variant>
        <vt:lpwstr>_ENREF_19</vt:lpwstr>
      </vt:variant>
      <vt:variant>
        <vt:i4>4194315</vt:i4>
      </vt:variant>
      <vt:variant>
        <vt:i4>208</vt:i4>
      </vt:variant>
      <vt:variant>
        <vt:i4>0</vt:i4>
      </vt:variant>
      <vt:variant>
        <vt:i4>5</vt:i4>
      </vt:variant>
      <vt:variant>
        <vt:lpwstr/>
      </vt:variant>
      <vt:variant>
        <vt:lpwstr>_ENREF_18</vt:lpwstr>
      </vt:variant>
      <vt:variant>
        <vt:i4>4390923</vt:i4>
      </vt:variant>
      <vt:variant>
        <vt:i4>200</vt:i4>
      </vt:variant>
      <vt:variant>
        <vt:i4>0</vt:i4>
      </vt:variant>
      <vt:variant>
        <vt:i4>5</vt:i4>
      </vt:variant>
      <vt:variant>
        <vt:lpwstr/>
      </vt:variant>
      <vt:variant>
        <vt:lpwstr>_ENREF_28</vt:lpwstr>
      </vt:variant>
      <vt:variant>
        <vt:i4>4390923</vt:i4>
      </vt:variant>
      <vt:variant>
        <vt:i4>192</vt:i4>
      </vt:variant>
      <vt:variant>
        <vt:i4>0</vt:i4>
      </vt:variant>
      <vt:variant>
        <vt:i4>5</vt:i4>
      </vt:variant>
      <vt:variant>
        <vt:lpwstr/>
      </vt:variant>
      <vt:variant>
        <vt:lpwstr>_ENREF_24</vt:lpwstr>
      </vt:variant>
      <vt:variant>
        <vt:i4>4194315</vt:i4>
      </vt:variant>
      <vt:variant>
        <vt:i4>189</vt:i4>
      </vt:variant>
      <vt:variant>
        <vt:i4>0</vt:i4>
      </vt:variant>
      <vt:variant>
        <vt:i4>5</vt:i4>
      </vt:variant>
      <vt:variant>
        <vt:lpwstr/>
      </vt:variant>
      <vt:variant>
        <vt:lpwstr>_ENREF_17</vt:lpwstr>
      </vt:variant>
      <vt:variant>
        <vt:i4>4390923</vt:i4>
      </vt:variant>
      <vt:variant>
        <vt:i4>181</vt:i4>
      </vt:variant>
      <vt:variant>
        <vt:i4>0</vt:i4>
      </vt:variant>
      <vt:variant>
        <vt:i4>5</vt:i4>
      </vt:variant>
      <vt:variant>
        <vt:lpwstr/>
      </vt:variant>
      <vt:variant>
        <vt:lpwstr>_ENREF_24</vt:lpwstr>
      </vt:variant>
      <vt:variant>
        <vt:i4>4194315</vt:i4>
      </vt:variant>
      <vt:variant>
        <vt:i4>178</vt:i4>
      </vt:variant>
      <vt:variant>
        <vt:i4>0</vt:i4>
      </vt:variant>
      <vt:variant>
        <vt:i4>5</vt:i4>
      </vt:variant>
      <vt:variant>
        <vt:lpwstr/>
      </vt:variant>
      <vt:variant>
        <vt:lpwstr>_ENREF_17</vt:lpwstr>
      </vt:variant>
      <vt:variant>
        <vt:i4>4390923</vt:i4>
      </vt:variant>
      <vt:variant>
        <vt:i4>170</vt:i4>
      </vt:variant>
      <vt:variant>
        <vt:i4>0</vt:i4>
      </vt:variant>
      <vt:variant>
        <vt:i4>5</vt:i4>
      </vt:variant>
      <vt:variant>
        <vt:lpwstr/>
      </vt:variant>
      <vt:variant>
        <vt:lpwstr>_ENREF_23</vt:lpwstr>
      </vt:variant>
      <vt:variant>
        <vt:i4>4390923</vt:i4>
      </vt:variant>
      <vt:variant>
        <vt:i4>162</vt:i4>
      </vt:variant>
      <vt:variant>
        <vt:i4>0</vt:i4>
      </vt:variant>
      <vt:variant>
        <vt:i4>5</vt:i4>
      </vt:variant>
      <vt:variant>
        <vt:lpwstr/>
      </vt:variant>
      <vt:variant>
        <vt:lpwstr>_ENREF_22</vt:lpwstr>
      </vt:variant>
      <vt:variant>
        <vt:i4>4390923</vt:i4>
      </vt:variant>
      <vt:variant>
        <vt:i4>154</vt:i4>
      </vt:variant>
      <vt:variant>
        <vt:i4>0</vt:i4>
      </vt:variant>
      <vt:variant>
        <vt:i4>5</vt:i4>
      </vt:variant>
      <vt:variant>
        <vt:lpwstr/>
      </vt:variant>
      <vt:variant>
        <vt:lpwstr>_ENREF_21</vt:lpwstr>
      </vt:variant>
      <vt:variant>
        <vt:i4>4390923</vt:i4>
      </vt:variant>
      <vt:variant>
        <vt:i4>151</vt:i4>
      </vt:variant>
      <vt:variant>
        <vt:i4>0</vt:i4>
      </vt:variant>
      <vt:variant>
        <vt:i4>5</vt:i4>
      </vt:variant>
      <vt:variant>
        <vt:lpwstr/>
      </vt:variant>
      <vt:variant>
        <vt:lpwstr>_ENREF_20</vt:lpwstr>
      </vt:variant>
      <vt:variant>
        <vt:i4>4194315</vt:i4>
      </vt:variant>
      <vt:variant>
        <vt:i4>143</vt:i4>
      </vt:variant>
      <vt:variant>
        <vt:i4>0</vt:i4>
      </vt:variant>
      <vt:variant>
        <vt:i4>5</vt:i4>
      </vt:variant>
      <vt:variant>
        <vt:lpwstr/>
      </vt:variant>
      <vt:variant>
        <vt:lpwstr>_ENREF_19</vt:lpwstr>
      </vt:variant>
      <vt:variant>
        <vt:i4>4194315</vt:i4>
      </vt:variant>
      <vt:variant>
        <vt:i4>140</vt:i4>
      </vt:variant>
      <vt:variant>
        <vt:i4>0</vt:i4>
      </vt:variant>
      <vt:variant>
        <vt:i4>5</vt:i4>
      </vt:variant>
      <vt:variant>
        <vt:lpwstr/>
      </vt:variant>
      <vt:variant>
        <vt:lpwstr>_ENREF_18</vt:lpwstr>
      </vt:variant>
      <vt:variant>
        <vt:i4>4194315</vt:i4>
      </vt:variant>
      <vt:variant>
        <vt:i4>132</vt:i4>
      </vt:variant>
      <vt:variant>
        <vt:i4>0</vt:i4>
      </vt:variant>
      <vt:variant>
        <vt:i4>5</vt:i4>
      </vt:variant>
      <vt:variant>
        <vt:lpwstr/>
      </vt:variant>
      <vt:variant>
        <vt:lpwstr>_ENREF_17</vt:lpwstr>
      </vt:variant>
      <vt:variant>
        <vt:i4>5570587</vt:i4>
      </vt:variant>
      <vt:variant>
        <vt:i4>125</vt:i4>
      </vt:variant>
      <vt:variant>
        <vt:i4>0</vt:i4>
      </vt:variant>
      <vt:variant>
        <vt:i4>5</vt:i4>
      </vt:variant>
      <vt:variant>
        <vt:lpwstr>http://www.ingenuity.com/</vt:lpwstr>
      </vt:variant>
      <vt:variant>
        <vt:lpwstr/>
      </vt:variant>
      <vt:variant>
        <vt:i4>4194315</vt:i4>
      </vt:variant>
      <vt:variant>
        <vt:i4>121</vt:i4>
      </vt:variant>
      <vt:variant>
        <vt:i4>0</vt:i4>
      </vt:variant>
      <vt:variant>
        <vt:i4>5</vt:i4>
      </vt:variant>
      <vt:variant>
        <vt:lpwstr/>
      </vt:variant>
      <vt:variant>
        <vt:lpwstr>_ENREF_16</vt:lpwstr>
      </vt:variant>
      <vt:variant>
        <vt:i4>4194315</vt:i4>
      </vt:variant>
      <vt:variant>
        <vt:i4>113</vt:i4>
      </vt:variant>
      <vt:variant>
        <vt:i4>0</vt:i4>
      </vt:variant>
      <vt:variant>
        <vt:i4>5</vt:i4>
      </vt:variant>
      <vt:variant>
        <vt:lpwstr/>
      </vt:variant>
      <vt:variant>
        <vt:lpwstr>_ENREF_16</vt:lpwstr>
      </vt:variant>
      <vt:variant>
        <vt:i4>4194315</vt:i4>
      </vt:variant>
      <vt:variant>
        <vt:i4>105</vt:i4>
      </vt:variant>
      <vt:variant>
        <vt:i4>0</vt:i4>
      </vt:variant>
      <vt:variant>
        <vt:i4>5</vt:i4>
      </vt:variant>
      <vt:variant>
        <vt:lpwstr/>
      </vt:variant>
      <vt:variant>
        <vt:lpwstr>_ENREF_15</vt:lpwstr>
      </vt:variant>
      <vt:variant>
        <vt:i4>4980744</vt:i4>
      </vt:variant>
      <vt:variant>
        <vt:i4>98</vt:i4>
      </vt:variant>
      <vt:variant>
        <vt:i4>0</vt:i4>
      </vt:variant>
      <vt:variant>
        <vt:i4>5</vt:i4>
      </vt:variant>
      <vt:variant>
        <vt:lpwstr>http://www.bioconductor.org/packages/release/bioc/html/CNVtools.html</vt:lpwstr>
      </vt:variant>
      <vt:variant>
        <vt:lpwstr/>
      </vt:variant>
      <vt:variant>
        <vt:i4>4194315</vt:i4>
      </vt:variant>
      <vt:variant>
        <vt:i4>94</vt:i4>
      </vt:variant>
      <vt:variant>
        <vt:i4>0</vt:i4>
      </vt:variant>
      <vt:variant>
        <vt:i4>5</vt:i4>
      </vt:variant>
      <vt:variant>
        <vt:lpwstr/>
      </vt:variant>
      <vt:variant>
        <vt:lpwstr>_ENREF_14</vt:lpwstr>
      </vt:variant>
      <vt:variant>
        <vt:i4>4194315</vt:i4>
      </vt:variant>
      <vt:variant>
        <vt:i4>88</vt:i4>
      </vt:variant>
      <vt:variant>
        <vt:i4>0</vt:i4>
      </vt:variant>
      <vt:variant>
        <vt:i4>5</vt:i4>
      </vt:variant>
      <vt:variant>
        <vt:lpwstr/>
      </vt:variant>
      <vt:variant>
        <vt:lpwstr>_ENREF_13</vt:lpwstr>
      </vt:variant>
      <vt:variant>
        <vt:i4>4194315</vt:i4>
      </vt:variant>
      <vt:variant>
        <vt:i4>82</vt:i4>
      </vt:variant>
      <vt:variant>
        <vt:i4>0</vt:i4>
      </vt:variant>
      <vt:variant>
        <vt:i4>5</vt:i4>
      </vt:variant>
      <vt:variant>
        <vt:lpwstr/>
      </vt:variant>
      <vt:variant>
        <vt:lpwstr>_ENREF_12</vt:lpwstr>
      </vt:variant>
      <vt:variant>
        <vt:i4>4194315</vt:i4>
      </vt:variant>
      <vt:variant>
        <vt:i4>76</vt:i4>
      </vt:variant>
      <vt:variant>
        <vt:i4>0</vt:i4>
      </vt:variant>
      <vt:variant>
        <vt:i4>5</vt:i4>
      </vt:variant>
      <vt:variant>
        <vt:lpwstr/>
      </vt:variant>
      <vt:variant>
        <vt:lpwstr>_ENREF_11</vt:lpwstr>
      </vt:variant>
      <vt:variant>
        <vt:i4>4194315</vt:i4>
      </vt:variant>
      <vt:variant>
        <vt:i4>70</vt:i4>
      </vt:variant>
      <vt:variant>
        <vt:i4>0</vt:i4>
      </vt:variant>
      <vt:variant>
        <vt:i4>5</vt:i4>
      </vt:variant>
      <vt:variant>
        <vt:lpwstr/>
      </vt:variant>
      <vt:variant>
        <vt:lpwstr>_ENREF_10</vt:lpwstr>
      </vt:variant>
      <vt:variant>
        <vt:i4>4718603</vt:i4>
      </vt:variant>
      <vt:variant>
        <vt:i4>64</vt:i4>
      </vt:variant>
      <vt:variant>
        <vt:i4>0</vt:i4>
      </vt:variant>
      <vt:variant>
        <vt:i4>5</vt:i4>
      </vt:variant>
      <vt:variant>
        <vt:lpwstr/>
      </vt:variant>
      <vt:variant>
        <vt:lpwstr>_ENREF_9</vt:lpwstr>
      </vt:variant>
      <vt:variant>
        <vt:i4>4784139</vt:i4>
      </vt:variant>
      <vt:variant>
        <vt:i4>58</vt:i4>
      </vt:variant>
      <vt:variant>
        <vt:i4>0</vt:i4>
      </vt:variant>
      <vt:variant>
        <vt:i4>5</vt:i4>
      </vt:variant>
      <vt:variant>
        <vt:lpwstr/>
      </vt:variant>
      <vt:variant>
        <vt:lpwstr>_ENREF_8</vt:lpwstr>
      </vt:variant>
      <vt:variant>
        <vt:i4>4587531</vt:i4>
      </vt:variant>
      <vt:variant>
        <vt:i4>52</vt:i4>
      </vt:variant>
      <vt:variant>
        <vt:i4>0</vt:i4>
      </vt:variant>
      <vt:variant>
        <vt:i4>5</vt:i4>
      </vt:variant>
      <vt:variant>
        <vt:lpwstr/>
      </vt:variant>
      <vt:variant>
        <vt:lpwstr>_ENREF_7</vt:lpwstr>
      </vt:variant>
      <vt:variant>
        <vt:i4>4653067</vt:i4>
      </vt:variant>
      <vt:variant>
        <vt:i4>44</vt:i4>
      </vt:variant>
      <vt:variant>
        <vt:i4>0</vt:i4>
      </vt:variant>
      <vt:variant>
        <vt:i4>5</vt:i4>
      </vt:variant>
      <vt:variant>
        <vt:lpwstr/>
      </vt:variant>
      <vt:variant>
        <vt:lpwstr>_ENREF_6</vt:lpwstr>
      </vt:variant>
      <vt:variant>
        <vt:i4>4456459</vt:i4>
      </vt:variant>
      <vt:variant>
        <vt:i4>36</vt:i4>
      </vt:variant>
      <vt:variant>
        <vt:i4>0</vt:i4>
      </vt:variant>
      <vt:variant>
        <vt:i4>5</vt:i4>
      </vt:variant>
      <vt:variant>
        <vt:lpwstr/>
      </vt:variant>
      <vt:variant>
        <vt:lpwstr>_ENREF_5</vt:lpwstr>
      </vt:variant>
      <vt:variant>
        <vt:i4>4521995</vt:i4>
      </vt:variant>
      <vt:variant>
        <vt:i4>30</vt:i4>
      </vt:variant>
      <vt:variant>
        <vt:i4>0</vt:i4>
      </vt:variant>
      <vt:variant>
        <vt:i4>5</vt:i4>
      </vt:variant>
      <vt:variant>
        <vt:lpwstr/>
      </vt:variant>
      <vt:variant>
        <vt:lpwstr>_ENREF_4</vt:lpwstr>
      </vt:variant>
      <vt:variant>
        <vt:i4>4325387</vt:i4>
      </vt:variant>
      <vt:variant>
        <vt:i4>24</vt:i4>
      </vt:variant>
      <vt:variant>
        <vt:i4>0</vt:i4>
      </vt:variant>
      <vt:variant>
        <vt:i4>5</vt:i4>
      </vt:variant>
      <vt:variant>
        <vt:lpwstr/>
      </vt:variant>
      <vt:variant>
        <vt:lpwstr>_ENREF_3</vt:lpwstr>
      </vt:variant>
      <vt:variant>
        <vt:i4>4390923</vt:i4>
      </vt:variant>
      <vt:variant>
        <vt:i4>16</vt:i4>
      </vt:variant>
      <vt:variant>
        <vt:i4>0</vt:i4>
      </vt:variant>
      <vt:variant>
        <vt:i4>5</vt:i4>
      </vt:variant>
      <vt:variant>
        <vt:lpwstr/>
      </vt:variant>
      <vt:variant>
        <vt:lpwstr>_ENREF_2</vt:lpwstr>
      </vt:variant>
      <vt:variant>
        <vt:i4>4194315</vt:i4>
      </vt:variant>
      <vt:variant>
        <vt:i4>8</vt:i4>
      </vt:variant>
      <vt:variant>
        <vt:i4>0</vt:i4>
      </vt:variant>
      <vt:variant>
        <vt:i4>5</vt:i4>
      </vt:variant>
      <vt:variant>
        <vt:lpwstr/>
      </vt:variant>
      <vt:variant>
        <vt:lpwstr>_ENREF_1</vt:lpwstr>
      </vt:variant>
      <vt:variant>
        <vt:i4>7012433</vt:i4>
      </vt:variant>
      <vt:variant>
        <vt:i4>3</vt:i4>
      </vt:variant>
      <vt:variant>
        <vt:i4>0</vt:i4>
      </vt:variant>
      <vt:variant>
        <vt:i4>5</vt:i4>
      </vt:variant>
      <vt:variant>
        <vt:lpwstr>mailto:mg@physics.org</vt:lpwstr>
      </vt:variant>
      <vt:variant>
        <vt:lpwstr/>
      </vt:variant>
      <vt:variant>
        <vt:i4>3342424</vt:i4>
      </vt:variant>
      <vt:variant>
        <vt:i4>0</vt:i4>
      </vt:variant>
      <vt:variant>
        <vt:i4>0</vt:i4>
      </vt:variant>
      <vt:variant>
        <vt:i4>5</vt:i4>
      </vt:variant>
      <vt:variant>
        <vt:lpwstr>mailto:sb20@sanger.ac.uk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ns6</dc:creator>
  <cp:lastModifiedBy>Stephane Bourgeois</cp:lastModifiedBy>
  <cp:revision>6</cp:revision>
  <cp:lastPrinted>2015-03-02T09:57:00Z</cp:lastPrinted>
  <dcterms:created xsi:type="dcterms:W3CDTF">2015-02-28T15:48:00Z</dcterms:created>
  <dcterms:modified xsi:type="dcterms:W3CDTF">2015-06-25T09:33:00Z</dcterms:modified>
</cp:coreProperties>
</file>