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4E" w:rsidRDefault="00791B88">
      <w:pPr>
        <w:pStyle w:val="Heading2"/>
        <w:spacing w:line="100" w:lineRule="atLeast"/>
        <w:ind w:left="0" w:firstLine="30"/>
      </w:pPr>
      <w:r>
        <w:t xml:space="preserve">Supplemental Table </w:t>
      </w:r>
      <w:r w:rsidR="007424E3">
        <w:t>1</w:t>
      </w:r>
      <w:bookmarkStart w:id="0" w:name="_GoBack"/>
      <w:bookmarkEnd w:id="0"/>
      <w:r>
        <w:t xml:space="preserve">. Adonis tests of repeated measures. </w:t>
      </w:r>
    </w:p>
    <w:p w:rsidR="00BE7C96" w:rsidRDefault="00BE7C96">
      <w:pPr>
        <w:pStyle w:val="Heading3"/>
        <w:spacing w:line="100" w:lineRule="atLeast"/>
        <w:ind w:left="0" w:firstLine="30"/>
        <w:rPr>
          <w:b w:val="0"/>
        </w:rPr>
      </w:pPr>
    </w:p>
    <w:p w:rsidR="00C75C4E" w:rsidRPr="00BE7C96" w:rsidRDefault="00791B88">
      <w:pPr>
        <w:pStyle w:val="Heading3"/>
        <w:spacing w:line="100" w:lineRule="atLeast"/>
        <w:ind w:left="0" w:firstLine="30"/>
        <w:rPr>
          <w:b w:val="0"/>
        </w:rPr>
      </w:pPr>
      <w:r w:rsidRPr="00BE7C96">
        <w:rPr>
          <w:b w:val="0"/>
        </w:rPr>
        <w:t>A. UniFrac distances for within subjects treatment effects</w:t>
      </w:r>
    </w:p>
    <w:p w:rsidR="00C75C4E" w:rsidRDefault="00C75C4E">
      <w:pPr>
        <w:spacing w:line="100" w:lineRule="atLeast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5"/>
        <w:gridCol w:w="720"/>
        <w:gridCol w:w="1320"/>
        <w:gridCol w:w="1185"/>
        <w:gridCol w:w="1065"/>
        <w:gridCol w:w="915"/>
        <w:gridCol w:w="960"/>
      </w:tblGrid>
      <w:tr w:rsidR="00C75C4E">
        <w:tc>
          <w:tcPr>
            <w:tcW w:w="1545" w:type="dxa"/>
            <w:shd w:val="clear" w:color="auto" w:fill="auto"/>
          </w:tcPr>
          <w:p w:rsidR="00C75C4E" w:rsidRDefault="00C75C4E">
            <w:pPr>
              <w:rPr>
                <w:rFonts w:ascii="Times" w:hAnsi="Times"/>
              </w:rPr>
            </w:pPr>
          </w:p>
        </w:tc>
        <w:tc>
          <w:tcPr>
            <w:tcW w:w="7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Df</w:t>
            </w:r>
          </w:p>
        </w:tc>
        <w:tc>
          <w:tcPr>
            <w:tcW w:w="13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SumsOfSqs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MeanSqs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F Model</w:t>
            </w:r>
          </w:p>
        </w:tc>
        <w:tc>
          <w:tcPr>
            <w:tcW w:w="91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R</w:t>
            </w:r>
            <w:r>
              <w:rPr>
                <w:rFonts w:ascii="Times" w:hAnsi="Times"/>
                <w:vertAlign w:val="superscript"/>
              </w:rPr>
              <w:t>2</w:t>
            </w:r>
          </w:p>
        </w:tc>
        <w:tc>
          <w:tcPr>
            <w:tcW w:w="96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Pr(&gt;F)</w:t>
            </w:r>
          </w:p>
        </w:tc>
      </w:tr>
      <w:tr w:rsidR="00C75C4E">
        <w:tc>
          <w:tcPr>
            <w:tcW w:w="1545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Diet</w:t>
            </w:r>
          </w:p>
        </w:tc>
        <w:tc>
          <w:tcPr>
            <w:tcW w:w="7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3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6.40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6.40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36.47</w:t>
            </w:r>
          </w:p>
        </w:tc>
        <w:tc>
          <w:tcPr>
            <w:tcW w:w="91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0.09</w:t>
            </w:r>
          </w:p>
        </w:tc>
        <w:tc>
          <w:tcPr>
            <w:tcW w:w="96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1.0000</w:t>
            </w:r>
          </w:p>
        </w:tc>
      </w:tr>
      <w:tr w:rsidR="00C75C4E">
        <w:tc>
          <w:tcPr>
            <w:tcW w:w="1545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Treatment</w:t>
            </w:r>
          </w:p>
        </w:tc>
        <w:tc>
          <w:tcPr>
            <w:tcW w:w="7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3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4.32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4.32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24.65</w:t>
            </w:r>
          </w:p>
        </w:tc>
        <w:tc>
          <w:tcPr>
            <w:tcW w:w="91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0.06</w:t>
            </w:r>
          </w:p>
        </w:tc>
        <w:tc>
          <w:tcPr>
            <w:tcW w:w="96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</w:rPr>
              <w:t>&lt;0.0005</w:t>
            </w:r>
          </w:p>
        </w:tc>
      </w:tr>
      <w:tr w:rsidR="00C75C4E">
        <w:tc>
          <w:tcPr>
            <w:tcW w:w="1545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Cage</w:t>
            </w:r>
          </w:p>
        </w:tc>
        <w:tc>
          <w:tcPr>
            <w:tcW w:w="7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9</w:t>
            </w:r>
          </w:p>
        </w:tc>
        <w:tc>
          <w:tcPr>
            <w:tcW w:w="13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10.10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1.12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6.39</w:t>
            </w:r>
          </w:p>
        </w:tc>
        <w:tc>
          <w:tcPr>
            <w:tcW w:w="91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0.14</w:t>
            </w:r>
          </w:p>
        </w:tc>
        <w:tc>
          <w:tcPr>
            <w:tcW w:w="96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1.0000</w:t>
            </w:r>
          </w:p>
        </w:tc>
      </w:tr>
      <w:tr w:rsidR="00C75C4E">
        <w:tc>
          <w:tcPr>
            <w:tcW w:w="1545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Diet:Treatment</w:t>
            </w:r>
          </w:p>
        </w:tc>
        <w:tc>
          <w:tcPr>
            <w:tcW w:w="7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3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1.16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1.16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6.59</w:t>
            </w:r>
          </w:p>
        </w:tc>
        <w:tc>
          <w:tcPr>
            <w:tcW w:w="91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0.02</w:t>
            </w:r>
          </w:p>
        </w:tc>
        <w:tc>
          <w:tcPr>
            <w:tcW w:w="96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</w:rPr>
              <w:t>&lt;0.0005</w:t>
            </w:r>
          </w:p>
        </w:tc>
      </w:tr>
      <w:tr w:rsidR="00C75C4E">
        <w:tc>
          <w:tcPr>
            <w:tcW w:w="1545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Residuals</w:t>
            </w:r>
          </w:p>
        </w:tc>
        <w:tc>
          <w:tcPr>
            <w:tcW w:w="7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290</w:t>
            </w:r>
          </w:p>
        </w:tc>
        <w:tc>
          <w:tcPr>
            <w:tcW w:w="13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50.88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0.18</w:t>
            </w:r>
          </w:p>
        </w:tc>
        <w:tc>
          <w:tcPr>
            <w:tcW w:w="1065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  <w:tc>
          <w:tcPr>
            <w:tcW w:w="91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0.70</w:t>
            </w:r>
          </w:p>
        </w:tc>
        <w:tc>
          <w:tcPr>
            <w:tcW w:w="960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</w:tr>
      <w:tr w:rsidR="00C75C4E">
        <w:tc>
          <w:tcPr>
            <w:tcW w:w="1545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Total</w:t>
            </w:r>
          </w:p>
        </w:tc>
        <w:tc>
          <w:tcPr>
            <w:tcW w:w="7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302</w:t>
            </w:r>
          </w:p>
        </w:tc>
        <w:tc>
          <w:tcPr>
            <w:tcW w:w="132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72.85</w:t>
            </w:r>
          </w:p>
        </w:tc>
        <w:tc>
          <w:tcPr>
            <w:tcW w:w="1185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  <w:tc>
          <w:tcPr>
            <w:tcW w:w="1065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  <w:tc>
          <w:tcPr>
            <w:tcW w:w="91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1.00</w:t>
            </w:r>
          </w:p>
        </w:tc>
        <w:tc>
          <w:tcPr>
            <w:tcW w:w="960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</w:tr>
    </w:tbl>
    <w:p w:rsidR="00C75C4E" w:rsidRDefault="00791B88">
      <w:pPr>
        <w:spacing w:before="480" w:line="100" w:lineRule="atLeast"/>
        <w:jc w:val="both"/>
        <w:rPr>
          <w:b/>
          <w:sz w:val="32"/>
        </w:rPr>
      </w:pPr>
      <w:r>
        <w:rPr>
          <w:rFonts w:ascii="Times" w:hAnsi="Times"/>
        </w:rPr>
        <w:t xml:space="preserve"> </w:t>
      </w:r>
    </w:p>
    <w:p w:rsidR="00C75C4E" w:rsidRPr="00BE7C96" w:rsidRDefault="00791B88">
      <w:pPr>
        <w:pStyle w:val="Heading3"/>
        <w:tabs>
          <w:tab w:val="left" w:pos="-15"/>
        </w:tabs>
        <w:spacing w:line="100" w:lineRule="atLeast"/>
        <w:ind w:left="0" w:hanging="15"/>
        <w:rPr>
          <w:b w:val="0"/>
        </w:rPr>
      </w:pPr>
      <w:r w:rsidRPr="00BE7C96">
        <w:rPr>
          <w:b w:val="0"/>
        </w:rPr>
        <w:t>B. UniFrac distances for within subjects disease effects</w:t>
      </w:r>
    </w:p>
    <w:p w:rsidR="00C75C4E" w:rsidRDefault="00C75C4E">
      <w:pPr>
        <w:spacing w:line="100" w:lineRule="atLeast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30"/>
        <w:gridCol w:w="765"/>
        <w:gridCol w:w="1305"/>
        <w:gridCol w:w="1185"/>
        <w:gridCol w:w="1065"/>
        <w:gridCol w:w="900"/>
        <w:gridCol w:w="900"/>
      </w:tblGrid>
      <w:tr w:rsidR="00C75C4E">
        <w:tc>
          <w:tcPr>
            <w:tcW w:w="1530" w:type="dxa"/>
            <w:shd w:val="clear" w:color="auto" w:fill="auto"/>
          </w:tcPr>
          <w:p w:rsidR="00C75C4E" w:rsidRDefault="00C75C4E">
            <w:pPr>
              <w:rPr>
                <w:rFonts w:ascii="Times" w:hAnsi="Times"/>
              </w:rPr>
            </w:pPr>
          </w:p>
        </w:tc>
        <w:tc>
          <w:tcPr>
            <w:tcW w:w="7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Df</w:t>
            </w:r>
          </w:p>
        </w:tc>
        <w:tc>
          <w:tcPr>
            <w:tcW w:w="130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SumsOfSqs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MeanSqs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F Model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R</w:t>
            </w:r>
            <w:r>
              <w:rPr>
                <w:rFonts w:ascii="Times" w:hAnsi="Times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Pr(&gt;F)</w:t>
            </w:r>
          </w:p>
        </w:tc>
      </w:tr>
      <w:tr w:rsidR="00C75C4E">
        <w:tc>
          <w:tcPr>
            <w:tcW w:w="1530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Diet</w:t>
            </w:r>
          </w:p>
        </w:tc>
        <w:tc>
          <w:tcPr>
            <w:tcW w:w="7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6.40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6.40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36.07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0.09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</w:rPr>
              <w:t>&lt;0.0005</w:t>
            </w:r>
          </w:p>
        </w:tc>
      </w:tr>
      <w:tr w:rsidR="00C75C4E">
        <w:tc>
          <w:tcPr>
            <w:tcW w:w="1530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Disease</w:t>
            </w:r>
          </w:p>
        </w:tc>
        <w:tc>
          <w:tcPr>
            <w:tcW w:w="7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2.03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2.03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11.42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0.03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</w:rPr>
              <w:t>&lt;0.0005</w:t>
            </w:r>
          </w:p>
        </w:tc>
      </w:tr>
      <w:tr w:rsidR="00C75C4E">
        <w:tc>
          <w:tcPr>
            <w:tcW w:w="1530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Cage</w:t>
            </w:r>
          </w:p>
        </w:tc>
        <w:tc>
          <w:tcPr>
            <w:tcW w:w="7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10</w:t>
            </w:r>
          </w:p>
        </w:tc>
        <w:tc>
          <w:tcPr>
            <w:tcW w:w="130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12.53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1.25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7.07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0.17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1.0000</w:t>
            </w:r>
          </w:p>
        </w:tc>
      </w:tr>
      <w:tr w:rsidR="00C75C4E">
        <w:tc>
          <w:tcPr>
            <w:tcW w:w="1530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Diet:Disease</w:t>
            </w:r>
          </w:p>
        </w:tc>
        <w:tc>
          <w:tcPr>
            <w:tcW w:w="7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0.62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0.62</w:t>
            </w:r>
          </w:p>
        </w:tc>
        <w:tc>
          <w:tcPr>
            <w:tcW w:w="10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3.49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0.01</w:t>
            </w: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  <w:b/>
                <w:bCs/>
              </w:rPr>
              <w:t>&lt;0.0005</w:t>
            </w:r>
          </w:p>
        </w:tc>
      </w:tr>
      <w:tr w:rsidR="00C75C4E">
        <w:tc>
          <w:tcPr>
            <w:tcW w:w="1530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Residuals</w:t>
            </w:r>
          </w:p>
        </w:tc>
        <w:tc>
          <w:tcPr>
            <w:tcW w:w="7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289</w:t>
            </w:r>
          </w:p>
        </w:tc>
        <w:tc>
          <w:tcPr>
            <w:tcW w:w="130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51.27</w:t>
            </w:r>
          </w:p>
        </w:tc>
        <w:tc>
          <w:tcPr>
            <w:tcW w:w="118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0.18</w:t>
            </w:r>
          </w:p>
        </w:tc>
        <w:tc>
          <w:tcPr>
            <w:tcW w:w="1065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0.70</w:t>
            </w:r>
          </w:p>
        </w:tc>
        <w:tc>
          <w:tcPr>
            <w:tcW w:w="900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</w:tr>
      <w:tr w:rsidR="00C75C4E">
        <w:tc>
          <w:tcPr>
            <w:tcW w:w="1530" w:type="dxa"/>
            <w:shd w:val="clear" w:color="auto" w:fill="auto"/>
          </w:tcPr>
          <w:p w:rsidR="00C75C4E" w:rsidRDefault="00791B8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Total</w:t>
            </w:r>
          </w:p>
        </w:tc>
        <w:tc>
          <w:tcPr>
            <w:tcW w:w="76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302</w:t>
            </w:r>
          </w:p>
        </w:tc>
        <w:tc>
          <w:tcPr>
            <w:tcW w:w="1305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72.85</w:t>
            </w:r>
          </w:p>
        </w:tc>
        <w:tc>
          <w:tcPr>
            <w:tcW w:w="1185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  <w:tc>
          <w:tcPr>
            <w:tcW w:w="1065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  <w:tc>
          <w:tcPr>
            <w:tcW w:w="900" w:type="dxa"/>
            <w:shd w:val="clear" w:color="auto" w:fill="auto"/>
          </w:tcPr>
          <w:p w:rsidR="00C75C4E" w:rsidRDefault="00791B88">
            <w:pPr>
              <w:jc w:val="right"/>
              <w:rPr>
                <w:rFonts w:ascii="Times" w:hAnsi="Times"/>
              </w:rPr>
            </w:pPr>
            <w:r>
              <w:rPr>
                <w:rFonts w:ascii="Times" w:hAnsi="Times"/>
              </w:rPr>
              <w:t>1.00</w:t>
            </w:r>
          </w:p>
        </w:tc>
        <w:tc>
          <w:tcPr>
            <w:tcW w:w="900" w:type="dxa"/>
            <w:shd w:val="clear" w:color="auto" w:fill="auto"/>
          </w:tcPr>
          <w:p w:rsidR="00C75C4E" w:rsidRDefault="00C75C4E">
            <w:pPr>
              <w:jc w:val="right"/>
              <w:rPr>
                <w:rFonts w:ascii="Times" w:hAnsi="Times"/>
              </w:rPr>
            </w:pPr>
          </w:p>
        </w:tc>
      </w:tr>
    </w:tbl>
    <w:p w:rsidR="00C75C4E" w:rsidRDefault="00C75C4E">
      <w:pPr>
        <w:pStyle w:val="BodyText"/>
      </w:pPr>
    </w:p>
    <w:p w:rsidR="00C75C4E" w:rsidRDefault="00791B88">
      <w:pPr>
        <w:pStyle w:val="BodyText"/>
      </w:pPr>
      <w:r>
        <w:rPr>
          <w:rFonts w:ascii="Times New Roman" w:hAnsi="Times New Roman"/>
          <w:szCs w:val="20"/>
        </w:rPr>
        <w:t>We assessed the significance of UniFrac distances between Treatment (</w:t>
      </w:r>
      <w:r>
        <w:rPr>
          <w:rFonts w:ascii="Times New Roman" w:hAnsi="Times New Roman"/>
          <w:b/>
          <w:bCs/>
          <w:szCs w:val="20"/>
        </w:rPr>
        <w:t>A</w:t>
      </w:r>
      <w:r>
        <w:rPr>
          <w:rFonts w:ascii="Times New Roman" w:hAnsi="Times New Roman"/>
          <w:szCs w:val="20"/>
        </w:rPr>
        <w:t>) or Disease (</w:t>
      </w:r>
      <w:r>
        <w:rPr>
          <w:rFonts w:ascii="Times New Roman" w:hAnsi="Times New Roman"/>
          <w:b/>
          <w:bCs/>
          <w:szCs w:val="20"/>
        </w:rPr>
        <w:t>B</w:t>
      </w:r>
      <w:r w:rsidR="003644D8">
        <w:rPr>
          <w:rFonts w:ascii="Times New Roman" w:hAnsi="Times New Roman"/>
          <w:szCs w:val="20"/>
        </w:rPr>
        <w:t>) microbiota using the A</w:t>
      </w:r>
      <w:r>
        <w:rPr>
          <w:rFonts w:ascii="Times New Roman" w:hAnsi="Times New Roman"/>
          <w:szCs w:val="20"/>
        </w:rPr>
        <w:t>donis function in the vegan</w:t>
      </w:r>
      <w:r w:rsidR="00BE7C96">
        <w:rPr>
          <w:rFonts w:ascii="Times New Roman" w:hAnsi="Times New Roman"/>
          <w:szCs w:val="20"/>
        </w:rPr>
        <w:t xml:space="preserve"> package</w:t>
      </w:r>
      <w:r>
        <w:rPr>
          <w:rFonts w:ascii="Times New Roman" w:hAnsi="Times New Roman"/>
          <w:szCs w:val="20"/>
        </w:rPr>
        <w:t>. To account for the multilevel design, we included a Diet:Treatment or Diet:Disease interaction term as well as cage effects for fitting the linear model. To reduce artificial inflation of the pseudo-F ratio, each of the 2000 independent sample permutations were restricted to within-subject and to within-Diet strata for constructing the empirical p-value.</w:t>
      </w:r>
    </w:p>
    <w:sectPr w:rsidR="00C75C4E">
      <w:footerReference w:type="default" r:id="rId8"/>
      <w:pgSz w:w="12280" w:h="15900"/>
      <w:pgMar w:top="1445" w:right="1445" w:bottom="1445" w:left="1445" w:header="720" w:footer="720" w:gutter="0"/>
      <w:cols w:space="720"/>
      <w:docGrid w:linePitch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9D1" w:rsidRDefault="00FE09D1">
      <w:r>
        <w:separator/>
      </w:r>
    </w:p>
  </w:endnote>
  <w:endnote w:type="continuationSeparator" w:id="0">
    <w:p w:rsidR="00FE09D1" w:rsidRDefault="00FE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pf Chancery">
    <w:altName w:val="MS PMincho"/>
    <w:charset w:val="80"/>
    <w:family w:val="roman"/>
    <w:pitch w:val="variable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C4E" w:rsidRDefault="00791B88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7424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9D1" w:rsidRDefault="00FE09D1">
      <w:r>
        <w:separator/>
      </w:r>
    </w:p>
  </w:footnote>
  <w:footnote w:type="continuationSeparator" w:id="0">
    <w:p w:rsidR="00FE09D1" w:rsidRDefault="00FE0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B88"/>
    <w:rsid w:val="003644D8"/>
    <w:rsid w:val="007424E3"/>
    <w:rsid w:val="00791B88"/>
    <w:rsid w:val="00BE7C96"/>
    <w:rsid w:val="00C75C4E"/>
    <w:rsid w:val="00FE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Zapf Chancery" w:eastAsia="Times" w:hAnsi="Zapf Chancery" w:cs="Helvetica"/>
      <w:kern w:val="1"/>
      <w:szCs w:val="24"/>
      <w:lang w:eastAsia="zh-CN" w:bidi="hi-IN"/>
    </w:rPr>
  </w:style>
  <w:style w:type="paragraph" w:styleId="Heading1">
    <w:name w:val="heading 1"/>
    <w:basedOn w:val="Normal"/>
    <w:next w:val="BodyText"/>
    <w:qFormat/>
    <w:pPr>
      <w:keepNext/>
      <w:tabs>
        <w:tab w:val="num" w:pos="432"/>
      </w:tabs>
      <w:spacing w:before="240" w:after="60"/>
      <w:outlineLvl w:val="0"/>
    </w:pPr>
    <w:rPr>
      <w:rFonts w:ascii="Times" w:hAnsi="Times"/>
      <w:b/>
      <w:sz w:val="40"/>
    </w:rPr>
  </w:style>
  <w:style w:type="paragraph" w:styleId="Heading2">
    <w:name w:val="heading 2"/>
    <w:basedOn w:val="Normal"/>
    <w:next w:val="BodyText"/>
    <w:qFormat/>
    <w:pPr>
      <w:keepNext/>
      <w:tabs>
        <w:tab w:val="num" w:pos="576"/>
      </w:tabs>
      <w:spacing w:before="240" w:after="60"/>
      <w:ind w:left="512"/>
      <w:outlineLvl w:val="1"/>
    </w:pPr>
    <w:rPr>
      <w:rFonts w:ascii="Times" w:hAnsi="Times"/>
      <w:b/>
      <w:sz w:val="32"/>
    </w:rPr>
  </w:style>
  <w:style w:type="paragraph" w:styleId="Heading3">
    <w:name w:val="heading 3"/>
    <w:basedOn w:val="Normal"/>
    <w:next w:val="BodyText"/>
    <w:qFormat/>
    <w:pPr>
      <w:keepNext/>
      <w:tabs>
        <w:tab w:val="num" w:pos="720"/>
      </w:tabs>
      <w:spacing w:before="240" w:after="60"/>
      <w:ind w:left="1024"/>
      <w:outlineLvl w:val="2"/>
    </w:pPr>
    <w:rPr>
      <w:rFonts w:ascii="Times" w:hAnsi="Times"/>
      <w:b/>
      <w:sz w:val="32"/>
    </w:rPr>
  </w:style>
  <w:style w:type="paragraph" w:styleId="Heading4">
    <w:name w:val="heading 4"/>
    <w:basedOn w:val="Normal"/>
    <w:next w:val="BodyText"/>
    <w:qFormat/>
    <w:pPr>
      <w:keepNext/>
      <w:tabs>
        <w:tab w:val="num" w:pos="864"/>
      </w:tabs>
      <w:spacing w:before="240" w:after="60"/>
      <w:ind w:left="1536"/>
      <w:outlineLvl w:val="3"/>
    </w:pPr>
    <w:rPr>
      <w:rFonts w:ascii="Times" w:hAnsi="Times"/>
      <w:b/>
      <w:sz w:val="24"/>
    </w:rPr>
  </w:style>
  <w:style w:type="paragraph" w:styleId="Heading5">
    <w:name w:val="heading 5"/>
    <w:basedOn w:val="Normal"/>
    <w:next w:val="BodyText"/>
    <w:qFormat/>
    <w:pPr>
      <w:keepNext/>
      <w:tabs>
        <w:tab w:val="num" w:pos="1008"/>
      </w:tabs>
      <w:spacing w:before="240" w:after="60"/>
      <w:ind w:left="2048"/>
      <w:outlineLvl w:val="4"/>
    </w:pPr>
    <w:rPr>
      <w:rFonts w:ascii="Times" w:hAnsi="Times"/>
      <w:b/>
      <w:sz w:val="24"/>
    </w:rPr>
  </w:style>
  <w:style w:type="paragraph" w:styleId="Heading6">
    <w:name w:val="heading 6"/>
    <w:basedOn w:val="Normal"/>
    <w:next w:val="BodyText"/>
    <w:qFormat/>
    <w:pPr>
      <w:keepNext/>
      <w:tabs>
        <w:tab w:val="num" w:pos="1152"/>
      </w:tabs>
      <w:spacing w:before="240" w:after="60"/>
      <w:ind w:left="2560"/>
      <w:outlineLvl w:val="5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Footer">
    <w:name w:val="footer"/>
    <w:basedOn w:val="Normal"/>
    <w:pPr>
      <w:suppressLineNumbers/>
      <w:tabs>
        <w:tab w:val="center" w:pos="4986"/>
        <w:tab w:val="right" w:pos="99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Zapf Chancery" w:eastAsia="Times" w:hAnsi="Zapf Chancery" w:cs="Helvetica"/>
      <w:kern w:val="1"/>
      <w:szCs w:val="24"/>
      <w:lang w:eastAsia="zh-CN" w:bidi="hi-IN"/>
    </w:rPr>
  </w:style>
  <w:style w:type="paragraph" w:styleId="Heading1">
    <w:name w:val="heading 1"/>
    <w:basedOn w:val="Normal"/>
    <w:next w:val="BodyText"/>
    <w:qFormat/>
    <w:pPr>
      <w:keepNext/>
      <w:tabs>
        <w:tab w:val="num" w:pos="432"/>
      </w:tabs>
      <w:spacing w:before="240" w:after="60"/>
      <w:outlineLvl w:val="0"/>
    </w:pPr>
    <w:rPr>
      <w:rFonts w:ascii="Times" w:hAnsi="Times"/>
      <w:b/>
      <w:sz w:val="40"/>
    </w:rPr>
  </w:style>
  <w:style w:type="paragraph" w:styleId="Heading2">
    <w:name w:val="heading 2"/>
    <w:basedOn w:val="Normal"/>
    <w:next w:val="BodyText"/>
    <w:qFormat/>
    <w:pPr>
      <w:keepNext/>
      <w:tabs>
        <w:tab w:val="num" w:pos="576"/>
      </w:tabs>
      <w:spacing w:before="240" w:after="60"/>
      <w:ind w:left="512"/>
      <w:outlineLvl w:val="1"/>
    </w:pPr>
    <w:rPr>
      <w:rFonts w:ascii="Times" w:hAnsi="Times"/>
      <w:b/>
      <w:sz w:val="32"/>
    </w:rPr>
  </w:style>
  <w:style w:type="paragraph" w:styleId="Heading3">
    <w:name w:val="heading 3"/>
    <w:basedOn w:val="Normal"/>
    <w:next w:val="BodyText"/>
    <w:qFormat/>
    <w:pPr>
      <w:keepNext/>
      <w:tabs>
        <w:tab w:val="num" w:pos="720"/>
      </w:tabs>
      <w:spacing w:before="240" w:after="60"/>
      <w:ind w:left="1024"/>
      <w:outlineLvl w:val="2"/>
    </w:pPr>
    <w:rPr>
      <w:rFonts w:ascii="Times" w:hAnsi="Times"/>
      <w:b/>
      <w:sz w:val="32"/>
    </w:rPr>
  </w:style>
  <w:style w:type="paragraph" w:styleId="Heading4">
    <w:name w:val="heading 4"/>
    <w:basedOn w:val="Normal"/>
    <w:next w:val="BodyText"/>
    <w:qFormat/>
    <w:pPr>
      <w:keepNext/>
      <w:tabs>
        <w:tab w:val="num" w:pos="864"/>
      </w:tabs>
      <w:spacing w:before="240" w:after="60"/>
      <w:ind w:left="1536"/>
      <w:outlineLvl w:val="3"/>
    </w:pPr>
    <w:rPr>
      <w:rFonts w:ascii="Times" w:hAnsi="Times"/>
      <w:b/>
      <w:sz w:val="24"/>
    </w:rPr>
  </w:style>
  <w:style w:type="paragraph" w:styleId="Heading5">
    <w:name w:val="heading 5"/>
    <w:basedOn w:val="Normal"/>
    <w:next w:val="BodyText"/>
    <w:qFormat/>
    <w:pPr>
      <w:keepNext/>
      <w:tabs>
        <w:tab w:val="num" w:pos="1008"/>
      </w:tabs>
      <w:spacing w:before="240" w:after="60"/>
      <w:ind w:left="2048"/>
      <w:outlineLvl w:val="4"/>
    </w:pPr>
    <w:rPr>
      <w:rFonts w:ascii="Times" w:hAnsi="Times"/>
      <w:b/>
      <w:sz w:val="24"/>
    </w:rPr>
  </w:style>
  <w:style w:type="paragraph" w:styleId="Heading6">
    <w:name w:val="heading 6"/>
    <w:basedOn w:val="Normal"/>
    <w:next w:val="BodyText"/>
    <w:qFormat/>
    <w:pPr>
      <w:keepNext/>
      <w:tabs>
        <w:tab w:val="num" w:pos="1152"/>
      </w:tabs>
      <w:spacing w:before="240" w:after="60"/>
      <w:ind w:left="2560"/>
      <w:outlineLvl w:val="5"/>
    </w:pPr>
    <w:rPr>
      <w:rFonts w:ascii="Times" w:hAnsi="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Footer">
    <w:name w:val="footer"/>
    <w:basedOn w:val="Normal"/>
    <w:pPr>
      <w:suppressLineNumbers/>
      <w:tabs>
        <w:tab w:val="center" w:pos="4986"/>
        <w:tab w:val="right" w:pos="99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Original file was SupplementAdonis.tex</vt:lpstr>
    </vt:vector>
  </TitlesOfParts>
  <Company>NYU Langone Medical Center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 file was SupplementAdonis.tex</dc:title>
  <dc:creator>cloudconvert</dc:creator>
  <dc:description>Created using latex2rtf 1.9.19 (released Nov 20 2007) on Sun Mar 20 13:51:07 2016</dc:description>
  <cp:lastModifiedBy>Real, Francis Frank</cp:lastModifiedBy>
  <cp:revision>4</cp:revision>
  <cp:lastPrinted>2016-03-20T19:31:00Z</cp:lastPrinted>
  <dcterms:created xsi:type="dcterms:W3CDTF">2016-03-21T12:44:00Z</dcterms:created>
  <dcterms:modified xsi:type="dcterms:W3CDTF">2016-04-26T01:16:00Z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  <property fmtid="{D5CDD505-2E9C-101B-9397-08002B2CF9AE}" pid="3" name="Mendeley Document_1">
    <vt:lpwstr>True</vt:lpwstr>
  </property>
  <property fmtid="{D5CDD505-2E9C-101B-9397-08002B2CF9AE}" pid="4" name="Mendeley User Name_1">
    <vt:lpwstr>zdkurtz@gmail.com@www.mendeley.com</vt:lpwstr>
  </property>
</Properties>
</file>