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B7020" w14:textId="77777777" w:rsidR="009D02BC" w:rsidRDefault="009D02BC" w:rsidP="009D02BC">
      <w:pPr>
        <w:spacing w:line="480" w:lineRule="auto"/>
        <w:jc w:val="both"/>
        <w:rPr>
          <w:rFonts w:eastAsia="Times New Roman"/>
          <w:b/>
        </w:rPr>
      </w:pPr>
      <w:r w:rsidRPr="00C70A53">
        <w:rPr>
          <w:rFonts w:eastAsia="Times New Roman"/>
          <w:b/>
        </w:rPr>
        <w:t>SUPPLEMENTARY FIGURES</w:t>
      </w:r>
    </w:p>
    <w:p w14:paraId="2B89655A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5101EC7C" w14:textId="77777777" w:rsidR="00420E46" w:rsidRDefault="00420E46" w:rsidP="00420E46">
      <w:pPr>
        <w:spacing w:line="480" w:lineRule="auto"/>
        <w:jc w:val="both"/>
        <w:rPr>
          <w:b/>
        </w:rPr>
      </w:pPr>
      <w:r>
        <w:rPr>
          <w:b/>
        </w:rPr>
        <w:t xml:space="preserve">Whole genome sequencing reveals high-resolution epidemiological links between clinical and environmental </w:t>
      </w:r>
      <w:r w:rsidRPr="00C70A53">
        <w:rPr>
          <w:b/>
          <w:i/>
        </w:rPr>
        <w:t>Klebsiella pneumoniae</w:t>
      </w:r>
      <w:r w:rsidRPr="00C70A53">
        <w:rPr>
          <w:b/>
        </w:rPr>
        <w:t xml:space="preserve"> </w:t>
      </w:r>
    </w:p>
    <w:p w14:paraId="51DA3321" w14:textId="131DEAFF" w:rsidR="00420E46" w:rsidRPr="00C70A53" w:rsidRDefault="00420E46" w:rsidP="00420E46">
      <w:pPr>
        <w:spacing w:line="480" w:lineRule="auto"/>
        <w:jc w:val="both"/>
        <w:rPr>
          <w:rFonts w:eastAsia="Times New Roman"/>
        </w:rPr>
      </w:pPr>
      <w:r w:rsidRPr="00C70A53">
        <w:rPr>
          <w:rFonts w:eastAsia="Times New Roman"/>
        </w:rPr>
        <w:t>Chakkaphan Runcharoen</w:t>
      </w:r>
      <w:r w:rsidRPr="00C70A53">
        <w:rPr>
          <w:rFonts w:eastAsia="Times New Roman"/>
          <w:vertAlign w:val="superscript"/>
        </w:rPr>
        <w:t>*</w:t>
      </w:r>
      <w:r w:rsidRPr="00C70A53">
        <w:rPr>
          <w:rFonts w:eastAsia="Times New Roman"/>
        </w:rPr>
        <w:t>, Danesh Moradigaravand</w:t>
      </w:r>
      <w:r w:rsidRPr="00C70A53">
        <w:rPr>
          <w:rFonts w:eastAsia="Times New Roman"/>
          <w:vertAlign w:val="superscript"/>
        </w:rPr>
        <w:t>*</w:t>
      </w:r>
      <w:r w:rsidRPr="00C70A53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="00801903">
        <w:rPr>
          <w:rFonts w:eastAsia="Times New Roman"/>
        </w:rPr>
        <w:t>B</w:t>
      </w:r>
      <w:r w:rsidRPr="007C022D">
        <w:rPr>
          <w:rFonts w:eastAsia="Times New Roman"/>
        </w:rPr>
        <w:t>eth Blane</w:t>
      </w:r>
      <w:r>
        <w:rPr>
          <w:rFonts w:eastAsia="Times New Roman"/>
        </w:rPr>
        <w:t>,</w:t>
      </w:r>
      <w:r w:rsidRPr="00C70A53">
        <w:rPr>
          <w:rFonts w:eastAsia="Times New Roman"/>
        </w:rPr>
        <w:t xml:space="preserve"> Suporn Paksanont, </w:t>
      </w:r>
      <w:r w:rsidRPr="00C70A53">
        <w:rPr>
          <w:color w:val="1B191B"/>
        </w:rPr>
        <w:t xml:space="preserve">Jeeranan </w:t>
      </w:r>
      <w:r w:rsidRPr="00C70A53">
        <w:rPr>
          <w:color w:val="29252A"/>
        </w:rPr>
        <w:t>Thammachote,</w:t>
      </w:r>
      <w:r w:rsidRPr="00C70A53">
        <w:rPr>
          <w:rFonts w:eastAsia="Times New Roman"/>
        </w:rPr>
        <w:t xml:space="preserve"> Suthatip Anun, Julian Parkhill, </w:t>
      </w:r>
      <w:r w:rsidRPr="00C70A53">
        <w:rPr>
          <w:rStyle w:val="rwrro"/>
          <w:rFonts w:eastAsia="Times New Roman"/>
        </w:rPr>
        <w:t>Narisara Chantratita</w:t>
      </w:r>
      <w:r w:rsidRPr="00C70A53">
        <w:rPr>
          <w:rStyle w:val="rwrro"/>
          <w:rFonts w:eastAsia="Times New Roman"/>
          <w:vertAlign w:val="superscript"/>
        </w:rPr>
        <w:t>**</w:t>
      </w:r>
      <w:r w:rsidRPr="00C70A53">
        <w:rPr>
          <w:rStyle w:val="rwrro"/>
          <w:rFonts w:eastAsia="Times New Roman"/>
        </w:rPr>
        <w:t xml:space="preserve"> </w:t>
      </w:r>
      <w:r w:rsidRPr="00C70A53">
        <w:rPr>
          <w:rFonts w:eastAsia="Times New Roman"/>
        </w:rPr>
        <w:t>and Sharon J. Peacock</w:t>
      </w:r>
      <w:r w:rsidRPr="00C70A53">
        <w:rPr>
          <w:rFonts w:eastAsia="Times New Roman"/>
          <w:vertAlign w:val="superscript"/>
        </w:rPr>
        <w:t>**</w:t>
      </w:r>
      <w:r w:rsidRPr="00C70A53">
        <w:rPr>
          <w:rFonts w:eastAsia="Times New Roman"/>
        </w:rPr>
        <w:t xml:space="preserve"> </w:t>
      </w:r>
    </w:p>
    <w:p w14:paraId="3AE849E9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7C685013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48D4E056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29AF31C3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4114DC9B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58600D2F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77E6ACF9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6786B1AF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355B6FB3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0FD8F9CD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11F3E3CC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5476D709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6E244A82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014B600E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43B0B242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6CB35828" w14:textId="77777777" w:rsidR="00420E46" w:rsidRDefault="00420E46" w:rsidP="009D02BC">
      <w:pPr>
        <w:spacing w:line="480" w:lineRule="auto"/>
        <w:jc w:val="both"/>
        <w:rPr>
          <w:rFonts w:eastAsia="Times New Roman"/>
          <w:b/>
        </w:rPr>
      </w:pPr>
    </w:p>
    <w:p w14:paraId="3749D517" w14:textId="77777777" w:rsidR="00420E46" w:rsidRPr="00C70A53" w:rsidRDefault="00420E46" w:rsidP="00420E46">
      <w:pPr>
        <w:spacing w:line="480" w:lineRule="auto"/>
      </w:pPr>
      <w:r w:rsidRPr="00C70A53">
        <w:t xml:space="preserve">* </w:t>
      </w:r>
      <w:r>
        <w:t xml:space="preserve">Joint </w:t>
      </w:r>
      <w:r w:rsidRPr="00C70A53">
        <w:t xml:space="preserve">first author </w:t>
      </w:r>
    </w:p>
    <w:p w14:paraId="2680B630" w14:textId="77777777" w:rsidR="00420E46" w:rsidRPr="00C70A53" w:rsidRDefault="00420E46" w:rsidP="00420E46">
      <w:pPr>
        <w:spacing w:line="480" w:lineRule="auto"/>
      </w:pPr>
      <w:r w:rsidRPr="00C70A53">
        <w:t xml:space="preserve">** </w:t>
      </w:r>
      <w:r>
        <w:t>Joint senior</w:t>
      </w:r>
      <w:r w:rsidRPr="00C70A53">
        <w:t xml:space="preserve"> author</w:t>
      </w:r>
    </w:p>
    <w:p w14:paraId="32DA1951" w14:textId="75E0BCFA" w:rsidR="00420E46" w:rsidRPr="00C70A53" w:rsidRDefault="00787011" w:rsidP="00C71808">
      <w:pPr>
        <w:spacing w:line="480" w:lineRule="auto"/>
        <w:ind w:hanging="1800"/>
        <w:jc w:val="both"/>
        <w:rPr>
          <w:rFonts w:eastAsia="Times New Roman"/>
          <w:b/>
        </w:rPr>
      </w:pPr>
      <w:r w:rsidRPr="00787011">
        <w:rPr>
          <w:rFonts w:eastAsia="Times New Roman"/>
          <w:b/>
          <w:noProof/>
        </w:rPr>
        <w:lastRenderedPageBreak/>
        <w:drawing>
          <wp:inline distT="0" distB="0" distL="0" distR="0" wp14:anchorId="49BEBD54" wp14:editId="52C13A74">
            <wp:extent cx="7775787" cy="5831840"/>
            <wp:effectExtent l="0" t="0" r="0" b="101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01263" cy="585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A1602" w14:textId="70C79D12" w:rsidR="009D02BC" w:rsidRPr="00C70A53" w:rsidRDefault="009D02BC" w:rsidP="009D02BC">
      <w:pPr>
        <w:spacing w:line="480" w:lineRule="auto"/>
        <w:jc w:val="both"/>
        <w:rPr>
          <w:rFonts w:eastAsia="Times New Roman"/>
        </w:rPr>
      </w:pPr>
      <w:r w:rsidRPr="00C70A53">
        <w:rPr>
          <w:rFonts w:eastAsia="Times New Roman"/>
        </w:rPr>
        <w:t xml:space="preserve">Figure S1 Distribution of plasmid replicons across the phylogenetic tree. </w:t>
      </w:r>
      <w:r w:rsidR="00543C5B">
        <w:rPr>
          <w:rFonts w:eastAsia="Times New Roman"/>
        </w:rPr>
        <w:t>The barplots show the relative frequency of each gene in the clinical (green) and environmental (red) sub-populations</w:t>
      </w:r>
      <w:r w:rsidR="006E2D00">
        <w:rPr>
          <w:rFonts w:eastAsia="Times New Roman"/>
        </w:rPr>
        <w:t xml:space="preserve"> for each plasmid</w:t>
      </w:r>
      <w:r w:rsidR="00543C5B">
        <w:rPr>
          <w:rFonts w:eastAsia="Times New Roman"/>
        </w:rPr>
        <w:t xml:space="preserve">. </w:t>
      </w:r>
    </w:p>
    <w:p w14:paraId="41FB45E9" w14:textId="77777777" w:rsidR="009D02BC" w:rsidRDefault="009D02BC" w:rsidP="009D02BC">
      <w:pPr>
        <w:spacing w:line="480" w:lineRule="auto"/>
        <w:jc w:val="both"/>
        <w:rPr>
          <w:rFonts w:eastAsia="Times New Roman"/>
        </w:rPr>
      </w:pPr>
    </w:p>
    <w:p w14:paraId="1110648B" w14:textId="77777777" w:rsidR="00B51033" w:rsidRDefault="00B51033" w:rsidP="009D02BC">
      <w:pPr>
        <w:spacing w:line="480" w:lineRule="auto"/>
        <w:jc w:val="both"/>
        <w:rPr>
          <w:rFonts w:eastAsia="Times New Roman"/>
        </w:rPr>
      </w:pPr>
    </w:p>
    <w:p w14:paraId="3CEDD89A" w14:textId="77777777" w:rsidR="00B51033" w:rsidRDefault="00B51033" w:rsidP="009D02BC">
      <w:pPr>
        <w:spacing w:line="480" w:lineRule="auto"/>
        <w:jc w:val="both"/>
        <w:rPr>
          <w:rFonts w:eastAsia="Times New Roman"/>
        </w:rPr>
      </w:pPr>
    </w:p>
    <w:p w14:paraId="0B9B56F4" w14:textId="77777777" w:rsidR="00B51033" w:rsidRDefault="00B51033" w:rsidP="009D02BC">
      <w:pPr>
        <w:spacing w:line="480" w:lineRule="auto"/>
        <w:jc w:val="both"/>
        <w:rPr>
          <w:rFonts w:eastAsia="Times New Roman"/>
        </w:rPr>
      </w:pPr>
    </w:p>
    <w:p w14:paraId="61637B4C" w14:textId="77777777" w:rsidR="00B51033" w:rsidRDefault="00B51033" w:rsidP="009D02BC">
      <w:pPr>
        <w:spacing w:line="480" w:lineRule="auto"/>
        <w:jc w:val="both"/>
        <w:rPr>
          <w:rFonts w:eastAsia="Times New Roman"/>
        </w:rPr>
      </w:pPr>
    </w:p>
    <w:p w14:paraId="407DF657" w14:textId="77777777" w:rsidR="00B51033" w:rsidRDefault="00B51033" w:rsidP="009D02BC">
      <w:pPr>
        <w:spacing w:line="480" w:lineRule="auto"/>
        <w:jc w:val="both"/>
        <w:rPr>
          <w:rFonts w:eastAsia="Times New Roman"/>
        </w:rPr>
      </w:pPr>
    </w:p>
    <w:p w14:paraId="3B603861" w14:textId="77777777" w:rsidR="00B51033" w:rsidRDefault="00B51033" w:rsidP="009D02BC">
      <w:pPr>
        <w:spacing w:line="480" w:lineRule="auto"/>
        <w:jc w:val="both"/>
        <w:rPr>
          <w:rFonts w:eastAsia="Times New Roman"/>
        </w:rPr>
      </w:pPr>
    </w:p>
    <w:p w14:paraId="3AB183D0" w14:textId="77777777" w:rsidR="00B51033" w:rsidRDefault="00B51033" w:rsidP="009D02BC">
      <w:pPr>
        <w:spacing w:line="480" w:lineRule="auto"/>
        <w:jc w:val="both"/>
        <w:rPr>
          <w:rFonts w:eastAsia="Times New Roman"/>
        </w:rPr>
      </w:pPr>
    </w:p>
    <w:p w14:paraId="471A8373" w14:textId="4EBA8F4B" w:rsidR="00B51033" w:rsidRPr="00C70A53" w:rsidRDefault="00C71808" w:rsidP="00C71808">
      <w:pPr>
        <w:spacing w:line="480" w:lineRule="auto"/>
        <w:ind w:hanging="1800"/>
        <w:jc w:val="both"/>
        <w:rPr>
          <w:rFonts w:eastAsia="Times New Roman"/>
        </w:rPr>
      </w:pPr>
      <w:r w:rsidRPr="00C71808">
        <w:rPr>
          <w:rFonts w:eastAsia="Times New Roman"/>
          <w:noProof/>
        </w:rPr>
        <w:drawing>
          <wp:inline distT="0" distB="0" distL="0" distR="0" wp14:anchorId="66181852" wp14:editId="23C03C39">
            <wp:extent cx="7437120" cy="5577840"/>
            <wp:effectExtent l="0" t="0" r="508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37329" cy="557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D6E01" w14:textId="394D5B59" w:rsidR="009333D8" w:rsidRPr="00C70A53" w:rsidRDefault="009D02BC" w:rsidP="009D02BC">
      <w:pPr>
        <w:spacing w:line="480" w:lineRule="auto"/>
        <w:jc w:val="both"/>
        <w:rPr>
          <w:rFonts w:eastAsia="Times New Roman"/>
        </w:rPr>
      </w:pPr>
      <w:r w:rsidRPr="00C70A53">
        <w:rPr>
          <w:rFonts w:eastAsia="Times New Roman"/>
        </w:rPr>
        <w:t>Figure S2 Distribution of virulence factors across the phylogenetic tree</w:t>
      </w:r>
      <w:r w:rsidR="00EB73C4">
        <w:rPr>
          <w:rFonts w:eastAsia="Times New Roman"/>
        </w:rPr>
        <w:t>. The boxplots show t</w:t>
      </w:r>
      <w:r w:rsidRPr="00C70A53">
        <w:rPr>
          <w:rFonts w:eastAsia="Times New Roman"/>
        </w:rPr>
        <w:t xml:space="preserve">he number of virulence genes within the clinical and environmental sub-populations. </w:t>
      </w:r>
      <w:r>
        <w:rPr>
          <w:rFonts w:eastAsia="Times New Roman"/>
        </w:rPr>
        <w:t xml:space="preserve">The symbol </w:t>
      </w:r>
      <w:r w:rsidRPr="00C70A53">
        <w:rPr>
          <w:rFonts w:eastAsia="Times New Roman"/>
        </w:rPr>
        <w:t xml:space="preserve">*** </w:t>
      </w:r>
      <w:r>
        <w:rPr>
          <w:rFonts w:eastAsia="Times New Roman"/>
        </w:rPr>
        <w:t>denotes</w:t>
      </w:r>
      <w:r w:rsidRPr="00C70A53">
        <w:rPr>
          <w:rFonts w:eastAsia="Times New Roman"/>
        </w:rPr>
        <w:t xml:space="preserve"> that the difference between </w:t>
      </w:r>
      <w:r>
        <w:rPr>
          <w:rFonts w:eastAsia="Times New Roman"/>
        </w:rPr>
        <w:t>the two was</w:t>
      </w:r>
      <w:r w:rsidRPr="00C70A53">
        <w:rPr>
          <w:rFonts w:eastAsia="Times New Roman"/>
        </w:rPr>
        <w:t xml:space="preserve"> significant at p-value &lt;10</w:t>
      </w:r>
      <w:r w:rsidRPr="00C70A53">
        <w:rPr>
          <w:rFonts w:eastAsia="Times New Roman"/>
          <w:vertAlign w:val="superscript"/>
        </w:rPr>
        <w:t>-3</w:t>
      </w:r>
      <w:r w:rsidR="00E60418">
        <w:rPr>
          <w:rFonts w:eastAsia="Times New Roman"/>
          <w:vertAlign w:val="superscript"/>
        </w:rPr>
        <w:t xml:space="preserve"> </w:t>
      </w:r>
      <w:r w:rsidR="00E60418">
        <w:rPr>
          <w:rFonts w:eastAsia="Times New Roman"/>
        </w:rPr>
        <w:t>(</w:t>
      </w:r>
      <w:r w:rsidR="00CE3C06">
        <w:rPr>
          <w:rFonts w:eastAsia="Times New Roman"/>
        </w:rPr>
        <w:t xml:space="preserve">obtained </w:t>
      </w:r>
      <w:r w:rsidR="003A73E4">
        <w:rPr>
          <w:rFonts w:eastAsia="Times New Roman"/>
        </w:rPr>
        <w:t xml:space="preserve">from </w:t>
      </w:r>
      <w:r w:rsidR="00607ECA">
        <w:rPr>
          <w:rFonts w:eastAsia="Times New Roman"/>
        </w:rPr>
        <w:t>Student’s t-</w:t>
      </w:r>
      <w:r w:rsidR="003A73E4">
        <w:rPr>
          <w:rFonts w:eastAsia="Times New Roman"/>
        </w:rPr>
        <w:t xml:space="preserve">test, testing </w:t>
      </w:r>
      <w:r w:rsidR="00E60418">
        <w:rPr>
          <w:rFonts w:eastAsia="Times New Roman"/>
        </w:rPr>
        <w:t>mean difference)</w:t>
      </w:r>
      <w:r w:rsidRPr="00C70A53">
        <w:rPr>
          <w:rFonts w:eastAsia="Times New Roman"/>
        </w:rPr>
        <w:t>.</w:t>
      </w:r>
      <w:r w:rsidR="00EB73C4" w:rsidRPr="00EB73C4">
        <w:rPr>
          <w:rFonts w:eastAsia="Times New Roman"/>
        </w:rPr>
        <w:t xml:space="preserve"> </w:t>
      </w:r>
      <w:r w:rsidR="00EB73C4">
        <w:rPr>
          <w:rFonts w:eastAsia="Times New Roman"/>
        </w:rPr>
        <w:t xml:space="preserve">The barplots show the relative frequency of each gene in the clinical (green) and environmental (red) sub-populations for each gene. </w:t>
      </w:r>
    </w:p>
    <w:p w14:paraId="5B986111" w14:textId="7F95AD79" w:rsidR="009D02BC" w:rsidRPr="00C70A53" w:rsidRDefault="00801903" w:rsidP="00C71808">
      <w:pPr>
        <w:spacing w:line="480" w:lineRule="auto"/>
        <w:ind w:hanging="1800"/>
        <w:jc w:val="both"/>
        <w:rPr>
          <w:rFonts w:eastAsia="Times New Roman"/>
        </w:rPr>
      </w:pPr>
      <w:r w:rsidRPr="00801903">
        <w:rPr>
          <w:rFonts w:eastAsia="Times New Roman"/>
          <w:noProof/>
        </w:rPr>
        <w:drawing>
          <wp:inline distT="0" distB="0" distL="0" distR="0" wp14:anchorId="2C2CFAF0" wp14:editId="51EC1CF5">
            <wp:extent cx="7480935" cy="5610701"/>
            <wp:effectExtent l="0" t="0" r="1206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4303" cy="5620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0A4A9" w14:textId="77777777" w:rsidR="009D02BC" w:rsidRPr="00C70A53" w:rsidRDefault="009D02BC" w:rsidP="009D02BC">
      <w:pPr>
        <w:spacing w:line="480" w:lineRule="auto"/>
        <w:jc w:val="both"/>
        <w:rPr>
          <w:rFonts w:eastAsia="Times New Roman"/>
        </w:rPr>
      </w:pPr>
      <w:r w:rsidRPr="00C70A53">
        <w:rPr>
          <w:rFonts w:eastAsia="Times New Roman"/>
        </w:rPr>
        <w:t xml:space="preserve">Figure S3 Correlogram of MIC values for different antibiotics. The blue and red colors correspond to positive and negative correlations, respectively. B) The </w:t>
      </w:r>
      <w:r>
        <w:rPr>
          <w:rFonts w:eastAsia="Times New Roman"/>
        </w:rPr>
        <w:t>resistance pattern f</w:t>
      </w:r>
      <w:r w:rsidRPr="00C70A53">
        <w:rPr>
          <w:rFonts w:eastAsia="Times New Roman"/>
        </w:rPr>
        <w:t xml:space="preserve">or antibiotics </w:t>
      </w:r>
      <w:r>
        <w:rPr>
          <w:rFonts w:eastAsia="Times New Roman"/>
        </w:rPr>
        <w:t>tested</w:t>
      </w:r>
      <w:r w:rsidRPr="00C70A53">
        <w:rPr>
          <w:rFonts w:eastAsia="Times New Roman"/>
        </w:rPr>
        <w:t xml:space="preserve"> in this study. </w:t>
      </w:r>
    </w:p>
    <w:p w14:paraId="0249DF49" w14:textId="77777777" w:rsidR="009D02BC" w:rsidRDefault="009D02BC" w:rsidP="009D02BC">
      <w:pPr>
        <w:spacing w:line="480" w:lineRule="auto"/>
        <w:jc w:val="both"/>
        <w:rPr>
          <w:rFonts w:eastAsia="Times New Roman"/>
        </w:rPr>
      </w:pPr>
    </w:p>
    <w:p w14:paraId="6F181AD4" w14:textId="77777777" w:rsidR="00F45E7B" w:rsidRDefault="00F45E7B" w:rsidP="009D02BC">
      <w:pPr>
        <w:spacing w:line="480" w:lineRule="auto"/>
        <w:jc w:val="both"/>
        <w:rPr>
          <w:rFonts w:eastAsia="Times New Roman"/>
        </w:rPr>
      </w:pPr>
    </w:p>
    <w:p w14:paraId="0ACA29BC" w14:textId="77777777" w:rsidR="00F45E7B" w:rsidRDefault="00F45E7B" w:rsidP="009D02BC">
      <w:pPr>
        <w:spacing w:line="480" w:lineRule="auto"/>
        <w:jc w:val="both"/>
        <w:rPr>
          <w:rFonts w:eastAsia="Times New Roman"/>
        </w:rPr>
      </w:pPr>
    </w:p>
    <w:p w14:paraId="08AFC85F" w14:textId="77777777" w:rsidR="00F45E7B" w:rsidRDefault="00F45E7B" w:rsidP="009D02BC">
      <w:pPr>
        <w:spacing w:line="480" w:lineRule="auto"/>
        <w:jc w:val="both"/>
        <w:rPr>
          <w:rFonts w:eastAsia="Times New Roman"/>
        </w:rPr>
      </w:pPr>
    </w:p>
    <w:p w14:paraId="5AA6AB65" w14:textId="77777777" w:rsidR="00F45E7B" w:rsidRDefault="00F45E7B" w:rsidP="009D02BC">
      <w:pPr>
        <w:spacing w:line="480" w:lineRule="auto"/>
        <w:jc w:val="both"/>
        <w:rPr>
          <w:rFonts w:eastAsia="Times New Roman"/>
        </w:rPr>
      </w:pPr>
    </w:p>
    <w:p w14:paraId="470A1516" w14:textId="77777777" w:rsidR="00F45E7B" w:rsidRDefault="00F45E7B" w:rsidP="009D02BC">
      <w:pPr>
        <w:spacing w:line="480" w:lineRule="auto"/>
        <w:jc w:val="both"/>
        <w:rPr>
          <w:rFonts w:eastAsia="Times New Roman"/>
        </w:rPr>
      </w:pPr>
    </w:p>
    <w:p w14:paraId="145713D2" w14:textId="77777777" w:rsidR="00F45E7B" w:rsidRDefault="00F45E7B" w:rsidP="009D02BC">
      <w:pPr>
        <w:spacing w:line="480" w:lineRule="auto"/>
        <w:jc w:val="both"/>
        <w:rPr>
          <w:rFonts w:eastAsia="Times New Roman"/>
        </w:rPr>
      </w:pPr>
    </w:p>
    <w:p w14:paraId="6BA026FE" w14:textId="3162D8A0" w:rsidR="00F45E7B" w:rsidRPr="00C70A53" w:rsidRDefault="001D5C2A" w:rsidP="00893069">
      <w:pPr>
        <w:spacing w:line="480" w:lineRule="auto"/>
        <w:ind w:hanging="1620"/>
        <w:jc w:val="both"/>
        <w:rPr>
          <w:rFonts w:eastAsia="Times New Roman"/>
        </w:rPr>
      </w:pPr>
      <w:r w:rsidRPr="001D5C2A">
        <w:rPr>
          <w:rFonts w:eastAsia="Times New Roman"/>
          <w:noProof/>
        </w:rPr>
        <w:drawing>
          <wp:inline distT="0" distB="0" distL="0" distR="0" wp14:anchorId="381D4CB7" wp14:editId="6264A7E0">
            <wp:extent cx="7252335" cy="5439250"/>
            <wp:effectExtent l="0" t="0" r="1206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85615" cy="546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7989B" w14:textId="77777777" w:rsidR="009D02BC" w:rsidRPr="00C70A53" w:rsidRDefault="009D02BC" w:rsidP="009D02BC">
      <w:pPr>
        <w:spacing w:line="480" w:lineRule="auto"/>
        <w:jc w:val="both"/>
        <w:rPr>
          <w:rFonts w:eastAsia="Times New Roman"/>
        </w:rPr>
      </w:pPr>
      <w:r w:rsidRPr="00C70A53">
        <w:rPr>
          <w:rFonts w:eastAsia="Times New Roman"/>
        </w:rPr>
        <w:t xml:space="preserve">Figure S4 Distribution of MIC values across the phylogenetic tree. The first column shows the isolation origin of the isolate. B) The distribution of resistance/intermediate/susceptible phenotypes across the phylogenetic tree. </w:t>
      </w:r>
    </w:p>
    <w:p w14:paraId="29766F25" w14:textId="77777777" w:rsidR="009D02BC" w:rsidRDefault="009D02BC" w:rsidP="009D02BC">
      <w:pPr>
        <w:spacing w:line="480" w:lineRule="auto"/>
        <w:jc w:val="both"/>
        <w:rPr>
          <w:rFonts w:eastAsia="Times New Roman"/>
        </w:rPr>
      </w:pPr>
    </w:p>
    <w:p w14:paraId="0A0EE19E" w14:textId="77777777" w:rsidR="006105D9" w:rsidRDefault="006105D9" w:rsidP="009D02BC">
      <w:pPr>
        <w:spacing w:line="480" w:lineRule="auto"/>
        <w:jc w:val="both"/>
        <w:rPr>
          <w:rFonts w:eastAsia="Times New Roman"/>
        </w:rPr>
      </w:pPr>
    </w:p>
    <w:p w14:paraId="77F2272A" w14:textId="77777777" w:rsidR="006105D9" w:rsidRDefault="006105D9" w:rsidP="009D02BC">
      <w:pPr>
        <w:spacing w:line="480" w:lineRule="auto"/>
        <w:jc w:val="both"/>
        <w:rPr>
          <w:rFonts w:eastAsia="Times New Roman"/>
        </w:rPr>
      </w:pPr>
    </w:p>
    <w:p w14:paraId="1FD55C03" w14:textId="77777777" w:rsidR="006105D9" w:rsidRDefault="006105D9" w:rsidP="009D02BC">
      <w:pPr>
        <w:spacing w:line="480" w:lineRule="auto"/>
        <w:jc w:val="both"/>
        <w:rPr>
          <w:rFonts w:eastAsia="Times New Roman"/>
        </w:rPr>
      </w:pPr>
    </w:p>
    <w:p w14:paraId="5737AC57" w14:textId="77777777" w:rsidR="006105D9" w:rsidRDefault="006105D9" w:rsidP="009D02BC">
      <w:pPr>
        <w:spacing w:line="480" w:lineRule="auto"/>
        <w:jc w:val="both"/>
        <w:rPr>
          <w:rFonts w:eastAsia="Times New Roman"/>
        </w:rPr>
      </w:pPr>
    </w:p>
    <w:p w14:paraId="0DDB69DD" w14:textId="77777777" w:rsidR="006105D9" w:rsidRDefault="006105D9" w:rsidP="009D02BC">
      <w:pPr>
        <w:spacing w:line="480" w:lineRule="auto"/>
        <w:jc w:val="both"/>
        <w:rPr>
          <w:rFonts w:eastAsia="Times New Roman"/>
        </w:rPr>
      </w:pPr>
    </w:p>
    <w:p w14:paraId="6C903D68" w14:textId="5544D6BD" w:rsidR="006105D9" w:rsidRPr="00C70A53" w:rsidRDefault="001D5C2A" w:rsidP="00893069">
      <w:pPr>
        <w:spacing w:line="480" w:lineRule="auto"/>
        <w:ind w:hanging="1800"/>
        <w:jc w:val="both"/>
        <w:rPr>
          <w:rFonts w:eastAsia="Times New Roman"/>
        </w:rPr>
      </w:pPr>
      <w:r w:rsidRPr="001D5C2A">
        <w:rPr>
          <w:rFonts w:eastAsia="Times New Roman"/>
          <w:noProof/>
        </w:rPr>
        <w:drawing>
          <wp:inline distT="0" distB="0" distL="0" distR="0" wp14:anchorId="4CEEEE18" wp14:editId="3C54C359">
            <wp:extent cx="7709535" cy="5782152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7646" cy="579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29A16" w14:textId="115B63D2" w:rsidR="009D02BC" w:rsidRDefault="009D02BC" w:rsidP="009D02BC">
      <w:pPr>
        <w:spacing w:line="480" w:lineRule="auto"/>
        <w:jc w:val="both"/>
        <w:rPr>
          <w:rFonts w:eastAsia="Times New Roman"/>
        </w:rPr>
      </w:pPr>
      <w:r w:rsidRPr="00C70A53">
        <w:rPr>
          <w:rFonts w:eastAsia="Times New Roman"/>
        </w:rPr>
        <w:t>Figure S5 MIC distributions for different antibiotics in the environmental and clinical sub-population.</w:t>
      </w:r>
      <w:r>
        <w:rPr>
          <w:rFonts w:eastAsia="Times New Roman"/>
        </w:rPr>
        <w:t xml:space="preserve"> The symbols</w:t>
      </w:r>
      <w:r w:rsidRPr="00C70A53">
        <w:rPr>
          <w:rFonts w:eastAsia="Times New Roman"/>
        </w:rPr>
        <w:t xml:space="preserve">  ** and *** </w:t>
      </w:r>
      <w:r>
        <w:rPr>
          <w:rFonts w:eastAsia="Times New Roman"/>
        </w:rPr>
        <w:t xml:space="preserve">denote that the difference between the two was </w:t>
      </w:r>
      <w:r w:rsidRPr="00C70A53">
        <w:rPr>
          <w:rFonts w:eastAsia="Times New Roman"/>
        </w:rPr>
        <w:t>significan</w:t>
      </w:r>
      <w:r>
        <w:rPr>
          <w:rFonts w:eastAsia="Times New Roman"/>
        </w:rPr>
        <w:t xml:space="preserve">t </w:t>
      </w:r>
      <w:r w:rsidRPr="00C70A53">
        <w:rPr>
          <w:rFonts w:eastAsia="Times New Roman"/>
        </w:rPr>
        <w:t>at p-value</w:t>
      </w:r>
      <w:r w:rsidR="00CE3C06">
        <w:rPr>
          <w:rFonts w:eastAsia="Times New Roman"/>
        </w:rPr>
        <w:t>s</w:t>
      </w:r>
      <w:r w:rsidRPr="00C70A53">
        <w:rPr>
          <w:rFonts w:eastAsia="Times New Roman"/>
        </w:rPr>
        <w:t xml:space="preserve"> 10</w:t>
      </w:r>
      <w:r w:rsidRPr="00C70A53">
        <w:rPr>
          <w:rFonts w:eastAsia="Times New Roman"/>
          <w:vertAlign w:val="superscript"/>
        </w:rPr>
        <w:t xml:space="preserve">-2 </w:t>
      </w:r>
      <w:r w:rsidRPr="00C70A53">
        <w:rPr>
          <w:rFonts w:eastAsia="Times New Roman"/>
        </w:rPr>
        <w:t>and 10</w:t>
      </w:r>
      <w:r w:rsidRPr="00C70A53">
        <w:rPr>
          <w:rFonts w:eastAsia="Times New Roman"/>
          <w:vertAlign w:val="superscript"/>
        </w:rPr>
        <w:t>-3</w:t>
      </w:r>
      <w:r w:rsidRPr="00C70A53">
        <w:rPr>
          <w:rFonts w:eastAsia="Times New Roman"/>
        </w:rPr>
        <w:t>, respectively</w:t>
      </w:r>
      <w:r w:rsidR="00CE3C06">
        <w:rPr>
          <w:rFonts w:eastAsia="Times New Roman"/>
        </w:rPr>
        <w:t xml:space="preserve"> (obtained from Student’s t-test, testing mean difference)</w:t>
      </w:r>
      <w:r w:rsidRPr="00C70A53">
        <w:rPr>
          <w:rFonts w:eastAsia="Times New Roman"/>
        </w:rPr>
        <w:t xml:space="preserve">. </w:t>
      </w:r>
    </w:p>
    <w:p w14:paraId="319CB295" w14:textId="580FBFD3" w:rsidR="00D66B45" w:rsidRPr="00C70A53" w:rsidRDefault="00A51559" w:rsidP="00C71808">
      <w:pPr>
        <w:spacing w:line="480" w:lineRule="auto"/>
        <w:ind w:hanging="1800"/>
        <w:jc w:val="both"/>
        <w:rPr>
          <w:rFonts w:eastAsia="Times New Roman"/>
        </w:rPr>
      </w:pPr>
      <w:r w:rsidRPr="00A51559">
        <w:rPr>
          <w:rFonts w:eastAsia="Times New Roman"/>
          <w:noProof/>
        </w:rPr>
        <w:drawing>
          <wp:inline distT="0" distB="0" distL="0" distR="0" wp14:anchorId="6F3EF44A" wp14:editId="26C6432B">
            <wp:extent cx="7480935" cy="5610701"/>
            <wp:effectExtent l="0" t="0" r="1206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91451" cy="5618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D3DF8" w14:textId="1EC52F8B" w:rsidR="00962EED" w:rsidRDefault="009D02BC" w:rsidP="005C3777">
      <w:pPr>
        <w:spacing w:line="480" w:lineRule="auto"/>
        <w:jc w:val="both"/>
        <w:rPr>
          <w:rFonts w:eastAsia="Times New Roman"/>
        </w:rPr>
      </w:pPr>
      <w:r w:rsidRPr="00C70A53">
        <w:rPr>
          <w:rFonts w:eastAsia="Times New Roman"/>
        </w:rPr>
        <w:t>Figure S</w:t>
      </w:r>
      <w:r>
        <w:rPr>
          <w:rFonts w:eastAsia="Times New Roman"/>
        </w:rPr>
        <w:t>6</w:t>
      </w:r>
      <w:r w:rsidRPr="00C70A53">
        <w:rPr>
          <w:rFonts w:eastAsia="Times New Roman"/>
        </w:rPr>
        <w:t xml:space="preserve"> </w:t>
      </w:r>
      <w:bookmarkStart w:id="0" w:name="_GoBack"/>
      <w:bookmarkEnd w:id="0"/>
      <w:r w:rsidRPr="00C70A53">
        <w:rPr>
          <w:rFonts w:eastAsia="Times New Roman"/>
        </w:rPr>
        <w:t>Distribution of antibiotic resistance</w:t>
      </w:r>
      <w:r>
        <w:rPr>
          <w:rFonts w:eastAsia="Times New Roman"/>
        </w:rPr>
        <w:t xml:space="preserve"> genes</w:t>
      </w:r>
      <w:r w:rsidRPr="00C70A53">
        <w:rPr>
          <w:rFonts w:eastAsia="Times New Roman"/>
        </w:rPr>
        <w:t xml:space="preserve"> across the phylogenetic tree. </w:t>
      </w:r>
      <w:r w:rsidR="001D5C2A">
        <w:rPr>
          <w:rFonts w:eastAsia="Times New Roman"/>
        </w:rPr>
        <w:t>The boxplot show t</w:t>
      </w:r>
      <w:r w:rsidRPr="00C70A53">
        <w:rPr>
          <w:rFonts w:eastAsia="Times New Roman"/>
        </w:rPr>
        <w:t>he number of antibiotic resistance genes within the clinical and environmental sub-populations</w:t>
      </w:r>
      <w:r w:rsidR="009C68C9">
        <w:rPr>
          <w:rFonts w:eastAsia="Times New Roman"/>
        </w:rPr>
        <w:t>. Group</w:t>
      </w:r>
      <w:r w:rsidR="00B508B4">
        <w:rPr>
          <w:rFonts w:eastAsia="Times New Roman"/>
        </w:rPr>
        <w:t xml:space="preserve">s </w:t>
      </w:r>
      <w:r w:rsidR="009C68C9">
        <w:rPr>
          <w:rFonts w:eastAsia="Times New Roman"/>
        </w:rPr>
        <w:t>1,</w:t>
      </w:r>
      <w:r w:rsidR="009E6486">
        <w:rPr>
          <w:rFonts w:eastAsia="Times New Roman"/>
        </w:rPr>
        <w:t xml:space="preserve"> </w:t>
      </w:r>
      <w:r w:rsidR="009C68C9">
        <w:rPr>
          <w:rFonts w:eastAsia="Times New Roman"/>
        </w:rPr>
        <w:t>2,</w:t>
      </w:r>
      <w:r w:rsidR="009E6486">
        <w:rPr>
          <w:rFonts w:eastAsia="Times New Roman"/>
        </w:rPr>
        <w:t xml:space="preserve"> </w:t>
      </w:r>
      <w:r w:rsidR="009C68C9">
        <w:rPr>
          <w:rFonts w:eastAsia="Times New Roman"/>
        </w:rPr>
        <w:t>3,</w:t>
      </w:r>
      <w:r w:rsidR="009E6486">
        <w:rPr>
          <w:rFonts w:eastAsia="Times New Roman"/>
        </w:rPr>
        <w:t xml:space="preserve"> </w:t>
      </w:r>
      <w:r w:rsidR="009C68C9">
        <w:rPr>
          <w:rFonts w:eastAsia="Times New Roman"/>
        </w:rPr>
        <w:t>4,</w:t>
      </w:r>
      <w:r w:rsidR="009E6486">
        <w:rPr>
          <w:rFonts w:eastAsia="Times New Roman"/>
        </w:rPr>
        <w:t xml:space="preserve"> </w:t>
      </w:r>
      <w:r w:rsidR="009C68C9">
        <w:rPr>
          <w:rFonts w:eastAsia="Times New Roman"/>
        </w:rPr>
        <w:t>5,</w:t>
      </w:r>
      <w:r w:rsidR="009E6486">
        <w:rPr>
          <w:rFonts w:eastAsia="Times New Roman"/>
        </w:rPr>
        <w:t xml:space="preserve"> </w:t>
      </w:r>
      <w:r w:rsidR="009C68C9">
        <w:rPr>
          <w:rFonts w:eastAsia="Times New Roman"/>
        </w:rPr>
        <w:t xml:space="preserve">6 and 7 correspond to beta-lactamases, fluoroquinolone, tetracycline, sulphonamides, aminoglycosides and other antibiotics resistance genes, respectively. </w:t>
      </w:r>
      <w:r w:rsidR="00893069">
        <w:rPr>
          <w:rFonts w:eastAsia="Times New Roman"/>
        </w:rPr>
        <w:t>The barplots show the relative frequency of each gene in the clinical (green) and environmental (red) sub-populations for each gene.</w:t>
      </w:r>
      <w:r w:rsidR="007B51A6">
        <w:rPr>
          <w:rFonts w:eastAsia="Times New Roman"/>
        </w:rPr>
        <w:t xml:space="preserve"> R.F. and AMR in the figure stand for relative frequency and antimicrobial resistance, respectively. </w:t>
      </w:r>
    </w:p>
    <w:p w14:paraId="6406F025" w14:textId="677D088F" w:rsidR="00A85F38" w:rsidRDefault="00A85F38"/>
    <w:sectPr w:rsidR="00A85F38" w:rsidSect="009C68C9">
      <w:footerReference w:type="even" r:id="rId12"/>
      <w:footerReference w:type="default" r:id="rId13"/>
      <w:pgSz w:w="11900" w:h="16840"/>
      <w:pgMar w:top="1440" w:right="182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FC572" w14:textId="77777777" w:rsidR="00791DDC" w:rsidRDefault="00791DDC" w:rsidP="00420E46">
      <w:r>
        <w:separator/>
      </w:r>
    </w:p>
  </w:endnote>
  <w:endnote w:type="continuationSeparator" w:id="0">
    <w:p w14:paraId="275F93D4" w14:textId="77777777" w:rsidR="00791DDC" w:rsidRDefault="00791DDC" w:rsidP="00420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F9AFD" w14:textId="77777777" w:rsidR="00962EED" w:rsidRDefault="00962EED" w:rsidP="00962E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898FC3" w14:textId="77777777" w:rsidR="00962EED" w:rsidRDefault="00962EED" w:rsidP="00420E4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F558F" w14:textId="77777777" w:rsidR="00962EED" w:rsidRDefault="00962EED" w:rsidP="00962E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1DDC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B22DB2" w14:textId="77777777" w:rsidR="00962EED" w:rsidRDefault="00962EED" w:rsidP="00420E4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1EBB1" w14:textId="77777777" w:rsidR="00791DDC" w:rsidRDefault="00791DDC" w:rsidP="00420E46">
      <w:r>
        <w:separator/>
      </w:r>
    </w:p>
  </w:footnote>
  <w:footnote w:type="continuationSeparator" w:id="0">
    <w:p w14:paraId="36D08F59" w14:textId="77777777" w:rsidR="00791DDC" w:rsidRDefault="00791DDC" w:rsidP="00420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BC"/>
    <w:rsid w:val="000D04D0"/>
    <w:rsid w:val="000F1AE3"/>
    <w:rsid w:val="00180CAF"/>
    <w:rsid w:val="00192210"/>
    <w:rsid w:val="001D5C2A"/>
    <w:rsid w:val="002A2AFE"/>
    <w:rsid w:val="002B0C4A"/>
    <w:rsid w:val="00304F06"/>
    <w:rsid w:val="0032704B"/>
    <w:rsid w:val="00395FA4"/>
    <w:rsid w:val="003A73E4"/>
    <w:rsid w:val="00401C6A"/>
    <w:rsid w:val="00420E46"/>
    <w:rsid w:val="00526996"/>
    <w:rsid w:val="00543C5B"/>
    <w:rsid w:val="005C3777"/>
    <w:rsid w:val="00607ECA"/>
    <w:rsid w:val="006105D9"/>
    <w:rsid w:val="006C5213"/>
    <w:rsid w:val="006E2D00"/>
    <w:rsid w:val="00787011"/>
    <w:rsid w:val="00791DDC"/>
    <w:rsid w:val="007B51A6"/>
    <w:rsid w:val="007F1E70"/>
    <w:rsid w:val="00801903"/>
    <w:rsid w:val="00813C47"/>
    <w:rsid w:val="00893069"/>
    <w:rsid w:val="009321B9"/>
    <w:rsid w:val="009333D8"/>
    <w:rsid w:val="00962EED"/>
    <w:rsid w:val="009C68C9"/>
    <w:rsid w:val="009D02BC"/>
    <w:rsid w:val="009E0DAA"/>
    <w:rsid w:val="009E6486"/>
    <w:rsid w:val="00A1375B"/>
    <w:rsid w:val="00A51559"/>
    <w:rsid w:val="00A85F38"/>
    <w:rsid w:val="00AF15BC"/>
    <w:rsid w:val="00B27778"/>
    <w:rsid w:val="00B508B4"/>
    <w:rsid w:val="00B51033"/>
    <w:rsid w:val="00C40BAD"/>
    <w:rsid w:val="00C71808"/>
    <w:rsid w:val="00CE3C06"/>
    <w:rsid w:val="00CE5D8A"/>
    <w:rsid w:val="00D66B45"/>
    <w:rsid w:val="00DB42BD"/>
    <w:rsid w:val="00E60418"/>
    <w:rsid w:val="00E65933"/>
    <w:rsid w:val="00EB73C4"/>
    <w:rsid w:val="00F45E7B"/>
    <w:rsid w:val="00F81005"/>
    <w:rsid w:val="00FA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3E246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2BC"/>
    <w:rPr>
      <w:rFonts w:ascii="Times New Roman" w:eastAsiaTheme="minorHAnsi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wrro">
    <w:name w:val="rwrro"/>
    <w:basedOn w:val="DefaultParagraphFont"/>
    <w:rsid w:val="00420E46"/>
  </w:style>
  <w:style w:type="paragraph" w:styleId="Footer">
    <w:name w:val="footer"/>
    <w:basedOn w:val="Normal"/>
    <w:link w:val="FooterChar"/>
    <w:uiPriority w:val="99"/>
    <w:unhideWhenUsed/>
    <w:rsid w:val="00420E4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E46"/>
    <w:rPr>
      <w:rFonts w:ascii="Times New Roman" w:eastAsiaTheme="minorHAnsi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420E46"/>
  </w:style>
  <w:style w:type="paragraph" w:styleId="BalloonText">
    <w:name w:val="Balloon Text"/>
    <w:basedOn w:val="Normal"/>
    <w:link w:val="BalloonTextChar"/>
    <w:uiPriority w:val="99"/>
    <w:semiHidden/>
    <w:unhideWhenUsed/>
    <w:rsid w:val="00CE5D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D8A"/>
    <w:rPr>
      <w:rFonts w:ascii="Lucida Grande" w:eastAsiaTheme="minorHAnsi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364</Words>
  <Characters>2075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sanger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 Moradigaravand</dc:creator>
  <cp:keywords/>
  <dc:description/>
  <cp:lastModifiedBy>Microsoft Office User</cp:lastModifiedBy>
  <cp:revision>3</cp:revision>
  <cp:lastPrinted>2016-12-30T18:05:00Z</cp:lastPrinted>
  <dcterms:created xsi:type="dcterms:W3CDTF">2016-12-30T18:06:00Z</dcterms:created>
  <dcterms:modified xsi:type="dcterms:W3CDTF">2016-12-30T18:45:00Z</dcterms:modified>
</cp:coreProperties>
</file>