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8BD71" w14:textId="49612C1B" w:rsidR="00954736" w:rsidRPr="00D13D17" w:rsidRDefault="00BA3E68" w:rsidP="00D13D17">
      <w:pPr>
        <w:spacing w:line="360" w:lineRule="auto"/>
        <w:jc w:val="both"/>
        <w:rPr>
          <w:rFonts w:ascii="Arial" w:hAnsi="Arial" w:cs="Arial"/>
          <w:b/>
        </w:rPr>
      </w:pPr>
      <w:r w:rsidRPr="00D13D17">
        <w:rPr>
          <w:rFonts w:ascii="Arial" w:hAnsi="Arial" w:cs="Arial"/>
          <w:b/>
        </w:rPr>
        <w:t xml:space="preserve">Bowling et al.:  </w:t>
      </w:r>
      <w:r w:rsidR="002C415F" w:rsidRPr="00D13D17">
        <w:rPr>
          <w:rFonts w:ascii="Arial" w:hAnsi="Arial" w:cs="Arial"/>
          <w:b/>
        </w:rPr>
        <w:t>Supplementary Information</w:t>
      </w:r>
    </w:p>
    <w:p w14:paraId="1F25C4F7" w14:textId="77777777" w:rsidR="00170A15" w:rsidRPr="00D13D17" w:rsidRDefault="00170A15" w:rsidP="00D13D17">
      <w:pPr>
        <w:spacing w:line="360" w:lineRule="auto"/>
        <w:jc w:val="both"/>
        <w:rPr>
          <w:rFonts w:ascii="Arial" w:hAnsi="Arial" w:cs="Arial"/>
        </w:rPr>
      </w:pPr>
    </w:p>
    <w:p w14:paraId="37284EF9" w14:textId="69BC4C7D" w:rsidR="00954736" w:rsidRPr="00D13D17" w:rsidRDefault="00954736" w:rsidP="00D13D17">
      <w:pPr>
        <w:spacing w:line="360" w:lineRule="auto"/>
        <w:jc w:val="both"/>
        <w:rPr>
          <w:rFonts w:ascii="Arial" w:hAnsi="Arial" w:cs="Arial"/>
        </w:rPr>
      </w:pPr>
      <w:r w:rsidRPr="00D13D17">
        <w:rPr>
          <w:rFonts w:ascii="Arial" w:hAnsi="Arial" w:cs="Arial"/>
        </w:rPr>
        <w:t>Supplemental Tables can be found as a separate file</w:t>
      </w:r>
      <w:r w:rsidR="00170A15" w:rsidRPr="00D13D17">
        <w:rPr>
          <w:rFonts w:ascii="Arial" w:hAnsi="Arial" w:cs="Arial"/>
        </w:rPr>
        <w:t xml:space="preserve">.  </w:t>
      </w:r>
    </w:p>
    <w:p w14:paraId="7797D6E5" w14:textId="78DA0BD5" w:rsidR="00AD06ED" w:rsidRPr="00D13D17" w:rsidRDefault="00AD06ED" w:rsidP="00D13D17">
      <w:pPr>
        <w:spacing w:line="360" w:lineRule="auto"/>
        <w:jc w:val="both"/>
        <w:rPr>
          <w:rFonts w:ascii="Arial" w:hAnsi="Arial" w:cs="Arial"/>
        </w:rPr>
      </w:pPr>
    </w:p>
    <w:p w14:paraId="7499514A" w14:textId="118B2F8A" w:rsidR="008B04A0" w:rsidRPr="00D13D17" w:rsidRDefault="00AD06ED" w:rsidP="00D13D17">
      <w:pPr>
        <w:pStyle w:val="Caption"/>
        <w:spacing w:line="360" w:lineRule="auto"/>
        <w:jc w:val="both"/>
        <w:rPr>
          <w:rFonts w:ascii="Arial" w:hAnsi="Arial" w:cs="Arial"/>
          <w:color w:val="auto"/>
          <w:sz w:val="24"/>
          <w:szCs w:val="24"/>
        </w:rPr>
      </w:pPr>
      <w:r w:rsidRPr="00D13D17">
        <w:rPr>
          <w:rFonts w:ascii="Arial" w:hAnsi="Arial" w:cs="Arial"/>
          <w:color w:val="auto"/>
          <w:sz w:val="24"/>
          <w:szCs w:val="24"/>
        </w:rPr>
        <w:t>Supplemental Methods</w:t>
      </w:r>
    </w:p>
    <w:p w14:paraId="3ACA4C37" w14:textId="1114D1FC" w:rsidR="00584003" w:rsidRPr="00D13D17" w:rsidRDefault="00584003" w:rsidP="00D13D17">
      <w:pPr>
        <w:spacing w:before="120" w:line="360" w:lineRule="auto"/>
        <w:jc w:val="both"/>
        <w:rPr>
          <w:rFonts w:ascii="Arial" w:hAnsi="Arial" w:cs="Arial"/>
          <w:b/>
        </w:rPr>
      </w:pPr>
      <w:r w:rsidRPr="00D13D17">
        <w:rPr>
          <w:rFonts w:ascii="Arial" w:hAnsi="Arial" w:cs="Arial"/>
          <w:b/>
        </w:rPr>
        <w:t>Sample Inclusion Criteria</w:t>
      </w:r>
    </w:p>
    <w:p w14:paraId="647C641F" w14:textId="7D27960D" w:rsidR="00584003" w:rsidRPr="00D13D17" w:rsidRDefault="00584003" w:rsidP="00D13D17">
      <w:pPr>
        <w:spacing w:line="360" w:lineRule="auto"/>
        <w:jc w:val="both"/>
      </w:pPr>
      <w:r w:rsidRPr="00D13D17">
        <w:rPr>
          <w:rFonts w:ascii="Arial" w:hAnsi="Arial" w:cs="Arial"/>
        </w:rPr>
        <w:t>Psychological autopsies are completed on all samples prior to inclusion in the study. The primary purpose of the psychological autopsies is to classify decedents.  Classifications involve an extensive analysis of available data from multiple sources, including the medical examiner's conclusions, coroner's investigation, medical records, psychiatric records, toxicology results and 141-item family interviews.  Data from all or any combination of these sources are examined for information concerning details of death, psychopathology, symptom profile, substance use, physical health, medication use, educational background, employment history, and family history of psychiatric disorders and suicide.  For inclusion in this study, diagnosed samples were confirmed to suffer from MDD, BPD or SZ.  Controls were free of psychiatric illnesses and had no history of mental illness among first and second-order relatives.  All samples received independent diagnostic reviews to ensure agreement between clinical psychologist and psychiatrist. </w:t>
      </w:r>
    </w:p>
    <w:p w14:paraId="43696F86" w14:textId="77777777" w:rsidR="00D46A3C" w:rsidRDefault="00D46A3C" w:rsidP="00F62A94">
      <w:pPr>
        <w:spacing w:line="360" w:lineRule="auto"/>
        <w:jc w:val="both"/>
        <w:rPr>
          <w:rFonts w:ascii="Helvetica" w:hAnsi="Helvetica" w:cs="Helvetica"/>
        </w:rPr>
      </w:pPr>
      <w:bookmarkStart w:id="0" w:name="_GoBack"/>
      <w:bookmarkEnd w:id="0"/>
    </w:p>
    <w:p w14:paraId="5067B480" w14:textId="01235466" w:rsidR="00D46A3C" w:rsidRPr="00D46A3C" w:rsidRDefault="00D46A3C" w:rsidP="00F62A94">
      <w:pPr>
        <w:jc w:val="both"/>
        <w:rPr>
          <w:b/>
        </w:rPr>
      </w:pPr>
      <w:r>
        <w:rPr>
          <w:b/>
        </w:rPr>
        <w:t>Metabolomics</w:t>
      </w:r>
    </w:p>
    <w:p w14:paraId="2E74E6F5" w14:textId="77777777" w:rsidR="006A7FDA" w:rsidRPr="00B672CA" w:rsidRDefault="006A7FDA" w:rsidP="00F62A94">
      <w:pPr>
        <w:spacing w:before="120" w:line="360" w:lineRule="auto"/>
        <w:jc w:val="both"/>
        <w:rPr>
          <w:rFonts w:ascii="Arial" w:hAnsi="Arial" w:cs="Arial"/>
          <w:i/>
        </w:rPr>
      </w:pPr>
      <w:r w:rsidRPr="00B672CA">
        <w:rPr>
          <w:rFonts w:ascii="Arial" w:hAnsi="Arial" w:cs="Arial"/>
          <w:i/>
        </w:rPr>
        <w:t>Sample preparation</w:t>
      </w:r>
    </w:p>
    <w:p w14:paraId="55CD18D9" w14:textId="3737498D" w:rsidR="006A7FDA" w:rsidRPr="00B672CA" w:rsidRDefault="006A7FDA" w:rsidP="00F62A94">
      <w:pPr>
        <w:spacing w:before="120" w:line="360" w:lineRule="auto"/>
        <w:jc w:val="both"/>
        <w:rPr>
          <w:rFonts w:ascii="Arial" w:hAnsi="Arial" w:cs="Arial"/>
        </w:rPr>
      </w:pPr>
      <w:r w:rsidRPr="00B672CA">
        <w:rPr>
          <w:rFonts w:ascii="Arial" w:hAnsi="Arial" w:cs="Arial"/>
        </w:rPr>
        <w:t xml:space="preserve">Sections of approximately 100mg of frozen tissue were weighed and homogenized for 45 seconds at 6.5M/s with ceramic beads in 1mL of 50% methanol using the MP FastPrep-24 homogenizer (MP </w:t>
      </w:r>
      <w:proofErr w:type="spellStart"/>
      <w:r w:rsidRPr="00B672CA">
        <w:rPr>
          <w:rFonts w:ascii="Arial" w:hAnsi="Arial" w:cs="Arial"/>
        </w:rPr>
        <w:t>Biomedicals</w:t>
      </w:r>
      <w:proofErr w:type="spellEnd"/>
      <w:r w:rsidRPr="00B672CA">
        <w:rPr>
          <w:rFonts w:ascii="Arial" w:hAnsi="Arial" w:cs="Arial"/>
        </w:rPr>
        <w:t>).  We immediately returned the samples to ice on a shaker table at 8</w:t>
      </w:r>
      <w:r w:rsidRPr="00B672CA">
        <w:rPr>
          <w:rFonts w:ascii="Arial" w:hAnsi="Arial" w:cs="Arial"/>
          <w:vertAlign w:val="superscript"/>
        </w:rPr>
        <w:t>o</w:t>
      </w:r>
      <w:r w:rsidRPr="00B672CA">
        <w:rPr>
          <w:rFonts w:ascii="Arial" w:hAnsi="Arial" w:cs="Arial"/>
        </w:rPr>
        <w:t>C for 30 minutes.  Samples were then incubated at -20</w:t>
      </w:r>
      <w:r w:rsidRPr="00B672CA">
        <w:rPr>
          <w:rFonts w:ascii="Arial" w:hAnsi="Arial" w:cs="Arial"/>
          <w:vertAlign w:val="superscript"/>
        </w:rPr>
        <w:t>o</w:t>
      </w:r>
      <w:r w:rsidRPr="00B672CA">
        <w:rPr>
          <w:rFonts w:ascii="Arial" w:hAnsi="Arial" w:cs="Arial"/>
        </w:rPr>
        <w:t>C for one hour and centrifuged at 12000</w:t>
      </w:r>
      <w:r>
        <w:rPr>
          <w:rFonts w:ascii="Arial" w:hAnsi="Arial" w:cs="Arial"/>
        </w:rPr>
        <w:t xml:space="preserve"> </w:t>
      </w:r>
      <w:r w:rsidRPr="00B672CA">
        <w:rPr>
          <w:rFonts w:ascii="Arial" w:hAnsi="Arial" w:cs="Arial"/>
        </w:rPr>
        <w:t>rpm for 10 min.  Supernatant was stored at -80</w:t>
      </w:r>
      <w:r w:rsidRPr="00B672CA">
        <w:rPr>
          <w:rFonts w:ascii="Arial" w:hAnsi="Arial" w:cs="Arial"/>
          <w:vertAlign w:val="superscript"/>
        </w:rPr>
        <w:t>o</w:t>
      </w:r>
      <w:r w:rsidRPr="00B672CA">
        <w:rPr>
          <w:rFonts w:ascii="Arial" w:hAnsi="Arial" w:cs="Arial"/>
        </w:rPr>
        <w:t xml:space="preserve">C until analysis. Tissue weights measured before homogenization were used to normalize input amount.  A </w:t>
      </w:r>
      <w:r w:rsidRPr="00B672CA">
        <w:rPr>
          <w:rFonts w:ascii="Arial" w:hAnsi="Arial" w:cs="Arial"/>
        </w:rPr>
        <w:lastRenderedPageBreak/>
        <w:t xml:space="preserve">sample volume equivalent to 10mg of initial tissue weight (i.e. 100 </w:t>
      </w:r>
      <w:r w:rsidRPr="00B672CA">
        <w:rPr>
          <w:rFonts w:ascii="Arial" w:hAnsi="Arial" w:cs="Arial"/>
          <w:color w:val="000000"/>
        </w:rPr>
        <w:t>μ</w:t>
      </w:r>
      <w:r w:rsidRPr="00B672CA">
        <w:rPr>
          <w:rFonts w:ascii="Arial" w:hAnsi="Arial" w:cs="Arial"/>
        </w:rPr>
        <w:t>L extract for 100mg starting tissue) was dried down at 55</w:t>
      </w:r>
      <w:r w:rsidRPr="00B672CA">
        <w:rPr>
          <w:rFonts w:ascii="Arial" w:hAnsi="Arial" w:cs="Arial"/>
          <w:vertAlign w:val="superscript"/>
        </w:rPr>
        <w:t>o</w:t>
      </w:r>
      <w:r w:rsidRPr="00B672CA">
        <w:rPr>
          <w:rFonts w:ascii="Arial" w:hAnsi="Arial" w:cs="Arial"/>
        </w:rPr>
        <w:t>C for 60 minutes using a vacuum concentrator system (</w:t>
      </w:r>
      <w:proofErr w:type="spellStart"/>
      <w:r w:rsidRPr="00B672CA">
        <w:rPr>
          <w:rFonts w:ascii="Arial" w:hAnsi="Arial" w:cs="Arial"/>
        </w:rPr>
        <w:t>Labconco</w:t>
      </w:r>
      <w:proofErr w:type="spellEnd"/>
      <w:r w:rsidRPr="00B672CA">
        <w:rPr>
          <w:rFonts w:ascii="Arial" w:hAnsi="Arial" w:cs="Arial"/>
        </w:rPr>
        <w:t xml:space="preserve">). We derivatized the samples by </w:t>
      </w:r>
      <w:proofErr w:type="spellStart"/>
      <w:r w:rsidRPr="00B672CA">
        <w:rPr>
          <w:rFonts w:ascii="Arial" w:hAnsi="Arial" w:cs="Arial"/>
        </w:rPr>
        <w:t>methyoximation</w:t>
      </w:r>
      <w:proofErr w:type="spellEnd"/>
      <w:r w:rsidRPr="00B672CA">
        <w:rPr>
          <w:rFonts w:ascii="Arial" w:hAnsi="Arial" w:cs="Arial"/>
        </w:rPr>
        <w:t>, adding 30</w:t>
      </w:r>
      <w:r w:rsidRPr="00B672CA">
        <w:rPr>
          <w:rFonts w:ascii="Arial" w:hAnsi="Arial" w:cs="Arial"/>
          <w:color w:val="000000"/>
        </w:rPr>
        <w:t>μ</w:t>
      </w:r>
      <w:r w:rsidRPr="00B672CA">
        <w:rPr>
          <w:rFonts w:ascii="Arial" w:hAnsi="Arial" w:cs="Arial"/>
        </w:rPr>
        <w:t xml:space="preserve">L of a 20mg/mL solution of </w:t>
      </w:r>
      <w:proofErr w:type="spellStart"/>
      <w:r w:rsidRPr="00B672CA">
        <w:rPr>
          <w:rFonts w:ascii="Arial" w:hAnsi="Arial" w:cs="Arial"/>
        </w:rPr>
        <w:t>methoxyamine</w:t>
      </w:r>
      <w:proofErr w:type="spellEnd"/>
      <w:r w:rsidRPr="00B672CA">
        <w:rPr>
          <w:rFonts w:ascii="Arial" w:hAnsi="Arial" w:cs="Arial"/>
        </w:rPr>
        <w:t xml:space="preserve"> in pyridine to the dried sample and incubating at 30</w:t>
      </w:r>
      <w:r w:rsidRPr="00B672CA">
        <w:rPr>
          <w:rFonts w:ascii="Arial" w:hAnsi="Arial" w:cs="Arial"/>
          <w:vertAlign w:val="superscript"/>
        </w:rPr>
        <w:t>o</w:t>
      </w:r>
      <w:r w:rsidRPr="00B672CA">
        <w:rPr>
          <w:rFonts w:ascii="Arial" w:hAnsi="Arial" w:cs="Arial"/>
        </w:rPr>
        <w:t xml:space="preserve">C for 30 minutes.  Next, we completed </w:t>
      </w:r>
      <w:proofErr w:type="spellStart"/>
      <w:r w:rsidRPr="00B672CA">
        <w:rPr>
          <w:rFonts w:ascii="Arial" w:hAnsi="Arial" w:cs="Arial"/>
        </w:rPr>
        <w:t>trimethylsilylation</w:t>
      </w:r>
      <w:proofErr w:type="spellEnd"/>
      <w:r w:rsidRPr="00B672CA">
        <w:rPr>
          <w:rFonts w:ascii="Arial" w:hAnsi="Arial" w:cs="Arial"/>
        </w:rPr>
        <w:t xml:space="preserve"> adding 70</w:t>
      </w:r>
      <w:r w:rsidRPr="00B672CA">
        <w:rPr>
          <w:rFonts w:ascii="Arial" w:hAnsi="Arial" w:cs="Arial"/>
          <w:color w:val="000000"/>
        </w:rPr>
        <w:t>μ</w:t>
      </w:r>
      <w:r w:rsidRPr="00B672CA">
        <w:rPr>
          <w:rFonts w:ascii="Arial" w:hAnsi="Arial" w:cs="Arial"/>
        </w:rPr>
        <w:t>L MSTFA with 1% TCMS (</w:t>
      </w:r>
      <w:proofErr w:type="spellStart"/>
      <w:r w:rsidRPr="00B672CA">
        <w:rPr>
          <w:rFonts w:ascii="Arial" w:hAnsi="Arial" w:cs="Arial"/>
        </w:rPr>
        <w:t>Restek</w:t>
      </w:r>
      <w:proofErr w:type="spellEnd"/>
      <w:r w:rsidRPr="00B672CA">
        <w:rPr>
          <w:rFonts w:ascii="Arial" w:hAnsi="Arial" w:cs="Arial"/>
        </w:rPr>
        <w:t>) and incubated at 60</w:t>
      </w:r>
      <w:r w:rsidRPr="00B672CA">
        <w:rPr>
          <w:rFonts w:ascii="Arial" w:hAnsi="Arial" w:cs="Arial"/>
          <w:vertAlign w:val="superscript"/>
        </w:rPr>
        <w:t>o</w:t>
      </w:r>
      <w:r w:rsidRPr="00B672CA">
        <w:rPr>
          <w:rFonts w:ascii="Arial" w:hAnsi="Arial" w:cs="Arial"/>
        </w:rPr>
        <w:t xml:space="preserve">C for 60 minutes. </w:t>
      </w:r>
    </w:p>
    <w:p w14:paraId="383F207D" w14:textId="77777777" w:rsidR="006A7FDA" w:rsidRPr="00B672CA" w:rsidRDefault="006A7FDA" w:rsidP="00F62A94">
      <w:pPr>
        <w:spacing w:before="120" w:line="360" w:lineRule="auto"/>
        <w:jc w:val="both"/>
        <w:rPr>
          <w:rFonts w:ascii="Arial" w:hAnsi="Arial" w:cs="Arial"/>
        </w:rPr>
      </w:pPr>
      <w:r w:rsidRPr="00B672CA">
        <w:rPr>
          <w:rFonts w:ascii="Arial" w:hAnsi="Arial" w:cs="Arial"/>
        </w:rPr>
        <w:t>We analyzed technical replicates of each tissue sample</w:t>
      </w:r>
      <w:r>
        <w:rPr>
          <w:rFonts w:ascii="Arial" w:hAnsi="Arial" w:cs="Arial"/>
        </w:rPr>
        <w:t>, in randomized order</w:t>
      </w:r>
      <w:r w:rsidRPr="00B672CA">
        <w:rPr>
          <w:rFonts w:ascii="Arial" w:hAnsi="Arial" w:cs="Arial"/>
        </w:rPr>
        <w:t xml:space="preserve">. </w:t>
      </w:r>
    </w:p>
    <w:p w14:paraId="68CE2536" w14:textId="77777777" w:rsidR="006A7FDA" w:rsidRPr="00B672CA" w:rsidRDefault="006A7FDA" w:rsidP="00F62A94">
      <w:pPr>
        <w:spacing w:before="120" w:line="360" w:lineRule="auto"/>
        <w:jc w:val="both"/>
        <w:rPr>
          <w:rFonts w:ascii="Arial" w:hAnsi="Arial" w:cs="Arial"/>
        </w:rPr>
      </w:pPr>
    </w:p>
    <w:p w14:paraId="47768599" w14:textId="77777777" w:rsidR="006A7FDA" w:rsidRPr="00B672CA" w:rsidRDefault="006A7FDA" w:rsidP="00F62A94">
      <w:pPr>
        <w:spacing w:before="120" w:line="360" w:lineRule="auto"/>
        <w:jc w:val="both"/>
        <w:rPr>
          <w:rFonts w:ascii="Arial" w:hAnsi="Arial" w:cs="Arial"/>
          <w:i/>
        </w:rPr>
      </w:pPr>
      <w:proofErr w:type="spellStart"/>
      <w:r>
        <w:rPr>
          <w:rFonts w:ascii="Arial" w:hAnsi="Arial" w:cs="Arial"/>
          <w:i/>
        </w:rPr>
        <w:t>GCxGC</w:t>
      </w:r>
      <w:proofErr w:type="spellEnd"/>
      <w:r>
        <w:rPr>
          <w:rFonts w:ascii="Arial" w:hAnsi="Arial" w:cs="Arial"/>
          <w:i/>
        </w:rPr>
        <w:t>-TOFMS</w:t>
      </w:r>
      <w:r w:rsidRPr="00B672CA">
        <w:rPr>
          <w:rFonts w:ascii="Arial" w:hAnsi="Arial" w:cs="Arial"/>
          <w:i/>
        </w:rPr>
        <w:t xml:space="preserve"> analysis</w:t>
      </w:r>
    </w:p>
    <w:p w14:paraId="28F01786" w14:textId="6AF2E5E0" w:rsidR="006A7FDA" w:rsidRPr="00B672CA" w:rsidRDefault="006A7FDA" w:rsidP="00F62A94">
      <w:pPr>
        <w:spacing w:before="120" w:line="360" w:lineRule="auto"/>
        <w:jc w:val="both"/>
        <w:rPr>
          <w:rFonts w:ascii="Arial" w:hAnsi="Arial" w:cs="Arial"/>
        </w:rPr>
      </w:pPr>
      <w:r w:rsidRPr="00B672CA">
        <w:rPr>
          <w:rFonts w:ascii="Arial" w:hAnsi="Arial" w:cs="Arial"/>
        </w:rPr>
        <w:t xml:space="preserve">All derivatized samples were analyzed on a </w:t>
      </w:r>
      <w:proofErr w:type="spellStart"/>
      <w:r w:rsidRPr="00B672CA">
        <w:rPr>
          <w:rFonts w:ascii="Arial" w:hAnsi="Arial" w:cs="Arial"/>
        </w:rPr>
        <w:t>Leco</w:t>
      </w:r>
      <w:proofErr w:type="spellEnd"/>
      <w:r w:rsidRPr="00B672CA">
        <w:rPr>
          <w:rFonts w:ascii="Arial" w:hAnsi="Arial" w:cs="Arial"/>
        </w:rPr>
        <w:t xml:space="preserve"> Pegasus 4D system (</w:t>
      </w:r>
      <w:proofErr w:type="spellStart"/>
      <w:r w:rsidRPr="00B672CA">
        <w:rPr>
          <w:rFonts w:ascii="Arial" w:hAnsi="Arial" w:cs="Arial"/>
        </w:rPr>
        <w:t>GCxGC</w:t>
      </w:r>
      <w:proofErr w:type="spellEnd"/>
      <w:r w:rsidRPr="00B672CA">
        <w:rPr>
          <w:rFonts w:ascii="Arial" w:hAnsi="Arial" w:cs="Arial"/>
        </w:rPr>
        <w:t xml:space="preserve">-TOFMS), controlled by the </w:t>
      </w:r>
      <w:proofErr w:type="spellStart"/>
      <w:r w:rsidRPr="00B672CA">
        <w:rPr>
          <w:rFonts w:ascii="Arial" w:hAnsi="Arial" w:cs="Arial"/>
        </w:rPr>
        <w:t>ChromaTof</w:t>
      </w:r>
      <w:proofErr w:type="spellEnd"/>
      <w:r w:rsidRPr="00B672CA">
        <w:rPr>
          <w:rFonts w:ascii="Arial" w:hAnsi="Arial" w:cs="Arial"/>
        </w:rPr>
        <w:t xml:space="preserve"> software. The primary column is a 20m x 0.25mm x 0.5</w:t>
      </w:r>
      <w:r w:rsidRPr="00B672CA">
        <w:rPr>
          <w:rFonts w:ascii="Arial" w:hAnsi="Arial" w:cs="Arial"/>
          <w:color w:val="000000"/>
        </w:rPr>
        <w:t xml:space="preserve">μm </w:t>
      </w:r>
      <w:r>
        <w:rPr>
          <w:rFonts w:ascii="Arial" w:hAnsi="Arial" w:cs="Arial"/>
          <w:color w:val="000000"/>
        </w:rPr>
        <w:t xml:space="preserve">with </w:t>
      </w:r>
      <w:r w:rsidRPr="00B672CA">
        <w:rPr>
          <w:rFonts w:ascii="Arial" w:hAnsi="Arial" w:cs="Arial"/>
          <w:color w:val="000000"/>
        </w:rPr>
        <w:t>RTX-5MS film (</w:t>
      </w:r>
      <w:proofErr w:type="spellStart"/>
      <w:r w:rsidRPr="00B672CA">
        <w:rPr>
          <w:rFonts w:ascii="Arial" w:hAnsi="Arial" w:cs="Arial"/>
          <w:color w:val="000000"/>
        </w:rPr>
        <w:t>Restek</w:t>
      </w:r>
      <w:proofErr w:type="spellEnd"/>
      <w:r w:rsidRPr="00B672CA">
        <w:rPr>
          <w:rFonts w:ascii="Arial" w:hAnsi="Arial" w:cs="Arial"/>
          <w:color w:val="000000"/>
        </w:rPr>
        <w:t>), and the secondary column is 2.5m x 0.18mm x 0.2μm RTX-200MS film (</w:t>
      </w:r>
      <w:proofErr w:type="spellStart"/>
      <w:r w:rsidRPr="00B672CA">
        <w:rPr>
          <w:rFonts w:ascii="Arial" w:hAnsi="Arial" w:cs="Arial"/>
          <w:color w:val="000000"/>
        </w:rPr>
        <w:t>Restek</w:t>
      </w:r>
      <w:proofErr w:type="spellEnd"/>
      <w:r w:rsidRPr="00B672CA">
        <w:rPr>
          <w:rFonts w:ascii="Arial" w:hAnsi="Arial" w:cs="Arial"/>
          <w:color w:val="000000"/>
        </w:rPr>
        <w:t xml:space="preserve">).  We </w:t>
      </w:r>
      <w:r>
        <w:rPr>
          <w:rFonts w:ascii="Arial" w:hAnsi="Arial" w:cs="Arial"/>
          <w:color w:val="000000"/>
        </w:rPr>
        <w:t>analyzed</w:t>
      </w:r>
      <w:r w:rsidRPr="00B672CA">
        <w:rPr>
          <w:rFonts w:ascii="Arial" w:hAnsi="Arial" w:cs="Arial"/>
          <w:color w:val="000000"/>
        </w:rPr>
        <w:t xml:space="preserve"> 1μL injections in split mode using a split ratio of 1:10.  Both the inlet and transfer line temperatures were 280</w:t>
      </w:r>
      <w:r w:rsidRPr="00B672CA">
        <w:rPr>
          <w:rFonts w:ascii="Arial" w:hAnsi="Arial" w:cs="Arial"/>
          <w:b/>
          <w:color w:val="000000"/>
        </w:rPr>
        <w:t>°</w:t>
      </w:r>
      <w:r w:rsidRPr="00B672CA">
        <w:rPr>
          <w:rFonts w:ascii="Arial" w:hAnsi="Arial" w:cs="Arial"/>
        </w:rPr>
        <w:t>C. The helium (carrier gas) flow rate was 1mL/min. Initial oven temperatures were 60</w:t>
      </w:r>
      <w:r w:rsidRPr="00B672CA">
        <w:rPr>
          <w:rFonts w:ascii="Arial" w:hAnsi="Arial" w:cs="Arial"/>
          <w:b/>
          <w:color w:val="000000"/>
        </w:rPr>
        <w:t>°</w:t>
      </w:r>
      <w:r w:rsidRPr="00B672CA">
        <w:rPr>
          <w:rFonts w:ascii="Arial" w:hAnsi="Arial" w:cs="Arial"/>
        </w:rPr>
        <w:t>C for the primary oven and 80</w:t>
      </w:r>
      <w:r w:rsidRPr="00B672CA">
        <w:rPr>
          <w:rFonts w:ascii="Arial" w:hAnsi="Arial" w:cs="Arial"/>
          <w:b/>
          <w:color w:val="000000"/>
        </w:rPr>
        <w:t>°</w:t>
      </w:r>
      <w:r w:rsidRPr="00B672CA">
        <w:rPr>
          <w:rFonts w:ascii="Arial" w:hAnsi="Arial" w:cs="Arial"/>
        </w:rPr>
        <w:t>C for the secondary oven, with the modulator temperature maintained at 15</w:t>
      </w:r>
      <w:r w:rsidRPr="00B672CA">
        <w:rPr>
          <w:rFonts w:ascii="Arial" w:hAnsi="Arial" w:cs="Arial"/>
          <w:b/>
          <w:color w:val="000000"/>
        </w:rPr>
        <w:t>°</w:t>
      </w:r>
      <w:r w:rsidRPr="00B672CA">
        <w:rPr>
          <w:rFonts w:ascii="Arial" w:hAnsi="Arial" w:cs="Arial"/>
        </w:rPr>
        <w:t>C above the primary oven temperature.  After a 1 minute hold, all oven temperatures were increased by 6</w:t>
      </w:r>
      <w:r w:rsidRPr="00B672CA">
        <w:rPr>
          <w:rFonts w:ascii="Arial" w:hAnsi="Arial" w:cs="Arial"/>
          <w:vertAlign w:val="superscript"/>
        </w:rPr>
        <w:t>o</w:t>
      </w:r>
      <w:r w:rsidRPr="00B672CA">
        <w:rPr>
          <w:rFonts w:ascii="Arial" w:hAnsi="Arial" w:cs="Arial"/>
        </w:rPr>
        <w:t>C/min for 18 minutes, then 5</w:t>
      </w:r>
      <w:r w:rsidRPr="00B672CA">
        <w:rPr>
          <w:rFonts w:ascii="Arial" w:hAnsi="Arial" w:cs="Arial"/>
          <w:vertAlign w:val="superscript"/>
        </w:rPr>
        <w:t>o</w:t>
      </w:r>
      <w:r w:rsidRPr="00B672CA">
        <w:rPr>
          <w:rFonts w:ascii="Arial" w:hAnsi="Arial" w:cs="Arial"/>
        </w:rPr>
        <w:t>C/min for 11 minutes, and finally 10</w:t>
      </w:r>
      <w:r w:rsidRPr="00B672CA">
        <w:rPr>
          <w:rFonts w:ascii="Arial" w:hAnsi="Arial" w:cs="Arial"/>
          <w:vertAlign w:val="superscript"/>
        </w:rPr>
        <w:t>o</w:t>
      </w:r>
      <w:r w:rsidRPr="00B672CA">
        <w:rPr>
          <w:rFonts w:ascii="Arial" w:hAnsi="Arial" w:cs="Arial"/>
        </w:rPr>
        <w:t>C/min for 8 minutes when the primary oven reached 300</w:t>
      </w:r>
      <w:r w:rsidRPr="00B672CA">
        <w:rPr>
          <w:rFonts w:ascii="Arial" w:hAnsi="Arial" w:cs="Arial"/>
          <w:vertAlign w:val="superscript"/>
        </w:rPr>
        <w:t>o</w:t>
      </w:r>
      <w:r w:rsidRPr="00B672CA">
        <w:rPr>
          <w:rFonts w:ascii="Arial" w:hAnsi="Arial" w:cs="Arial"/>
        </w:rPr>
        <w:t>C where it held for 12 minutes.  The modulation time for the second dimension was 5s with a 0.4s hot pulse and a 2.1s cold pulse.  The ion source temperature was 250</w:t>
      </w:r>
      <w:r w:rsidRPr="00B672CA">
        <w:rPr>
          <w:rFonts w:ascii="Arial" w:hAnsi="Arial" w:cs="Arial"/>
          <w:b/>
          <w:color w:val="000000"/>
        </w:rPr>
        <w:t>°</w:t>
      </w:r>
      <w:r w:rsidRPr="00B672CA">
        <w:rPr>
          <w:rFonts w:ascii="Arial" w:hAnsi="Arial" w:cs="Arial"/>
        </w:rPr>
        <w:t>C. Data were collected at 100 spectra/second after a 7</w:t>
      </w:r>
      <w:r w:rsidR="007C7CFF">
        <w:rPr>
          <w:rFonts w:ascii="Arial" w:hAnsi="Arial" w:cs="Arial"/>
        </w:rPr>
        <w:t>-</w:t>
      </w:r>
      <w:r w:rsidRPr="00B672CA">
        <w:rPr>
          <w:rFonts w:ascii="Arial" w:hAnsi="Arial" w:cs="Arial"/>
        </w:rPr>
        <w:t>minute solvent delay. The total run time for each sample was approximately 45 minutes.</w:t>
      </w:r>
    </w:p>
    <w:p w14:paraId="1DC33A76" w14:textId="77777777" w:rsidR="006A7FDA" w:rsidRPr="00B672CA" w:rsidRDefault="006A7FDA" w:rsidP="00F62A94">
      <w:pPr>
        <w:spacing w:before="120" w:line="360" w:lineRule="auto"/>
        <w:jc w:val="both"/>
        <w:rPr>
          <w:rFonts w:ascii="Arial" w:hAnsi="Arial" w:cs="Arial"/>
          <w:i/>
        </w:rPr>
      </w:pPr>
    </w:p>
    <w:p w14:paraId="65A67EFB" w14:textId="77777777" w:rsidR="006A7FDA" w:rsidRPr="00B672CA" w:rsidRDefault="006A7FDA" w:rsidP="00F62A94">
      <w:pPr>
        <w:spacing w:before="120" w:line="360" w:lineRule="auto"/>
        <w:jc w:val="both"/>
        <w:rPr>
          <w:rFonts w:ascii="Arial" w:hAnsi="Arial" w:cs="Arial"/>
          <w:i/>
        </w:rPr>
      </w:pPr>
      <w:r w:rsidRPr="00B672CA">
        <w:rPr>
          <w:rFonts w:ascii="Arial" w:hAnsi="Arial" w:cs="Arial"/>
          <w:i/>
        </w:rPr>
        <w:t>Data analysis and metabolite identification</w:t>
      </w:r>
    </w:p>
    <w:p w14:paraId="3F625347" w14:textId="1FF485A8" w:rsidR="006A7FDA" w:rsidRPr="00B672CA" w:rsidRDefault="006A7FDA" w:rsidP="00F62A94">
      <w:pPr>
        <w:spacing w:before="120" w:line="360" w:lineRule="auto"/>
        <w:jc w:val="both"/>
        <w:rPr>
          <w:rFonts w:ascii="Arial" w:hAnsi="Arial" w:cs="Arial"/>
        </w:rPr>
      </w:pPr>
      <w:r w:rsidRPr="00B672CA">
        <w:rPr>
          <w:rFonts w:ascii="Arial" w:hAnsi="Arial" w:cs="Arial"/>
        </w:rPr>
        <w:t xml:space="preserve">We used </w:t>
      </w:r>
      <w:proofErr w:type="spellStart"/>
      <w:r w:rsidRPr="00B672CA">
        <w:rPr>
          <w:rFonts w:ascii="Arial" w:hAnsi="Arial" w:cs="Arial"/>
        </w:rPr>
        <w:t>ChromaTOF</w:t>
      </w:r>
      <w:proofErr w:type="spellEnd"/>
      <w:r w:rsidRPr="00B672CA">
        <w:rPr>
          <w:rFonts w:ascii="Arial" w:hAnsi="Arial" w:cs="Arial"/>
        </w:rPr>
        <w:t xml:space="preserve"> 4.5 software (</w:t>
      </w:r>
      <w:proofErr w:type="spellStart"/>
      <w:r w:rsidRPr="00B672CA">
        <w:rPr>
          <w:rFonts w:ascii="Arial" w:hAnsi="Arial" w:cs="Arial"/>
        </w:rPr>
        <w:t>Leco</w:t>
      </w:r>
      <w:proofErr w:type="spellEnd"/>
      <w:r w:rsidRPr="00B672CA">
        <w:rPr>
          <w:rFonts w:ascii="Arial" w:hAnsi="Arial" w:cs="Arial"/>
        </w:rPr>
        <w:t xml:space="preserve">) for peak calling and </w:t>
      </w:r>
      <w:proofErr w:type="spellStart"/>
      <w:r w:rsidRPr="00B672CA">
        <w:rPr>
          <w:rFonts w:ascii="Arial" w:hAnsi="Arial" w:cs="Arial"/>
        </w:rPr>
        <w:t>deconvolution</w:t>
      </w:r>
      <w:proofErr w:type="spellEnd"/>
      <w:r w:rsidRPr="00B672CA">
        <w:rPr>
          <w:rFonts w:ascii="Arial" w:hAnsi="Arial" w:cs="Arial"/>
        </w:rPr>
        <w:t xml:space="preserve">.  Peaks were identified by spectral match using the NIST, GOLM, and </w:t>
      </w:r>
      <w:proofErr w:type="spellStart"/>
      <w:r w:rsidRPr="00B672CA">
        <w:rPr>
          <w:rFonts w:ascii="Arial" w:hAnsi="Arial" w:cs="Arial"/>
        </w:rPr>
        <w:t>Fiehn</w:t>
      </w:r>
      <w:proofErr w:type="spellEnd"/>
      <w:r w:rsidRPr="00B672CA">
        <w:rPr>
          <w:rFonts w:ascii="Arial" w:hAnsi="Arial" w:cs="Arial"/>
        </w:rPr>
        <w:t xml:space="preserve"> libraries (</w:t>
      </w:r>
      <w:proofErr w:type="spellStart"/>
      <w:r w:rsidRPr="00B672CA">
        <w:rPr>
          <w:rFonts w:ascii="Arial" w:hAnsi="Arial" w:cs="Arial"/>
        </w:rPr>
        <w:t>Leco</w:t>
      </w:r>
      <w:proofErr w:type="spellEnd"/>
      <w:r w:rsidRPr="00B672CA">
        <w:rPr>
          <w:rFonts w:ascii="Arial" w:hAnsi="Arial" w:cs="Arial"/>
        </w:rPr>
        <w:t xml:space="preserve">), and confirmed by running derivatized standards (Sigma). </w:t>
      </w:r>
    </w:p>
    <w:p w14:paraId="3A219A71" w14:textId="7BB320DF" w:rsidR="006A7FDA" w:rsidRPr="00B672CA" w:rsidRDefault="006A7FDA" w:rsidP="00F62A94">
      <w:pPr>
        <w:spacing w:before="120" w:line="360" w:lineRule="auto"/>
        <w:jc w:val="both"/>
        <w:rPr>
          <w:rFonts w:ascii="Arial" w:hAnsi="Arial" w:cs="Arial"/>
        </w:rPr>
      </w:pPr>
      <w:r w:rsidRPr="00B672CA">
        <w:rPr>
          <w:rFonts w:ascii="Arial" w:hAnsi="Arial" w:cs="Arial"/>
        </w:rPr>
        <w:t xml:space="preserve">To facilitate our untargeted metabolomic analysis, we created a reference that </w:t>
      </w:r>
      <w:proofErr w:type="spellStart"/>
      <w:r w:rsidRPr="00B672CA">
        <w:rPr>
          <w:rFonts w:ascii="Arial" w:hAnsi="Arial" w:cs="Arial"/>
        </w:rPr>
        <w:t>ChromaTOF</w:t>
      </w:r>
      <w:proofErr w:type="spellEnd"/>
      <w:r w:rsidRPr="00B672CA">
        <w:rPr>
          <w:rFonts w:ascii="Arial" w:hAnsi="Arial" w:cs="Arial"/>
        </w:rPr>
        <w:t xml:space="preserve"> used to compare each sample: sample peaks that match a reference peak are assigned the corresponding </w:t>
      </w:r>
      <w:proofErr w:type="spellStart"/>
      <w:r w:rsidRPr="00B672CA">
        <w:rPr>
          <w:rFonts w:ascii="Arial" w:hAnsi="Arial" w:cs="Arial"/>
        </w:rPr>
        <w:t>QuantMass</w:t>
      </w:r>
      <w:proofErr w:type="spellEnd"/>
      <w:r w:rsidRPr="00B672CA">
        <w:rPr>
          <w:rFonts w:ascii="Arial" w:hAnsi="Arial" w:cs="Arial"/>
        </w:rPr>
        <w:t xml:space="preserve"> to match the reference peak.  We then used the software pack</w:t>
      </w:r>
      <w:r w:rsidR="00A31B4A">
        <w:rPr>
          <w:rFonts w:ascii="Arial" w:hAnsi="Arial" w:cs="Arial"/>
        </w:rPr>
        <w:t xml:space="preserve">age </w:t>
      </w:r>
      <w:proofErr w:type="spellStart"/>
      <w:r w:rsidR="00A31B4A">
        <w:rPr>
          <w:rFonts w:ascii="Arial" w:hAnsi="Arial" w:cs="Arial"/>
        </w:rPr>
        <w:t>Guineu</w:t>
      </w:r>
      <w:proofErr w:type="spellEnd"/>
      <w:r w:rsidR="00A31B4A">
        <w:rPr>
          <w:rFonts w:ascii="Arial" w:hAnsi="Arial" w:cs="Arial"/>
        </w:rPr>
        <w:t xml:space="preserve"> v1.0 </w:t>
      </w:r>
      <w:r w:rsidRPr="00B672CA">
        <w:rPr>
          <w:rFonts w:ascii="Arial" w:hAnsi="Arial" w:cs="Arial"/>
        </w:rPr>
        <w:t xml:space="preserve">to align common variables among the individual sample files. </w:t>
      </w:r>
      <w:proofErr w:type="spellStart"/>
      <w:r w:rsidRPr="00B672CA">
        <w:rPr>
          <w:rFonts w:ascii="Arial" w:hAnsi="Arial" w:cs="Arial"/>
        </w:rPr>
        <w:t>Guineu</w:t>
      </w:r>
      <w:proofErr w:type="spellEnd"/>
      <w:r w:rsidRPr="00B672CA">
        <w:rPr>
          <w:rFonts w:ascii="Arial" w:hAnsi="Arial" w:cs="Arial"/>
        </w:rPr>
        <w:t xml:space="preserve"> parameters were: RT Lax 20.0, RT2 Lax 1.0, RT Penalty 25.0, RT2 Penalty 20.0, RTI penalty 0.0, Minimum Spectrum Match 0.5, Bonus for matching names 20.0, Drop peaks with similarity less than 500.0.  The output is a multi-way alignment merging all sample files to a single file with a relative metabolite quantitation for each sample.  An in-house </w:t>
      </w:r>
      <w:r>
        <w:rPr>
          <w:rFonts w:ascii="Arial" w:hAnsi="Arial" w:cs="Arial"/>
        </w:rPr>
        <w:t>script</w:t>
      </w:r>
      <w:r w:rsidRPr="00B672CA">
        <w:rPr>
          <w:rFonts w:ascii="Arial" w:hAnsi="Arial" w:cs="Arial"/>
        </w:rPr>
        <w:t xml:space="preserve"> takes the output from </w:t>
      </w:r>
      <w:proofErr w:type="spellStart"/>
      <w:r w:rsidRPr="00B672CA">
        <w:rPr>
          <w:rFonts w:ascii="Arial" w:hAnsi="Arial" w:cs="Arial"/>
        </w:rPr>
        <w:t>Guineu</w:t>
      </w:r>
      <w:proofErr w:type="spellEnd"/>
      <w:r w:rsidRPr="00B672CA">
        <w:rPr>
          <w:rFonts w:ascii="Arial" w:hAnsi="Arial" w:cs="Arial"/>
        </w:rPr>
        <w:t xml:space="preserve">, and further combines any peaks meeting the requirements below that have not been combined by </w:t>
      </w:r>
      <w:proofErr w:type="spellStart"/>
      <w:r w:rsidRPr="00B672CA">
        <w:rPr>
          <w:rFonts w:ascii="Arial" w:hAnsi="Arial" w:cs="Arial"/>
        </w:rPr>
        <w:t>Guineu</w:t>
      </w:r>
      <w:proofErr w:type="spellEnd"/>
      <w:r w:rsidRPr="00B672CA">
        <w:rPr>
          <w:rFonts w:ascii="Arial" w:hAnsi="Arial" w:cs="Arial"/>
        </w:rPr>
        <w:t xml:space="preserve">. This </w:t>
      </w:r>
      <w:r>
        <w:rPr>
          <w:rFonts w:ascii="Arial" w:hAnsi="Arial" w:cs="Arial"/>
        </w:rPr>
        <w:t>script</w:t>
      </w:r>
      <w:r w:rsidRPr="00B672CA">
        <w:rPr>
          <w:rFonts w:ascii="Arial" w:hAnsi="Arial" w:cs="Arial"/>
        </w:rPr>
        <w:t xml:space="preserve"> takes into account peak name, change in primary and secondary retention time (RT1 and RT2), and a rudimentary spectral "match"--counting the fraction of the ten most ions that match. Peaks are combined under either of the following circumstances: 1) deltaRT1&lt;2, deltaRT2&lt;0.1, and match of at least 7 of 10; 2) identical names, RT1&lt;5 and RT2&lt;0.1 or 3) RT1&lt;5, RT2&lt;0.1 and match of at least 8 of 10.  On average this in-house script reduce</w:t>
      </w:r>
      <w:r>
        <w:rPr>
          <w:rFonts w:ascii="Arial" w:hAnsi="Arial" w:cs="Arial"/>
        </w:rPr>
        <w:t>s</w:t>
      </w:r>
      <w:r w:rsidRPr="00B672CA">
        <w:rPr>
          <w:rFonts w:ascii="Arial" w:hAnsi="Arial" w:cs="Arial"/>
        </w:rPr>
        <w:t xml:space="preserve"> the total number of peaks by approximately 25%. </w:t>
      </w:r>
      <w:r>
        <w:rPr>
          <w:rFonts w:ascii="Arial" w:hAnsi="Arial" w:cs="Arial"/>
        </w:rPr>
        <w:t xml:space="preserve"> </w:t>
      </w:r>
      <w:r w:rsidRPr="00B672CA">
        <w:rPr>
          <w:rFonts w:ascii="Arial" w:hAnsi="Arial" w:cs="Arial"/>
        </w:rPr>
        <w:t>Peaks present in less than two-thirds of samples were excluded from further analysis.  Sample replicates were averaged</w:t>
      </w:r>
      <w:r>
        <w:rPr>
          <w:rFonts w:ascii="Arial" w:hAnsi="Arial" w:cs="Arial"/>
        </w:rPr>
        <w:t xml:space="preserve">. </w:t>
      </w:r>
      <w:r w:rsidRPr="00B672CA">
        <w:rPr>
          <w:rFonts w:ascii="Arial" w:hAnsi="Arial" w:cs="Arial"/>
        </w:rPr>
        <w:t xml:space="preserve">Peak areas were sum normalized prior to comparisons, missing values were replaced using the K-nearest neighbor method, and the data was auto-scaled </w:t>
      </w:r>
      <w:r>
        <w:rPr>
          <w:rFonts w:ascii="Arial" w:hAnsi="Arial" w:cs="Arial"/>
        </w:rPr>
        <w:t xml:space="preserve">(mean-centered, divided by the standard deviation for each metabolite) </w:t>
      </w:r>
      <w:r w:rsidRPr="00B672CA">
        <w:rPr>
          <w:rFonts w:ascii="Arial" w:hAnsi="Arial" w:cs="Arial"/>
        </w:rPr>
        <w:t xml:space="preserve">using the web application </w:t>
      </w:r>
      <w:proofErr w:type="spellStart"/>
      <w:r w:rsidRPr="00B672CA">
        <w:rPr>
          <w:rFonts w:ascii="Arial" w:hAnsi="Arial" w:cs="Arial"/>
        </w:rPr>
        <w:t>MetaboAnalyst</w:t>
      </w:r>
      <w:proofErr w:type="spellEnd"/>
      <w:r w:rsidRPr="00B672CA">
        <w:rPr>
          <w:rFonts w:ascii="Arial" w:hAnsi="Arial" w:cs="Arial"/>
        </w:rPr>
        <w:t xml:space="preserve"> 3.0</w:t>
      </w:r>
      <w:r w:rsidR="00A31B4A">
        <w:rPr>
          <w:rFonts w:ascii="Arial" w:hAnsi="Arial" w:cs="Arial"/>
        </w:rPr>
        <w:t xml:space="preserve"> </w:t>
      </w:r>
      <w:r>
        <w:rPr>
          <w:rFonts w:ascii="Arial" w:hAnsi="Arial" w:cs="Arial"/>
          <w:vertAlign w:val="superscript"/>
        </w:rPr>
        <w:fldChar w:fldCharType="begin" w:fldLock="1"/>
      </w:r>
      <w:r w:rsidR="00A31B4A">
        <w:rPr>
          <w:rFonts w:ascii="Arial" w:hAnsi="Arial" w:cs="Arial"/>
          <w:vertAlign w:val="superscript"/>
        </w:rPr>
        <w:instrText>ADDIN CSL_CITATION { "citationItems" : [ { "id" : "ITEM-1", "itemData" : { "ISSN" : "0305-1048", "abstract" : "MetaboAnalyst (www.metaboanalyst.ca) is a web server designed to permit comprehensive metabolomic data analysis, visualization and interpretation. It supports a wide range of complex statistical calculations and high quality graphical rendering functions that require significant computational resources. First introduced in 2009, MetaboAnalyst has experienced more than a 50X growth in user traffic (&gt;50 000 jobs processed each month). In order to keep up with the rapidly increasing computational demands and a growing number of requests to support translational and systems biology applications, we performed a substantial rewrite and major feature upgrade of the server. The result is MetaboAnalyst 3.0. By completely re-implementing the MetaboAnalyst suite using the latest web framework technologies, we have been able substantially improve its performance, capacity and user interactivity. Three new modules have also been added including: (i) a module for biomarker analysis based on the calculation of receiver operating characteristic curves; (ii) a module for sample size estimation and power analysis for improved planning of metabolomics studies and (iii) a module to support integrative pathway analysis for both genes and metabolites. In addition, popular features found in existing modules have been significantly enhanced by upgrading the graphical output, expanding the compound libraries and by adding support for more diverse organisms.", "author" : [ { "dropping-particle" : "", "family" : "Xia", "given" : "J.", "non-dropping-particle" : "", "parse-names" : false, "suffix" : "" }, { "dropping-particle" : "V.", "family" : "Sinelnikov", "given" : "I.", "non-dropping-particle" : "", "parse-names" : false, "suffix" : "" }, { "dropping-particle" : "", "family" : "Han", "given" : "B.", "non-dropping-particle" : "", "parse-names" : false, "suffix" : "" }, { "dropping-particle" : "", "family" : "Wishart", "given" : "D. S.", "non-dropping-particle" : "", "parse-names" : false, "suffix" : "" } ], "container-title" : "Nucleic Acids Research", "id" : "ITEM-1", "issued" : { "date-parts" : [ [ "2015", "4", "20" ] ] }, "page" : "gkv380-", "title" : "MetaboAnalyst 3.0--making metabolomics more meaningful", "type" : "article-journal" }, "uris" : [ "http://www.mendeley.com/documents/?uuid=4fac883a-a624-427f-8727-688b9fc6c5e3" ] } ], "mendeley" : { "formattedCitation" : "(2)", "plainTextFormattedCitation" : "(2)", "previouslyFormattedCitation" : "&lt;sup&gt;86&lt;/sup&gt;" }, "properties" : { "noteIndex" : 0 }, "schema" : "https://github.com/citation-style-language/schema/raw/master/csl-citation.json" }</w:instrText>
      </w:r>
      <w:r>
        <w:rPr>
          <w:rFonts w:ascii="Arial" w:hAnsi="Arial" w:cs="Arial"/>
          <w:vertAlign w:val="superscript"/>
        </w:rPr>
        <w:fldChar w:fldCharType="separate"/>
      </w:r>
      <w:r w:rsidR="00A31B4A" w:rsidRPr="00A31B4A">
        <w:rPr>
          <w:rFonts w:ascii="Arial" w:hAnsi="Arial" w:cs="Arial"/>
          <w:noProof/>
        </w:rPr>
        <w:t>(2)</w:t>
      </w:r>
      <w:r>
        <w:rPr>
          <w:rFonts w:ascii="Arial" w:hAnsi="Arial" w:cs="Arial"/>
          <w:vertAlign w:val="superscript"/>
        </w:rPr>
        <w:fldChar w:fldCharType="end"/>
      </w:r>
      <w:r w:rsidRPr="00B672CA">
        <w:rPr>
          <w:rFonts w:ascii="Arial" w:hAnsi="Arial" w:cs="Arial"/>
        </w:rPr>
        <w:t>.</w:t>
      </w:r>
      <w:r>
        <w:rPr>
          <w:rFonts w:ascii="Arial" w:hAnsi="Arial" w:cs="Arial"/>
        </w:rPr>
        <w:t xml:space="preserve"> Additional s</w:t>
      </w:r>
      <w:r w:rsidRPr="00B672CA">
        <w:rPr>
          <w:rFonts w:ascii="Arial" w:hAnsi="Arial" w:cs="Arial"/>
        </w:rPr>
        <w:t xml:space="preserve">tatistical analyses were performed in R.  </w:t>
      </w:r>
    </w:p>
    <w:p w14:paraId="427A3A0E" w14:textId="0AC5FA6C" w:rsidR="00AE4535" w:rsidRDefault="00AE4535" w:rsidP="00F62A94">
      <w:pPr>
        <w:jc w:val="both"/>
        <w:rPr>
          <w:b/>
        </w:rPr>
      </w:pPr>
    </w:p>
    <w:p w14:paraId="6CB8428C" w14:textId="739F0A78" w:rsidR="00A31B4A" w:rsidRPr="00A31B4A" w:rsidRDefault="00A31B4A" w:rsidP="00A31B4A">
      <w:pPr>
        <w:widowControl w:val="0"/>
        <w:autoSpaceDE w:val="0"/>
        <w:autoSpaceDN w:val="0"/>
        <w:adjustRightInd w:val="0"/>
        <w:ind w:left="640" w:hanging="640"/>
        <w:rPr>
          <w:rFonts w:ascii="Cambria" w:hAnsi="Cambria"/>
          <w:noProof/>
        </w:rPr>
      </w:pPr>
      <w:r>
        <w:rPr>
          <w:b/>
        </w:rPr>
        <w:fldChar w:fldCharType="begin" w:fldLock="1"/>
      </w:r>
      <w:r>
        <w:rPr>
          <w:b/>
        </w:rPr>
        <w:instrText xml:space="preserve">ADDIN Mendeley Bibliography CSL_BIBLIOGRAPHY </w:instrText>
      </w:r>
      <w:r>
        <w:rPr>
          <w:b/>
        </w:rPr>
        <w:fldChar w:fldCharType="separate"/>
      </w:r>
      <w:r w:rsidRPr="00A31B4A">
        <w:rPr>
          <w:rFonts w:ascii="Cambria" w:hAnsi="Cambria"/>
          <w:noProof/>
        </w:rPr>
        <w:t xml:space="preserve">1. </w:t>
      </w:r>
      <w:r w:rsidRPr="00A31B4A">
        <w:rPr>
          <w:rFonts w:ascii="Cambria" w:hAnsi="Cambria"/>
          <w:noProof/>
        </w:rPr>
        <w:tab/>
        <w:t>Aurbach E, Inui E, Turner C, Hagenauer M, Prater K, Li J, Absher D, Shah N, Akil H: Fibroblast Growth Factor 9 is a Novel Modulator of Negative Affect. PNAS 2015; In press</w:t>
      </w:r>
    </w:p>
    <w:p w14:paraId="73DDEF84" w14:textId="77777777" w:rsidR="00A31B4A" w:rsidRPr="00A31B4A" w:rsidRDefault="00A31B4A" w:rsidP="00A31B4A">
      <w:pPr>
        <w:widowControl w:val="0"/>
        <w:autoSpaceDE w:val="0"/>
        <w:autoSpaceDN w:val="0"/>
        <w:adjustRightInd w:val="0"/>
        <w:ind w:left="640" w:hanging="640"/>
        <w:rPr>
          <w:rFonts w:ascii="Cambria" w:hAnsi="Cambria"/>
          <w:noProof/>
        </w:rPr>
      </w:pPr>
      <w:r w:rsidRPr="00A31B4A">
        <w:rPr>
          <w:rFonts w:ascii="Cambria" w:hAnsi="Cambria"/>
          <w:noProof/>
        </w:rPr>
        <w:t xml:space="preserve">2. </w:t>
      </w:r>
      <w:r w:rsidRPr="00A31B4A">
        <w:rPr>
          <w:rFonts w:ascii="Cambria" w:hAnsi="Cambria"/>
          <w:noProof/>
        </w:rPr>
        <w:tab/>
        <w:t>Xia J, Sinelnikov I V., Han B, Wishart DS: MetaboAnalyst 3.0--making metabolomics more meaningful [Internet]. Nucleic Acids Res. 2015; gkv380–[cited 2015 Apr 21] Available from: http://nar.oxfordjournals.org/content/early/2015/04/20/nar.gkv380.full</w:t>
      </w:r>
    </w:p>
    <w:p w14:paraId="10E78A6F" w14:textId="6D5A3CDA" w:rsidR="00A31B4A" w:rsidRPr="00AD06ED" w:rsidRDefault="00A31B4A" w:rsidP="00F62A94">
      <w:pPr>
        <w:jc w:val="both"/>
        <w:rPr>
          <w:b/>
        </w:rPr>
      </w:pPr>
      <w:r>
        <w:rPr>
          <w:b/>
        </w:rPr>
        <w:fldChar w:fldCharType="end"/>
      </w:r>
    </w:p>
    <w:sectPr w:rsidR="00A31B4A" w:rsidRPr="00AD06ED" w:rsidSect="00DA03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4A1"/>
    <w:rsid w:val="00034335"/>
    <w:rsid w:val="000D6A32"/>
    <w:rsid w:val="00164408"/>
    <w:rsid w:val="00170A15"/>
    <w:rsid w:val="00186C78"/>
    <w:rsid w:val="001B52D4"/>
    <w:rsid w:val="001D3EF3"/>
    <w:rsid w:val="001E4819"/>
    <w:rsid w:val="001F4892"/>
    <w:rsid w:val="002C415F"/>
    <w:rsid w:val="00323CDC"/>
    <w:rsid w:val="00421069"/>
    <w:rsid w:val="00502C89"/>
    <w:rsid w:val="00553F70"/>
    <w:rsid w:val="00584003"/>
    <w:rsid w:val="00621841"/>
    <w:rsid w:val="00683E01"/>
    <w:rsid w:val="006A7FDA"/>
    <w:rsid w:val="007C7CFF"/>
    <w:rsid w:val="007F7C35"/>
    <w:rsid w:val="00812DE0"/>
    <w:rsid w:val="00821973"/>
    <w:rsid w:val="008B04A0"/>
    <w:rsid w:val="008C4E93"/>
    <w:rsid w:val="008D3017"/>
    <w:rsid w:val="009126CF"/>
    <w:rsid w:val="00920675"/>
    <w:rsid w:val="00954736"/>
    <w:rsid w:val="009F2E35"/>
    <w:rsid w:val="00A31B4A"/>
    <w:rsid w:val="00A47879"/>
    <w:rsid w:val="00A51B92"/>
    <w:rsid w:val="00AD06ED"/>
    <w:rsid w:val="00AE4535"/>
    <w:rsid w:val="00B4353D"/>
    <w:rsid w:val="00B45E16"/>
    <w:rsid w:val="00BA21C6"/>
    <w:rsid w:val="00BA3E68"/>
    <w:rsid w:val="00BA44A1"/>
    <w:rsid w:val="00BE4E1A"/>
    <w:rsid w:val="00CC1F61"/>
    <w:rsid w:val="00D13D17"/>
    <w:rsid w:val="00D46A3C"/>
    <w:rsid w:val="00D955B3"/>
    <w:rsid w:val="00DA0343"/>
    <w:rsid w:val="00E233FB"/>
    <w:rsid w:val="00E95DE5"/>
    <w:rsid w:val="00EA75A9"/>
    <w:rsid w:val="00EB77B4"/>
    <w:rsid w:val="00F62A94"/>
    <w:rsid w:val="00F80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AE67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41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415F"/>
    <w:rPr>
      <w:rFonts w:ascii="Lucida Grande" w:hAnsi="Lucida Grande" w:cs="Lucida Grande"/>
      <w:sz w:val="18"/>
      <w:szCs w:val="18"/>
    </w:rPr>
  </w:style>
  <w:style w:type="paragraph" w:styleId="Caption">
    <w:name w:val="caption"/>
    <w:basedOn w:val="Normal"/>
    <w:next w:val="Normal"/>
    <w:uiPriority w:val="35"/>
    <w:unhideWhenUsed/>
    <w:qFormat/>
    <w:rsid w:val="002C415F"/>
    <w:pPr>
      <w:spacing w:after="200"/>
    </w:pPr>
    <w:rPr>
      <w:b/>
      <w:bCs/>
      <w:color w:val="4F81BD" w:themeColor="accent1"/>
      <w:sz w:val="18"/>
      <w:szCs w:val="18"/>
    </w:rPr>
  </w:style>
  <w:style w:type="paragraph" w:styleId="NormalWeb">
    <w:name w:val="Normal (Web)"/>
    <w:basedOn w:val="Normal"/>
    <w:uiPriority w:val="99"/>
    <w:unhideWhenUsed/>
    <w:rsid w:val="00954736"/>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8B04A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41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415F"/>
    <w:rPr>
      <w:rFonts w:ascii="Lucida Grande" w:hAnsi="Lucida Grande" w:cs="Lucida Grande"/>
      <w:sz w:val="18"/>
      <w:szCs w:val="18"/>
    </w:rPr>
  </w:style>
  <w:style w:type="paragraph" w:styleId="Caption">
    <w:name w:val="caption"/>
    <w:basedOn w:val="Normal"/>
    <w:next w:val="Normal"/>
    <w:uiPriority w:val="35"/>
    <w:unhideWhenUsed/>
    <w:qFormat/>
    <w:rsid w:val="002C415F"/>
    <w:pPr>
      <w:spacing w:after="200"/>
    </w:pPr>
    <w:rPr>
      <w:b/>
      <w:bCs/>
      <w:color w:val="4F81BD" w:themeColor="accent1"/>
      <w:sz w:val="18"/>
      <w:szCs w:val="18"/>
    </w:rPr>
  </w:style>
  <w:style w:type="paragraph" w:styleId="NormalWeb">
    <w:name w:val="Normal (Web)"/>
    <w:basedOn w:val="Normal"/>
    <w:uiPriority w:val="99"/>
    <w:unhideWhenUsed/>
    <w:rsid w:val="00954736"/>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8B04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9255">
      <w:bodyDiv w:val="1"/>
      <w:marLeft w:val="0"/>
      <w:marRight w:val="0"/>
      <w:marTop w:val="0"/>
      <w:marBottom w:val="0"/>
      <w:divBdr>
        <w:top w:val="none" w:sz="0" w:space="0" w:color="auto"/>
        <w:left w:val="none" w:sz="0" w:space="0" w:color="auto"/>
        <w:bottom w:val="none" w:sz="0" w:space="0" w:color="auto"/>
        <w:right w:val="none" w:sz="0" w:space="0" w:color="auto"/>
      </w:divBdr>
    </w:div>
    <w:div w:id="132723810">
      <w:bodyDiv w:val="1"/>
      <w:marLeft w:val="0"/>
      <w:marRight w:val="0"/>
      <w:marTop w:val="0"/>
      <w:marBottom w:val="0"/>
      <w:divBdr>
        <w:top w:val="none" w:sz="0" w:space="0" w:color="auto"/>
        <w:left w:val="none" w:sz="0" w:space="0" w:color="auto"/>
        <w:bottom w:val="none" w:sz="0" w:space="0" w:color="auto"/>
        <w:right w:val="none" w:sz="0" w:space="0" w:color="auto"/>
      </w:divBdr>
    </w:div>
    <w:div w:id="208997805">
      <w:bodyDiv w:val="1"/>
      <w:marLeft w:val="0"/>
      <w:marRight w:val="0"/>
      <w:marTop w:val="0"/>
      <w:marBottom w:val="0"/>
      <w:divBdr>
        <w:top w:val="none" w:sz="0" w:space="0" w:color="auto"/>
        <w:left w:val="none" w:sz="0" w:space="0" w:color="auto"/>
        <w:bottom w:val="none" w:sz="0" w:space="0" w:color="auto"/>
        <w:right w:val="none" w:sz="0" w:space="0" w:color="auto"/>
      </w:divBdr>
    </w:div>
    <w:div w:id="239800334">
      <w:bodyDiv w:val="1"/>
      <w:marLeft w:val="0"/>
      <w:marRight w:val="0"/>
      <w:marTop w:val="0"/>
      <w:marBottom w:val="0"/>
      <w:divBdr>
        <w:top w:val="none" w:sz="0" w:space="0" w:color="auto"/>
        <w:left w:val="none" w:sz="0" w:space="0" w:color="auto"/>
        <w:bottom w:val="none" w:sz="0" w:space="0" w:color="auto"/>
        <w:right w:val="none" w:sz="0" w:space="0" w:color="auto"/>
      </w:divBdr>
    </w:div>
    <w:div w:id="266619343">
      <w:bodyDiv w:val="1"/>
      <w:marLeft w:val="0"/>
      <w:marRight w:val="0"/>
      <w:marTop w:val="0"/>
      <w:marBottom w:val="0"/>
      <w:divBdr>
        <w:top w:val="none" w:sz="0" w:space="0" w:color="auto"/>
        <w:left w:val="none" w:sz="0" w:space="0" w:color="auto"/>
        <w:bottom w:val="none" w:sz="0" w:space="0" w:color="auto"/>
        <w:right w:val="none" w:sz="0" w:space="0" w:color="auto"/>
      </w:divBdr>
    </w:div>
    <w:div w:id="372270469">
      <w:bodyDiv w:val="1"/>
      <w:marLeft w:val="0"/>
      <w:marRight w:val="0"/>
      <w:marTop w:val="0"/>
      <w:marBottom w:val="0"/>
      <w:divBdr>
        <w:top w:val="none" w:sz="0" w:space="0" w:color="auto"/>
        <w:left w:val="none" w:sz="0" w:space="0" w:color="auto"/>
        <w:bottom w:val="none" w:sz="0" w:space="0" w:color="auto"/>
        <w:right w:val="none" w:sz="0" w:space="0" w:color="auto"/>
      </w:divBdr>
    </w:div>
    <w:div w:id="471286833">
      <w:bodyDiv w:val="1"/>
      <w:marLeft w:val="0"/>
      <w:marRight w:val="0"/>
      <w:marTop w:val="0"/>
      <w:marBottom w:val="0"/>
      <w:divBdr>
        <w:top w:val="none" w:sz="0" w:space="0" w:color="auto"/>
        <w:left w:val="none" w:sz="0" w:space="0" w:color="auto"/>
        <w:bottom w:val="none" w:sz="0" w:space="0" w:color="auto"/>
        <w:right w:val="none" w:sz="0" w:space="0" w:color="auto"/>
      </w:divBdr>
    </w:div>
    <w:div w:id="585071867">
      <w:bodyDiv w:val="1"/>
      <w:marLeft w:val="0"/>
      <w:marRight w:val="0"/>
      <w:marTop w:val="0"/>
      <w:marBottom w:val="0"/>
      <w:divBdr>
        <w:top w:val="none" w:sz="0" w:space="0" w:color="auto"/>
        <w:left w:val="none" w:sz="0" w:space="0" w:color="auto"/>
        <w:bottom w:val="none" w:sz="0" w:space="0" w:color="auto"/>
        <w:right w:val="none" w:sz="0" w:space="0" w:color="auto"/>
      </w:divBdr>
    </w:div>
    <w:div w:id="620890587">
      <w:bodyDiv w:val="1"/>
      <w:marLeft w:val="0"/>
      <w:marRight w:val="0"/>
      <w:marTop w:val="0"/>
      <w:marBottom w:val="0"/>
      <w:divBdr>
        <w:top w:val="none" w:sz="0" w:space="0" w:color="auto"/>
        <w:left w:val="none" w:sz="0" w:space="0" w:color="auto"/>
        <w:bottom w:val="none" w:sz="0" w:space="0" w:color="auto"/>
        <w:right w:val="none" w:sz="0" w:space="0" w:color="auto"/>
      </w:divBdr>
    </w:div>
    <w:div w:id="643775071">
      <w:bodyDiv w:val="1"/>
      <w:marLeft w:val="0"/>
      <w:marRight w:val="0"/>
      <w:marTop w:val="0"/>
      <w:marBottom w:val="0"/>
      <w:divBdr>
        <w:top w:val="none" w:sz="0" w:space="0" w:color="auto"/>
        <w:left w:val="none" w:sz="0" w:space="0" w:color="auto"/>
        <w:bottom w:val="none" w:sz="0" w:space="0" w:color="auto"/>
        <w:right w:val="none" w:sz="0" w:space="0" w:color="auto"/>
      </w:divBdr>
    </w:div>
    <w:div w:id="648630415">
      <w:bodyDiv w:val="1"/>
      <w:marLeft w:val="0"/>
      <w:marRight w:val="0"/>
      <w:marTop w:val="0"/>
      <w:marBottom w:val="0"/>
      <w:divBdr>
        <w:top w:val="none" w:sz="0" w:space="0" w:color="auto"/>
        <w:left w:val="none" w:sz="0" w:space="0" w:color="auto"/>
        <w:bottom w:val="none" w:sz="0" w:space="0" w:color="auto"/>
        <w:right w:val="none" w:sz="0" w:space="0" w:color="auto"/>
      </w:divBdr>
    </w:div>
    <w:div w:id="709955535">
      <w:bodyDiv w:val="1"/>
      <w:marLeft w:val="0"/>
      <w:marRight w:val="0"/>
      <w:marTop w:val="0"/>
      <w:marBottom w:val="0"/>
      <w:divBdr>
        <w:top w:val="none" w:sz="0" w:space="0" w:color="auto"/>
        <w:left w:val="none" w:sz="0" w:space="0" w:color="auto"/>
        <w:bottom w:val="none" w:sz="0" w:space="0" w:color="auto"/>
        <w:right w:val="none" w:sz="0" w:space="0" w:color="auto"/>
      </w:divBdr>
    </w:div>
    <w:div w:id="743913765">
      <w:bodyDiv w:val="1"/>
      <w:marLeft w:val="0"/>
      <w:marRight w:val="0"/>
      <w:marTop w:val="0"/>
      <w:marBottom w:val="0"/>
      <w:divBdr>
        <w:top w:val="none" w:sz="0" w:space="0" w:color="auto"/>
        <w:left w:val="none" w:sz="0" w:space="0" w:color="auto"/>
        <w:bottom w:val="none" w:sz="0" w:space="0" w:color="auto"/>
        <w:right w:val="none" w:sz="0" w:space="0" w:color="auto"/>
      </w:divBdr>
    </w:div>
    <w:div w:id="950167081">
      <w:bodyDiv w:val="1"/>
      <w:marLeft w:val="0"/>
      <w:marRight w:val="0"/>
      <w:marTop w:val="0"/>
      <w:marBottom w:val="0"/>
      <w:divBdr>
        <w:top w:val="none" w:sz="0" w:space="0" w:color="auto"/>
        <w:left w:val="none" w:sz="0" w:space="0" w:color="auto"/>
        <w:bottom w:val="none" w:sz="0" w:space="0" w:color="auto"/>
        <w:right w:val="none" w:sz="0" w:space="0" w:color="auto"/>
      </w:divBdr>
    </w:div>
    <w:div w:id="1005011789">
      <w:bodyDiv w:val="1"/>
      <w:marLeft w:val="0"/>
      <w:marRight w:val="0"/>
      <w:marTop w:val="0"/>
      <w:marBottom w:val="0"/>
      <w:divBdr>
        <w:top w:val="none" w:sz="0" w:space="0" w:color="auto"/>
        <w:left w:val="none" w:sz="0" w:space="0" w:color="auto"/>
        <w:bottom w:val="none" w:sz="0" w:space="0" w:color="auto"/>
        <w:right w:val="none" w:sz="0" w:space="0" w:color="auto"/>
      </w:divBdr>
    </w:div>
    <w:div w:id="1022127294">
      <w:bodyDiv w:val="1"/>
      <w:marLeft w:val="0"/>
      <w:marRight w:val="0"/>
      <w:marTop w:val="0"/>
      <w:marBottom w:val="0"/>
      <w:divBdr>
        <w:top w:val="none" w:sz="0" w:space="0" w:color="auto"/>
        <w:left w:val="none" w:sz="0" w:space="0" w:color="auto"/>
        <w:bottom w:val="none" w:sz="0" w:space="0" w:color="auto"/>
        <w:right w:val="none" w:sz="0" w:space="0" w:color="auto"/>
      </w:divBdr>
    </w:div>
    <w:div w:id="1049035830">
      <w:bodyDiv w:val="1"/>
      <w:marLeft w:val="0"/>
      <w:marRight w:val="0"/>
      <w:marTop w:val="0"/>
      <w:marBottom w:val="0"/>
      <w:divBdr>
        <w:top w:val="none" w:sz="0" w:space="0" w:color="auto"/>
        <w:left w:val="none" w:sz="0" w:space="0" w:color="auto"/>
        <w:bottom w:val="none" w:sz="0" w:space="0" w:color="auto"/>
        <w:right w:val="none" w:sz="0" w:space="0" w:color="auto"/>
      </w:divBdr>
    </w:div>
    <w:div w:id="1327588434">
      <w:bodyDiv w:val="1"/>
      <w:marLeft w:val="0"/>
      <w:marRight w:val="0"/>
      <w:marTop w:val="0"/>
      <w:marBottom w:val="0"/>
      <w:divBdr>
        <w:top w:val="none" w:sz="0" w:space="0" w:color="auto"/>
        <w:left w:val="none" w:sz="0" w:space="0" w:color="auto"/>
        <w:bottom w:val="none" w:sz="0" w:space="0" w:color="auto"/>
        <w:right w:val="none" w:sz="0" w:space="0" w:color="auto"/>
      </w:divBdr>
    </w:div>
    <w:div w:id="1341591338">
      <w:bodyDiv w:val="1"/>
      <w:marLeft w:val="0"/>
      <w:marRight w:val="0"/>
      <w:marTop w:val="0"/>
      <w:marBottom w:val="0"/>
      <w:divBdr>
        <w:top w:val="none" w:sz="0" w:space="0" w:color="auto"/>
        <w:left w:val="none" w:sz="0" w:space="0" w:color="auto"/>
        <w:bottom w:val="none" w:sz="0" w:space="0" w:color="auto"/>
        <w:right w:val="none" w:sz="0" w:space="0" w:color="auto"/>
      </w:divBdr>
    </w:div>
    <w:div w:id="1358390869">
      <w:bodyDiv w:val="1"/>
      <w:marLeft w:val="0"/>
      <w:marRight w:val="0"/>
      <w:marTop w:val="0"/>
      <w:marBottom w:val="0"/>
      <w:divBdr>
        <w:top w:val="none" w:sz="0" w:space="0" w:color="auto"/>
        <w:left w:val="none" w:sz="0" w:space="0" w:color="auto"/>
        <w:bottom w:val="none" w:sz="0" w:space="0" w:color="auto"/>
        <w:right w:val="none" w:sz="0" w:space="0" w:color="auto"/>
      </w:divBdr>
    </w:div>
    <w:div w:id="1451122738">
      <w:bodyDiv w:val="1"/>
      <w:marLeft w:val="0"/>
      <w:marRight w:val="0"/>
      <w:marTop w:val="0"/>
      <w:marBottom w:val="0"/>
      <w:divBdr>
        <w:top w:val="none" w:sz="0" w:space="0" w:color="auto"/>
        <w:left w:val="none" w:sz="0" w:space="0" w:color="auto"/>
        <w:bottom w:val="none" w:sz="0" w:space="0" w:color="auto"/>
        <w:right w:val="none" w:sz="0" w:space="0" w:color="auto"/>
      </w:divBdr>
    </w:div>
    <w:div w:id="1610746220">
      <w:bodyDiv w:val="1"/>
      <w:marLeft w:val="0"/>
      <w:marRight w:val="0"/>
      <w:marTop w:val="0"/>
      <w:marBottom w:val="0"/>
      <w:divBdr>
        <w:top w:val="none" w:sz="0" w:space="0" w:color="auto"/>
        <w:left w:val="none" w:sz="0" w:space="0" w:color="auto"/>
        <w:bottom w:val="none" w:sz="0" w:space="0" w:color="auto"/>
        <w:right w:val="none" w:sz="0" w:space="0" w:color="auto"/>
      </w:divBdr>
    </w:div>
    <w:div w:id="1676375306">
      <w:bodyDiv w:val="1"/>
      <w:marLeft w:val="0"/>
      <w:marRight w:val="0"/>
      <w:marTop w:val="0"/>
      <w:marBottom w:val="0"/>
      <w:divBdr>
        <w:top w:val="none" w:sz="0" w:space="0" w:color="auto"/>
        <w:left w:val="none" w:sz="0" w:space="0" w:color="auto"/>
        <w:bottom w:val="none" w:sz="0" w:space="0" w:color="auto"/>
        <w:right w:val="none" w:sz="0" w:space="0" w:color="auto"/>
      </w:divBdr>
    </w:div>
    <w:div w:id="1690721275">
      <w:bodyDiv w:val="1"/>
      <w:marLeft w:val="0"/>
      <w:marRight w:val="0"/>
      <w:marTop w:val="0"/>
      <w:marBottom w:val="0"/>
      <w:divBdr>
        <w:top w:val="none" w:sz="0" w:space="0" w:color="auto"/>
        <w:left w:val="none" w:sz="0" w:space="0" w:color="auto"/>
        <w:bottom w:val="none" w:sz="0" w:space="0" w:color="auto"/>
        <w:right w:val="none" w:sz="0" w:space="0" w:color="auto"/>
      </w:divBdr>
    </w:div>
    <w:div w:id="1808815869">
      <w:bodyDiv w:val="1"/>
      <w:marLeft w:val="0"/>
      <w:marRight w:val="0"/>
      <w:marTop w:val="0"/>
      <w:marBottom w:val="0"/>
      <w:divBdr>
        <w:top w:val="none" w:sz="0" w:space="0" w:color="auto"/>
        <w:left w:val="none" w:sz="0" w:space="0" w:color="auto"/>
        <w:bottom w:val="none" w:sz="0" w:space="0" w:color="auto"/>
        <w:right w:val="none" w:sz="0" w:space="0" w:color="auto"/>
      </w:divBdr>
    </w:div>
    <w:div w:id="1861508966">
      <w:bodyDiv w:val="1"/>
      <w:marLeft w:val="0"/>
      <w:marRight w:val="0"/>
      <w:marTop w:val="0"/>
      <w:marBottom w:val="0"/>
      <w:divBdr>
        <w:top w:val="none" w:sz="0" w:space="0" w:color="auto"/>
        <w:left w:val="none" w:sz="0" w:space="0" w:color="auto"/>
        <w:bottom w:val="none" w:sz="0" w:space="0" w:color="auto"/>
        <w:right w:val="none" w:sz="0" w:space="0" w:color="auto"/>
      </w:divBdr>
    </w:div>
    <w:div w:id="1922517100">
      <w:bodyDiv w:val="1"/>
      <w:marLeft w:val="0"/>
      <w:marRight w:val="0"/>
      <w:marTop w:val="0"/>
      <w:marBottom w:val="0"/>
      <w:divBdr>
        <w:top w:val="none" w:sz="0" w:space="0" w:color="auto"/>
        <w:left w:val="none" w:sz="0" w:space="0" w:color="auto"/>
        <w:bottom w:val="none" w:sz="0" w:space="0" w:color="auto"/>
        <w:right w:val="none" w:sz="0" w:space="0" w:color="auto"/>
      </w:divBdr>
    </w:div>
    <w:div w:id="1931545617">
      <w:bodyDiv w:val="1"/>
      <w:marLeft w:val="0"/>
      <w:marRight w:val="0"/>
      <w:marTop w:val="0"/>
      <w:marBottom w:val="0"/>
      <w:divBdr>
        <w:top w:val="none" w:sz="0" w:space="0" w:color="auto"/>
        <w:left w:val="none" w:sz="0" w:space="0" w:color="auto"/>
        <w:bottom w:val="none" w:sz="0" w:space="0" w:color="auto"/>
        <w:right w:val="none" w:sz="0" w:space="0" w:color="auto"/>
      </w:divBdr>
    </w:div>
    <w:div w:id="20256633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1294</Words>
  <Characters>7377</Characters>
  <Application>Microsoft Macintosh Word</Application>
  <DocSecurity>0</DocSecurity>
  <Lines>61</Lines>
  <Paragraphs>17</Paragraphs>
  <ScaleCrop>false</ScaleCrop>
  <Company>HudsonAlpha Institute for BioTechnology</Company>
  <LinksUpToDate>false</LinksUpToDate>
  <CharactersWithSpaces>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Cooper</dc:creator>
  <cp:keywords/>
  <dc:description/>
  <cp:lastModifiedBy>Sara Cooper</cp:lastModifiedBy>
  <cp:revision>2</cp:revision>
  <dcterms:created xsi:type="dcterms:W3CDTF">2017-02-26T19:41:00Z</dcterms:created>
  <dcterms:modified xsi:type="dcterms:W3CDTF">2017-02-26T19:41:00Z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brittany.lasseigne@gmail.com@www.mendeley.com</vt:lpwstr>
  </property>
  <property fmtid="{D5CDD505-2E9C-101B-9397-08002B2CF9AE}" pid="4" name="Mendeley Citation Style_1">
    <vt:lpwstr>http://www.zotero.org/styles/the-american-journal-of-psychiatry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http://www.zotero.org/styles/annals-of-oncology</vt:lpwstr>
  </property>
  <property fmtid="{D5CDD505-2E9C-101B-9397-08002B2CF9AE}" pid="8" name="Mendeley Recent Style Name 1_1">
    <vt:lpwstr>Annals of Oncology</vt:lpwstr>
  </property>
  <property fmtid="{D5CDD505-2E9C-101B-9397-08002B2CF9AE}" pid="9" name="Mendeley Recent Style Id 2_1">
    <vt:lpwstr>http://csl.mendeley.com/styles/7458523/annals-of-oncology</vt:lpwstr>
  </property>
  <property fmtid="{D5CDD505-2E9C-101B-9397-08002B2CF9AE}" pid="10" name="Mendeley Recent Style Name 2_1">
    <vt:lpwstr>Annals of Oncology - Brittany Lasseigne</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http://www.zotero.org/styles/journal-of-clinical-oncology</vt:lpwstr>
  </property>
  <property fmtid="{D5CDD505-2E9C-101B-9397-08002B2CF9AE}" pid="16" name="Mendeley Recent Style Name 5_1">
    <vt:lpwstr>Journal of Clinical Oncology</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http://www.zotero.org/styles/the-american-journal-of-psychiatry</vt:lpwstr>
  </property>
  <property fmtid="{D5CDD505-2E9C-101B-9397-08002B2CF9AE}" pid="22" name="Mendeley Recent Style Name 8_1">
    <vt:lpwstr>The American Journal of Psychiatry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