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042" w:rsidRDefault="00DF0B3C" w:rsidP="009752E8">
      <w:pPr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</w:rPr>
      </w:pPr>
      <w:r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</w:rPr>
        <w:t>Additional material</w:t>
      </w:r>
      <w:r w:rsidR="008B791B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</w:rPr>
        <w:t xml:space="preserve"> descriptions:</w:t>
      </w:r>
    </w:p>
    <w:p w:rsidR="008B791B" w:rsidRDefault="008B791B" w:rsidP="009752E8">
      <w:pPr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</w:rPr>
      </w:pPr>
    </w:p>
    <w:p w:rsidR="004F66B2" w:rsidRDefault="00DF0B3C" w:rsidP="009752E8">
      <w:pPr>
        <w:rPr>
          <w:rFonts w:asciiTheme="majorHAnsi" w:eastAsia="Times New Roman" w:hAnsiTheme="majorHAnsi" w:cstheme="majorHAnsi"/>
          <w:b/>
          <w:color w:val="000000"/>
          <w:sz w:val="22"/>
          <w:szCs w:val="22"/>
        </w:rPr>
      </w:pPr>
      <w:r w:rsidRPr="00DF0B3C">
        <w:rPr>
          <w:rFonts w:asciiTheme="majorHAnsi" w:eastAsia="Times New Roman" w:hAnsiTheme="majorHAnsi" w:cstheme="majorHAnsi"/>
          <w:b/>
          <w:color w:val="000000"/>
          <w:sz w:val="22"/>
          <w:szCs w:val="22"/>
        </w:rPr>
        <w:t>Additional file 1</w:t>
      </w:r>
      <w:r>
        <w:rPr>
          <w:rFonts w:asciiTheme="majorHAnsi" w:eastAsia="Times New Roman" w:hAnsiTheme="majorHAnsi" w:cstheme="majorHAnsi"/>
          <w:b/>
          <w:color w:val="000000"/>
          <w:sz w:val="22"/>
          <w:szCs w:val="22"/>
        </w:rPr>
        <w:t>.</w:t>
      </w:r>
      <w:r w:rsidR="009752E8" w:rsidRPr="00DF0B3C">
        <w:rPr>
          <w:rFonts w:asciiTheme="majorHAnsi" w:eastAsia="Times New Roman" w:hAnsiTheme="majorHAnsi" w:cstheme="majorHAnsi"/>
          <w:b/>
          <w:color w:val="000000"/>
          <w:sz w:val="22"/>
          <w:szCs w:val="22"/>
        </w:rPr>
        <w:t xml:space="preserve"> </w:t>
      </w:r>
      <w:r>
        <w:rPr>
          <w:rFonts w:asciiTheme="majorHAnsi" w:eastAsia="Times New Roman" w:hAnsiTheme="majorHAnsi" w:cstheme="majorHAnsi"/>
          <w:b/>
          <w:color w:val="000000"/>
          <w:sz w:val="22"/>
          <w:szCs w:val="22"/>
        </w:rPr>
        <w:t>O</w:t>
      </w:r>
      <w:r w:rsidR="009752E8" w:rsidRPr="00A93A66">
        <w:rPr>
          <w:rFonts w:asciiTheme="majorHAnsi" w:eastAsia="Times New Roman" w:hAnsiTheme="majorHAnsi" w:cstheme="majorHAnsi"/>
          <w:b/>
          <w:color w:val="000000"/>
          <w:sz w:val="22"/>
          <w:szCs w:val="22"/>
        </w:rPr>
        <w:t>verview of all clinical characteristics of the patients included in our diagnostic PID cohort</w:t>
      </w:r>
      <w:r>
        <w:rPr>
          <w:rFonts w:asciiTheme="majorHAnsi" w:eastAsia="Times New Roman" w:hAnsiTheme="majorHAnsi" w:cstheme="majorHAnsi"/>
          <w:b/>
          <w:color w:val="000000"/>
          <w:sz w:val="22"/>
          <w:szCs w:val="22"/>
        </w:rPr>
        <w:t xml:space="preserve">, including </w:t>
      </w:r>
      <w:r w:rsidRPr="00A93A66">
        <w:rPr>
          <w:rFonts w:asciiTheme="majorHAnsi" w:eastAsia="Times New Roman" w:hAnsiTheme="majorHAnsi" w:cstheme="majorHAnsi"/>
          <w:b/>
          <w:color w:val="000000"/>
          <w:sz w:val="22"/>
          <w:szCs w:val="22"/>
        </w:rPr>
        <w:t xml:space="preserve">all </w:t>
      </w:r>
      <w:proofErr w:type="spellStart"/>
      <w:r w:rsidRPr="00A93A66">
        <w:rPr>
          <w:rFonts w:asciiTheme="majorHAnsi" w:eastAsia="Times New Roman" w:hAnsiTheme="majorHAnsi" w:cstheme="majorHAnsi"/>
          <w:b/>
          <w:color w:val="000000"/>
          <w:sz w:val="22"/>
          <w:szCs w:val="22"/>
        </w:rPr>
        <w:t>immunophenotype</w:t>
      </w:r>
      <w:proofErr w:type="spellEnd"/>
      <w:r w:rsidRPr="00A93A66">
        <w:rPr>
          <w:rFonts w:asciiTheme="majorHAnsi" w:eastAsia="Times New Roman" w:hAnsiTheme="majorHAnsi" w:cstheme="majorHAnsi"/>
          <w:b/>
          <w:color w:val="000000"/>
          <w:sz w:val="22"/>
          <w:szCs w:val="22"/>
        </w:rPr>
        <w:t xml:space="preserve"> characteristics.</w:t>
      </w:r>
    </w:p>
    <w:p w:rsidR="009752E8" w:rsidRPr="00A93A66" w:rsidRDefault="00DF0B3C" w:rsidP="009752E8">
      <w:pPr>
        <w:rPr>
          <w:rFonts w:asciiTheme="majorHAnsi" w:eastAsia="Times New Roman" w:hAnsiTheme="majorHAnsi" w:cstheme="majorHAnsi"/>
          <w:b/>
          <w:color w:val="000000"/>
          <w:sz w:val="22"/>
          <w:szCs w:val="22"/>
        </w:rPr>
      </w:pPr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</w:t>
      </w:r>
      <w:r w:rsidR="009752E8" w:rsidRPr="00A93A66">
        <w:rPr>
          <w:rFonts w:asciiTheme="majorHAnsi" w:eastAsia="Times New Roman" w:hAnsiTheme="majorHAnsi" w:cstheme="majorHAnsi"/>
          <w:b/>
          <w:color w:val="000000"/>
          <w:sz w:val="22"/>
          <w:szCs w:val="22"/>
        </w:rPr>
        <w:t xml:space="preserve"> </w:t>
      </w:r>
    </w:p>
    <w:p w:rsidR="009752E8" w:rsidRPr="00A93A66" w:rsidRDefault="009752E8" w:rsidP="009752E8">
      <w:pPr>
        <w:rPr>
          <w:rFonts w:asciiTheme="majorHAnsi" w:eastAsia="Times New Roman" w:hAnsiTheme="majorHAnsi" w:cstheme="majorHAnsi"/>
          <w:color w:val="000000"/>
          <w:sz w:val="22"/>
          <w:szCs w:val="22"/>
        </w:rPr>
      </w:pPr>
      <w:r w:rsidRPr="00A93A66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</w:rPr>
        <w:t>Bacterial acronyms:</w:t>
      </w:r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AB =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Acinetobacter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Baumannii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; BCG = Bacillus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Calmette-Guérin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; BAF =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Bacteroide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fragalis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; BHSC = Beta-hemolytic Streptococcus group C; BOP =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Bortedella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Pertussis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; BP =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Burkholderia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Pseudomallei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; CDF = Clostridium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Difficile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; COB =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Coxiella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burnetii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(Q-f</w:t>
      </w:r>
      <w:bookmarkStart w:id="0" w:name="_GoBack"/>
      <w:bookmarkEnd w:id="0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ever); EC =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Escherchia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Coli; ENC = Enterobacter Cloacae; ENG =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Enterobacter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Gergoviae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; EFM =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Enterococcus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Faecium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; EFS = Enterococcus Faecalis; GBS = Group B Streptococcus; HI =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Heamophilus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Influenzae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; HPI =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Heamophilus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Parainfluenzae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; KOX =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Klebsiella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Oxytoca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; KP =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Klebsiella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Pneumoniae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; MC =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Moraxella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catarrhalis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; MRSA =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Methicilin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-Resistant Staphylococcus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Aureus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; MY =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Mycobacteria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; NM =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Neisseria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Meningitidis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; PRB =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Proprionibacterium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; PRT = Proteus; PSA = Pseudomonas Aeruginosa; SA = Staphylococcus Aureus; SE = Staphylococcus Epidermidis; SH = Staphylococcus Hominis; SHC = Staphylococcus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Heamolyticus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; SM =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Serratia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Marcescens; SAL = Salmonella; SO = Streptococcus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Oralis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; SP = Streptococcus Pneumoniae; SV = Streptococcus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Viridans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; TW =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Tropheryma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Whipplei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; X = Not specified</w:t>
      </w:r>
    </w:p>
    <w:p w:rsidR="009752E8" w:rsidRPr="00A93A66" w:rsidRDefault="009752E8" w:rsidP="009752E8">
      <w:pPr>
        <w:rPr>
          <w:rFonts w:asciiTheme="majorHAnsi" w:eastAsia="Times New Roman" w:hAnsiTheme="majorHAnsi" w:cstheme="majorHAnsi"/>
          <w:color w:val="000000"/>
          <w:sz w:val="22"/>
          <w:szCs w:val="22"/>
        </w:rPr>
      </w:pPr>
      <w:r w:rsidRPr="00A93A66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</w:rPr>
        <w:t xml:space="preserve">Viral acronyms: </w:t>
      </w:r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CMV =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CytoMegaloVirus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; EBV = Epstein Barr Virus;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HAdV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= Human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AdenoVirus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;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HBoV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= Human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BocaVirus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;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HCoV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= Human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CoronaVirus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; HPV = Human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Pappiloma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Virus; HPIV = Human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ParaInfluenzaVirus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; HRV = Human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RhinoVirus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; HSV = Herpes Simplex Virus; IFV = Influenza Virus; RSV = Respiratory Syncytial Virus; RV = Rotavirus; VZV = Varicella Zoster Virus; A = Type A; B = Type B; 1 = Type 1; 2 = Type 2; 3 = Type 3; 4 = Type 4; X = Not specified</w:t>
      </w:r>
    </w:p>
    <w:p w:rsidR="009752E8" w:rsidRPr="00A93A66" w:rsidRDefault="009752E8" w:rsidP="009752E8">
      <w:pPr>
        <w:rPr>
          <w:rFonts w:asciiTheme="majorHAnsi" w:eastAsia="Times New Roman" w:hAnsiTheme="majorHAnsi" w:cstheme="majorHAnsi"/>
          <w:color w:val="000000"/>
          <w:sz w:val="22"/>
          <w:szCs w:val="22"/>
        </w:rPr>
      </w:pPr>
      <w:r w:rsidRPr="00A93A66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</w:rPr>
        <w:t xml:space="preserve">Fungal or parasitic acronyms: </w:t>
      </w:r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  <w:vertAlign w:val="superscript"/>
        </w:rPr>
        <w:t>A</w:t>
      </w:r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= Candida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Albicans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; </w:t>
      </w:r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  <w:vertAlign w:val="superscript"/>
        </w:rPr>
        <w:t>G</w:t>
      </w:r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=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Glabrata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; CA</w:t>
      </w:r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  <w:vertAlign w:val="superscript"/>
        </w:rPr>
        <w:t>T</w:t>
      </w:r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=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Tropicalis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; DF =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Dientamoeba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Fragalis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;  MF =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Malassezia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Furfur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; PJ =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Pneumocystis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Jirovecii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; X = Not specified</w:t>
      </w:r>
    </w:p>
    <w:p w:rsidR="009752E8" w:rsidRPr="00A93A66" w:rsidRDefault="009752E8" w:rsidP="009752E8">
      <w:pPr>
        <w:rPr>
          <w:rFonts w:asciiTheme="majorHAnsi" w:eastAsia="Times New Roman" w:hAnsiTheme="majorHAnsi" w:cstheme="majorHAnsi"/>
          <w:color w:val="000000"/>
          <w:sz w:val="22"/>
          <w:szCs w:val="22"/>
        </w:rPr>
      </w:pPr>
      <w:r w:rsidRPr="00A93A66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</w:rPr>
        <w:t xml:space="preserve">Autoimmune or autoinflammatory acronyms: </w:t>
      </w:r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AA = Alopecia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Areata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; AIM = Autoimmune; AIF = Autoinflammatory; ANCASV = Anti-Neutrophil Cytoplasmic Antibody systemic vasculitis ; ALPS = Autoimmune Lymphoproliferative Syndrome; APS = Antiphospholipid syndrome; ARTH = Arthritis; ARTHA = Aseptic Arthritis ; ARTHPJ =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Polyarthritis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Juvenalis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; CD = Celiac Disease ; DM1 = Diabetes Mellitus type 1;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EnP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=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Enteropathy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; GLILD = Granulomatous-Lymphocytic Interstitial Lung Disease ; Hypo = Hypothyroidism; IBD = Inflammatory Bowel Disease;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IleitisT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= Ileitis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Terminalis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; LAD = Lymphadenopathy; NP = Nephropathy; SLE = Systemic Lupus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Erythematosus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;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SSc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= Systemic Sclerosis; X = Not specified</w:t>
      </w:r>
    </w:p>
    <w:p w:rsidR="009752E8" w:rsidRPr="00A93A66" w:rsidRDefault="009752E8" w:rsidP="009752E8">
      <w:pPr>
        <w:rPr>
          <w:rFonts w:asciiTheme="majorHAnsi" w:eastAsia="Times New Roman" w:hAnsiTheme="majorHAnsi" w:cstheme="majorHAnsi"/>
          <w:color w:val="000000"/>
          <w:sz w:val="22"/>
          <w:szCs w:val="22"/>
        </w:rPr>
      </w:pPr>
      <w:r w:rsidRPr="00A93A66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</w:rPr>
        <w:t xml:space="preserve">Infection site acronyms: </w:t>
      </w:r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CNS = Central Nervous System; ENT = Ear Nose Throat</w:t>
      </w:r>
    </w:p>
    <w:p w:rsidR="009752E8" w:rsidRPr="00A93A66" w:rsidRDefault="009752E8" w:rsidP="009752E8">
      <w:pPr>
        <w:rPr>
          <w:rFonts w:asciiTheme="majorHAnsi" w:eastAsia="Times New Roman" w:hAnsiTheme="majorHAnsi" w:cstheme="majorHAnsi"/>
          <w:color w:val="000000"/>
          <w:sz w:val="22"/>
          <w:szCs w:val="22"/>
        </w:rPr>
      </w:pPr>
      <w:r w:rsidRPr="00A93A66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</w:rPr>
        <w:t xml:space="preserve">Additional features acronyms: </w:t>
      </w:r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ADHD = Attention Deficit Hyperactivity Disorder; ASD = Autism Spectrum Disorder; BMF = Bone Marrow Failure; CHD = Coronary Heart Disease; DD = Developmental Delay; EPI = Exocrine Pancreatic Insufficiency; FD = Feeding Difficulties; FTT = Failure To Thrive; GERD =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Gastroesophagal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Reflux Disease; †= patient deceased </w:t>
      </w:r>
    </w:p>
    <w:p w:rsidR="009752E8" w:rsidRDefault="009752E8" w:rsidP="009752E8">
      <w:pPr>
        <w:rPr>
          <w:rFonts w:asciiTheme="majorHAnsi" w:eastAsia="Times New Roman" w:hAnsiTheme="majorHAnsi" w:cstheme="majorHAnsi"/>
          <w:color w:val="000000"/>
          <w:sz w:val="22"/>
          <w:szCs w:val="22"/>
        </w:rPr>
      </w:pPr>
      <w:r w:rsidRPr="00A93A66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</w:rPr>
        <w:t xml:space="preserve">Expected disease acronyms: </w:t>
      </w:r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ALPS = Autoimmune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LymphoProliferative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Syndrome; APECED = Autoimmune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PolyEndocrinopathy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-Candidiasis-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Ectodermal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-Dystrophy; CVID = Common Variable Immunodeficiency; CMC = Chronic Mucocutaneous Candidiasis; GLILD= Granulomatous Lymphocytic Interstitial Lung Disease; HGG = Hypogammaglobulinemia;  HLH =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Hemophagocytic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Lymphohistiocytosis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; HSV = Herpes Simplex Virus; IPEX = Immunodysregulation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Polyendocrinopathy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</w:t>
      </w:r>
      <w:proofErr w:type="spellStart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>Enteropathy</w:t>
      </w:r>
      <w:proofErr w:type="spellEnd"/>
      <w:r w:rsidRPr="00A93A66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X-linked syndrome; MSMD = Mendelian Susceptibility to Mycobacterial Diseases; PAPA = Pyogenic Arthritis Pyoderma gangrenosum and Acne; PFAPA = Periodic Fever Aphthous Stomatitis Pharyngitis Adenitis Syndrome; SCID = Severe Combined Immunodeficiency; SLE= Systemic Lupus Erythematosus; TORCH =  toxoplasmosis, other infections, rubella, cytomegalovirus infection, and herpes simplex</w:t>
      </w:r>
    </w:p>
    <w:p w:rsidR="00DF0B3C" w:rsidRPr="004F66B2" w:rsidRDefault="00DF0B3C" w:rsidP="00DF0B3C">
      <w:pPr>
        <w:rPr>
          <w:rFonts w:asciiTheme="majorHAnsi" w:eastAsia="Times New Roman" w:hAnsiTheme="majorHAnsi" w:cstheme="majorHAnsi"/>
          <w:color w:val="000000"/>
          <w:sz w:val="22"/>
          <w:szCs w:val="22"/>
        </w:rPr>
      </w:pPr>
      <w:r w:rsidRPr="004F66B2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</w:rPr>
        <w:lastRenderedPageBreak/>
        <w:t xml:space="preserve">Indications of </w:t>
      </w:r>
      <w:proofErr w:type="spellStart"/>
      <w:r w:rsidRPr="004F66B2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</w:rPr>
        <w:t>Cytopenias</w:t>
      </w:r>
      <w:proofErr w:type="spellEnd"/>
      <w:r w:rsidRPr="004F66B2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</w:rPr>
        <w:t>:</w:t>
      </w:r>
      <w:r w:rsidRPr="004F66B2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A = </w:t>
      </w:r>
      <w:proofErr w:type="spellStart"/>
      <w:r w:rsidRPr="004F66B2">
        <w:rPr>
          <w:rFonts w:asciiTheme="majorHAnsi" w:eastAsia="Times New Roman" w:hAnsiTheme="majorHAnsi" w:cstheme="majorHAnsi"/>
          <w:color w:val="000000"/>
          <w:sz w:val="22"/>
          <w:szCs w:val="22"/>
        </w:rPr>
        <w:t>Aplastic</w:t>
      </w:r>
      <w:proofErr w:type="spellEnd"/>
      <w:r w:rsidRPr="004F66B2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anemia; AIH = </w:t>
      </w:r>
      <w:proofErr w:type="spellStart"/>
      <w:r w:rsidRPr="004F66B2">
        <w:rPr>
          <w:rFonts w:asciiTheme="majorHAnsi" w:eastAsia="Times New Roman" w:hAnsiTheme="majorHAnsi" w:cstheme="majorHAnsi"/>
          <w:color w:val="000000"/>
          <w:sz w:val="22"/>
          <w:szCs w:val="22"/>
        </w:rPr>
        <w:t>AutoImmune</w:t>
      </w:r>
      <w:proofErr w:type="spellEnd"/>
      <w:r w:rsidRPr="004F66B2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Hemolytic Anemia; CN = Cyclic </w:t>
      </w:r>
      <w:proofErr w:type="spellStart"/>
      <w:r w:rsidRPr="004F66B2">
        <w:rPr>
          <w:rFonts w:asciiTheme="majorHAnsi" w:eastAsia="Times New Roman" w:hAnsiTheme="majorHAnsi" w:cstheme="majorHAnsi"/>
          <w:color w:val="000000"/>
          <w:sz w:val="22"/>
          <w:szCs w:val="22"/>
        </w:rPr>
        <w:t>neutropenia</w:t>
      </w:r>
      <w:proofErr w:type="spellEnd"/>
      <w:r w:rsidRPr="004F66B2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; EO = </w:t>
      </w:r>
      <w:proofErr w:type="spellStart"/>
      <w:r w:rsidRPr="004F66B2">
        <w:rPr>
          <w:rFonts w:asciiTheme="majorHAnsi" w:eastAsia="Times New Roman" w:hAnsiTheme="majorHAnsi" w:cstheme="majorHAnsi"/>
          <w:color w:val="000000"/>
          <w:sz w:val="22"/>
          <w:szCs w:val="22"/>
        </w:rPr>
        <w:t>Eosinopenia</w:t>
      </w:r>
      <w:proofErr w:type="spellEnd"/>
      <w:r w:rsidRPr="004F66B2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; H = Hemolytic anemia; IP = Immune thrombocytopenic </w:t>
      </w:r>
      <w:proofErr w:type="spellStart"/>
      <w:r w:rsidRPr="004F66B2">
        <w:rPr>
          <w:rFonts w:asciiTheme="majorHAnsi" w:eastAsia="Times New Roman" w:hAnsiTheme="majorHAnsi" w:cstheme="majorHAnsi"/>
          <w:color w:val="000000"/>
          <w:sz w:val="22"/>
          <w:szCs w:val="22"/>
        </w:rPr>
        <w:t>purpura</w:t>
      </w:r>
      <w:proofErr w:type="spellEnd"/>
      <w:r w:rsidRPr="004F66B2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; N = </w:t>
      </w:r>
      <w:proofErr w:type="spellStart"/>
      <w:r w:rsidRPr="004F66B2">
        <w:rPr>
          <w:rFonts w:asciiTheme="majorHAnsi" w:eastAsia="Times New Roman" w:hAnsiTheme="majorHAnsi" w:cstheme="majorHAnsi"/>
          <w:color w:val="000000"/>
          <w:sz w:val="22"/>
          <w:szCs w:val="22"/>
        </w:rPr>
        <w:t>Neutropenia</w:t>
      </w:r>
      <w:proofErr w:type="spellEnd"/>
      <w:r w:rsidRPr="004F66B2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; NC = </w:t>
      </w:r>
      <w:proofErr w:type="spellStart"/>
      <w:r w:rsidRPr="004F66B2">
        <w:rPr>
          <w:rFonts w:asciiTheme="majorHAnsi" w:eastAsia="Times New Roman" w:hAnsiTheme="majorHAnsi" w:cstheme="majorHAnsi"/>
          <w:color w:val="000000"/>
          <w:sz w:val="22"/>
          <w:szCs w:val="22"/>
        </w:rPr>
        <w:t>Normocytic</w:t>
      </w:r>
      <w:proofErr w:type="spellEnd"/>
      <w:r w:rsidRPr="004F66B2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anemia; TR = Transient; X = Yes, type not specified</w:t>
      </w:r>
    </w:p>
    <w:p w:rsidR="009752E8" w:rsidRDefault="009752E8" w:rsidP="009752E8">
      <w:pPr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</w:rPr>
      </w:pPr>
    </w:p>
    <w:p w:rsidR="00227499" w:rsidRPr="00A93A66" w:rsidRDefault="00DF0B3C" w:rsidP="00526C75">
      <w:pPr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</w:rPr>
      </w:pPr>
      <w:r w:rsidRPr="00DF0B3C">
        <w:rPr>
          <w:rFonts w:asciiTheme="majorHAnsi" w:eastAsia="Times New Roman" w:hAnsiTheme="majorHAnsi" w:cstheme="majorHAnsi"/>
          <w:b/>
          <w:color w:val="000000"/>
          <w:sz w:val="22"/>
          <w:szCs w:val="22"/>
        </w:rPr>
        <w:t xml:space="preserve">Additional file </w:t>
      </w:r>
      <w:r>
        <w:rPr>
          <w:rFonts w:asciiTheme="majorHAnsi" w:eastAsia="Times New Roman" w:hAnsiTheme="majorHAnsi" w:cstheme="majorHAnsi"/>
          <w:b/>
          <w:color w:val="000000"/>
          <w:sz w:val="22"/>
          <w:szCs w:val="22"/>
        </w:rPr>
        <w:t>2.</w:t>
      </w:r>
      <w:r w:rsidRPr="00DF0B3C">
        <w:rPr>
          <w:rFonts w:asciiTheme="majorHAnsi" w:eastAsia="Times New Roman" w:hAnsiTheme="majorHAnsi" w:cstheme="majorHAnsi"/>
          <w:b/>
          <w:color w:val="000000"/>
          <w:sz w:val="22"/>
          <w:szCs w:val="22"/>
        </w:rPr>
        <w:t xml:space="preserve"> </w:t>
      </w:r>
      <w:r w:rsidR="00227499" w:rsidRPr="00A93A66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</w:rPr>
        <w:t xml:space="preserve">Shows all causative mutations identified in 72 patients from 68 families suffering from primary immunodeficiencies. </w:t>
      </w:r>
      <w:r w:rsidR="00227499" w:rsidRPr="00A93A66">
        <w:rPr>
          <w:rFonts w:asciiTheme="majorHAnsi" w:eastAsia="Times New Roman" w:hAnsiTheme="majorHAnsi" w:cstheme="majorHAnsi"/>
          <w:bCs/>
          <w:color w:val="000000"/>
          <w:sz w:val="22"/>
          <w:szCs w:val="22"/>
        </w:rPr>
        <w:t xml:space="preserve">These 72 are part of a diagnostically tested cohort of 254 PID patients from 249 families. The “variant class” column also indicates variants that were identified by exome-wide analysis. ‡the homozygous mutation was identified in one of the large homozygous regions.  Abbreviations used: AR = Autosomal Recessive; AD = Autosomal Dominant; XL = X-linked; </w:t>
      </w:r>
      <w:proofErr w:type="spellStart"/>
      <w:r w:rsidR="00227499" w:rsidRPr="00A93A66">
        <w:rPr>
          <w:rFonts w:asciiTheme="majorHAnsi" w:eastAsia="Times New Roman" w:hAnsiTheme="majorHAnsi" w:cstheme="majorHAnsi"/>
          <w:bCs/>
          <w:color w:val="000000"/>
          <w:sz w:val="22"/>
          <w:szCs w:val="22"/>
        </w:rPr>
        <w:t>hom</w:t>
      </w:r>
      <w:proofErr w:type="spellEnd"/>
      <w:r w:rsidR="00227499" w:rsidRPr="00A93A66">
        <w:rPr>
          <w:rFonts w:asciiTheme="majorHAnsi" w:eastAsia="Times New Roman" w:hAnsiTheme="majorHAnsi" w:cstheme="majorHAnsi"/>
          <w:bCs/>
          <w:color w:val="000000"/>
          <w:sz w:val="22"/>
          <w:szCs w:val="22"/>
        </w:rPr>
        <w:t xml:space="preserve"> = homozygous; CH = Compound heterozygous; APECED = Autoimmune </w:t>
      </w:r>
      <w:proofErr w:type="spellStart"/>
      <w:r w:rsidR="00227499" w:rsidRPr="00A93A66">
        <w:rPr>
          <w:rFonts w:asciiTheme="majorHAnsi" w:eastAsia="Times New Roman" w:hAnsiTheme="majorHAnsi" w:cstheme="majorHAnsi"/>
          <w:bCs/>
          <w:color w:val="000000"/>
          <w:sz w:val="22"/>
          <w:szCs w:val="22"/>
        </w:rPr>
        <w:t>PolyEndocrinopathy</w:t>
      </w:r>
      <w:proofErr w:type="spellEnd"/>
      <w:r w:rsidR="00227499" w:rsidRPr="00A93A66">
        <w:rPr>
          <w:rFonts w:asciiTheme="majorHAnsi" w:eastAsia="Times New Roman" w:hAnsiTheme="majorHAnsi" w:cstheme="majorHAnsi"/>
          <w:bCs/>
          <w:color w:val="000000"/>
          <w:sz w:val="22"/>
          <w:szCs w:val="22"/>
        </w:rPr>
        <w:t>-Candidiasis-</w:t>
      </w:r>
      <w:proofErr w:type="spellStart"/>
      <w:r w:rsidR="00227499" w:rsidRPr="00A93A66">
        <w:rPr>
          <w:rFonts w:asciiTheme="majorHAnsi" w:eastAsia="Times New Roman" w:hAnsiTheme="majorHAnsi" w:cstheme="majorHAnsi"/>
          <w:bCs/>
          <w:color w:val="000000"/>
          <w:sz w:val="22"/>
          <w:szCs w:val="22"/>
        </w:rPr>
        <w:t>Ectodermal</w:t>
      </w:r>
      <w:proofErr w:type="spellEnd"/>
      <w:r w:rsidR="00227499" w:rsidRPr="00A93A66">
        <w:rPr>
          <w:rFonts w:asciiTheme="majorHAnsi" w:eastAsia="Times New Roman" w:hAnsiTheme="majorHAnsi" w:cstheme="majorHAnsi"/>
          <w:bCs/>
          <w:color w:val="000000"/>
          <w:sz w:val="22"/>
          <w:szCs w:val="22"/>
        </w:rPr>
        <w:t xml:space="preserve">-Dystrophy; CVID = Common Variable Immunodeficiency; HLH = </w:t>
      </w:r>
      <w:proofErr w:type="spellStart"/>
      <w:r w:rsidR="00227499" w:rsidRPr="00A93A66">
        <w:rPr>
          <w:rFonts w:asciiTheme="majorHAnsi" w:eastAsia="Times New Roman" w:hAnsiTheme="majorHAnsi" w:cstheme="majorHAnsi"/>
          <w:bCs/>
          <w:color w:val="000000"/>
          <w:sz w:val="22"/>
          <w:szCs w:val="22"/>
        </w:rPr>
        <w:t>Hemophagocytic</w:t>
      </w:r>
      <w:proofErr w:type="spellEnd"/>
      <w:r w:rsidR="00227499" w:rsidRPr="00A93A66">
        <w:rPr>
          <w:rFonts w:asciiTheme="majorHAnsi" w:eastAsia="Times New Roman" w:hAnsiTheme="majorHAnsi" w:cstheme="majorHAnsi"/>
          <w:bCs/>
          <w:color w:val="000000"/>
          <w:sz w:val="22"/>
          <w:szCs w:val="22"/>
        </w:rPr>
        <w:t xml:space="preserve"> </w:t>
      </w:r>
      <w:proofErr w:type="spellStart"/>
      <w:r w:rsidR="00227499" w:rsidRPr="00A93A66">
        <w:rPr>
          <w:rFonts w:asciiTheme="majorHAnsi" w:eastAsia="Times New Roman" w:hAnsiTheme="majorHAnsi" w:cstheme="majorHAnsi"/>
          <w:bCs/>
          <w:color w:val="000000"/>
          <w:sz w:val="22"/>
          <w:szCs w:val="22"/>
        </w:rPr>
        <w:t>Lymphohistiocytosis</w:t>
      </w:r>
      <w:proofErr w:type="spellEnd"/>
      <w:r w:rsidR="00227499" w:rsidRPr="00A93A66">
        <w:rPr>
          <w:rFonts w:asciiTheme="majorHAnsi" w:eastAsia="Times New Roman" w:hAnsiTheme="majorHAnsi" w:cstheme="majorHAnsi"/>
          <w:bCs/>
          <w:color w:val="000000"/>
          <w:sz w:val="22"/>
          <w:szCs w:val="22"/>
        </w:rPr>
        <w:t xml:space="preserve">; PAPA = </w:t>
      </w:r>
      <w:proofErr w:type="spellStart"/>
      <w:r w:rsidR="00227499" w:rsidRPr="00A93A66">
        <w:rPr>
          <w:rFonts w:asciiTheme="majorHAnsi" w:eastAsia="Times New Roman" w:hAnsiTheme="majorHAnsi" w:cstheme="majorHAnsi"/>
          <w:bCs/>
          <w:color w:val="000000"/>
          <w:sz w:val="22"/>
          <w:szCs w:val="22"/>
        </w:rPr>
        <w:t>Pyogenic</w:t>
      </w:r>
      <w:proofErr w:type="spellEnd"/>
      <w:r w:rsidR="00227499" w:rsidRPr="00A93A66">
        <w:rPr>
          <w:rFonts w:asciiTheme="majorHAnsi" w:eastAsia="Times New Roman" w:hAnsiTheme="majorHAnsi" w:cstheme="majorHAnsi"/>
          <w:bCs/>
          <w:color w:val="000000"/>
          <w:sz w:val="22"/>
          <w:szCs w:val="22"/>
        </w:rPr>
        <w:t xml:space="preserve"> Arthritis </w:t>
      </w:r>
      <w:proofErr w:type="spellStart"/>
      <w:r w:rsidR="00227499" w:rsidRPr="00A93A66">
        <w:rPr>
          <w:rFonts w:asciiTheme="majorHAnsi" w:eastAsia="Times New Roman" w:hAnsiTheme="majorHAnsi" w:cstheme="majorHAnsi"/>
          <w:bCs/>
          <w:color w:val="000000"/>
          <w:sz w:val="22"/>
          <w:szCs w:val="22"/>
        </w:rPr>
        <w:t>Pyoderma</w:t>
      </w:r>
      <w:proofErr w:type="spellEnd"/>
      <w:r w:rsidR="00227499" w:rsidRPr="00A93A66">
        <w:rPr>
          <w:rFonts w:asciiTheme="majorHAnsi" w:eastAsia="Times New Roman" w:hAnsiTheme="majorHAnsi" w:cstheme="majorHAnsi"/>
          <w:bCs/>
          <w:color w:val="000000"/>
          <w:sz w:val="22"/>
          <w:szCs w:val="22"/>
        </w:rPr>
        <w:t xml:space="preserve"> </w:t>
      </w:r>
      <w:proofErr w:type="spellStart"/>
      <w:r w:rsidR="00227499" w:rsidRPr="00A93A66">
        <w:rPr>
          <w:rFonts w:asciiTheme="majorHAnsi" w:eastAsia="Times New Roman" w:hAnsiTheme="majorHAnsi" w:cstheme="majorHAnsi"/>
          <w:bCs/>
          <w:color w:val="000000"/>
          <w:sz w:val="22"/>
          <w:szCs w:val="22"/>
        </w:rPr>
        <w:t>gangrenosum</w:t>
      </w:r>
      <w:proofErr w:type="spellEnd"/>
      <w:r w:rsidR="00227499" w:rsidRPr="00A93A66">
        <w:rPr>
          <w:rFonts w:asciiTheme="majorHAnsi" w:eastAsia="Times New Roman" w:hAnsiTheme="majorHAnsi" w:cstheme="majorHAnsi"/>
          <w:bCs/>
          <w:color w:val="000000"/>
          <w:sz w:val="22"/>
          <w:szCs w:val="22"/>
        </w:rPr>
        <w:t xml:space="preserve"> and Acne; SCID = Severe Combined Immunodeficiency; TORCH =  toxoplasmosis, other infections, rubella, cytomegalovirus infection, and herpes simplex</w:t>
      </w:r>
      <w:r w:rsidR="00227499" w:rsidRPr="00A93A66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</w:rPr>
        <w:t xml:space="preserve">    </w:t>
      </w:r>
    </w:p>
    <w:p w:rsidR="00227499" w:rsidRPr="00A93A66" w:rsidRDefault="00227499" w:rsidP="00526C75">
      <w:pPr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</w:rPr>
      </w:pPr>
    </w:p>
    <w:p w:rsidR="00227499" w:rsidRPr="00A93A66" w:rsidRDefault="00DF0B3C" w:rsidP="00526C75">
      <w:pPr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</w:rPr>
      </w:pPr>
      <w:r w:rsidRPr="00DF0B3C">
        <w:rPr>
          <w:rFonts w:asciiTheme="majorHAnsi" w:eastAsia="Times New Roman" w:hAnsiTheme="majorHAnsi" w:cstheme="majorHAnsi"/>
          <w:b/>
          <w:color w:val="000000"/>
          <w:sz w:val="22"/>
          <w:szCs w:val="22"/>
        </w:rPr>
        <w:t xml:space="preserve">Additional file </w:t>
      </w:r>
      <w:r>
        <w:rPr>
          <w:rFonts w:asciiTheme="majorHAnsi" w:eastAsia="Times New Roman" w:hAnsiTheme="majorHAnsi" w:cstheme="majorHAnsi"/>
          <w:b/>
          <w:color w:val="000000"/>
          <w:sz w:val="22"/>
          <w:szCs w:val="22"/>
        </w:rPr>
        <w:t>3.</w:t>
      </w:r>
      <w:r w:rsidRPr="00DF0B3C">
        <w:rPr>
          <w:rFonts w:asciiTheme="majorHAnsi" w:eastAsia="Times New Roman" w:hAnsiTheme="majorHAnsi" w:cstheme="majorHAnsi"/>
          <w:b/>
          <w:color w:val="000000"/>
          <w:sz w:val="22"/>
          <w:szCs w:val="22"/>
        </w:rPr>
        <w:t xml:space="preserve"> </w:t>
      </w:r>
      <w:r w:rsidR="00227499" w:rsidRPr="00A93A66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</w:rPr>
        <w:t xml:space="preserve">Shows variants of unknown significance (class 3) and variants in TRAF3 identified in 17 patients suffering from primary immunodeficiencies. </w:t>
      </w:r>
      <w:r w:rsidR="00227499" w:rsidRPr="00A93A66">
        <w:rPr>
          <w:rFonts w:asciiTheme="majorHAnsi" w:eastAsia="Times New Roman" w:hAnsiTheme="majorHAnsi" w:cstheme="majorHAnsi"/>
          <w:bCs/>
          <w:color w:val="000000"/>
          <w:sz w:val="22"/>
          <w:szCs w:val="22"/>
        </w:rPr>
        <w:t>These 17 are part of a diagnostically tested cohort of 254 PID patients from 249 families.</w:t>
      </w:r>
      <w:r w:rsidR="00227499" w:rsidRPr="00A93A66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</w:rPr>
        <w:t xml:space="preserve"> </w:t>
      </w:r>
      <w:r w:rsidR="00227499" w:rsidRPr="00A93A66">
        <w:rPr>
          <w:rFonts w:asciiTheme="majorHAnsi" w:eastAsia="Times New Roman" w:hAnsiTheme="majorHAnsi" w:cstheme="majorHAnsi"/>
          <w:bCs/>
          <w:color w:val="000000"/>
          <w:sz w:val="22"/>
          <w:szCs w:val="22"/>
        </w:rPr>
        <w:t xml:space="preserve">The “variant class” column also indicates variants that were identified by exome-wide analysis.*Only 1 (76.1) of 4 patients carrying a variant in TRAF3 suffered from infections with herpes simplex virus, which might also result form a mutation in GATA2 p.(R86fs/wt). ‡the homozygous mutation was identified in one of the large homozygous regions. Abbreviations used: AR = Autosomal Recessive; AD = Autosomal Dominant; XL = X-linked; </w:t>
      </w:r>
      <w:proofErr w:type="spellStart"/>
      <w:r w:rsidR="00227499" w:rsidRPr="00A93A66">
        <w:rPr>
          <w:rFonts w:asciiTheme="majorHAnsi" w:eastAsia="Times New Roman" w:hAnsiTheme="majorHAnsi" w:cstheme="majorHAnsi"/>
          <w:bCs/>
          <w:color w:val="000000"/>
          <w:sz w:val="22"/>
          <w:szCs w:val="22"/>
        </w:rPr>
        <w:t>hom</w:t>
      </w:r>
      <w:proofErr w:type="spellEnd"/>
      <w:r w:rsidR="00227499" w:rsidRPr="00A93A66">
        <w:rPr>
          <w:rFonts w:asciiTheme="majorHAnsi" w:eastAsia="Times New Roman" w:hAnsiTheme="majorHAnsi" w:cstheme="majorHAnsi"/>
          <w:bCs/>
          <w:color w:val="000000"/>
          <w:sz w:val="22"/>
          <w:szCs w:val="22"/>
        </w:rPr>
        <w:t xml:space="preserve"> = homozygous; CH = Compound heterozygous</w:t>
      </w:r>
    </w:p>
    <w:p w:rsidR="00227499" w:rsidRDefault="00227499" w:rsidP="00526C75">
      <w:pPr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</w:rPr>
      </w:pPr>
    </w:p>
    <w:p w:rsidR="00A93A66" w:rsidRPr="00DF0B3C" w:rsidRDefault="00DF0B3C" w:rsidP="00526C75">
      <w:pPr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AU"/>
        </w:rPr>
      </w:pPr>
      <w:r w:rsidRPr="00DF0B3C">
        <w:rPr>
          <w:rFonts w:asciiTheme="majorHAnsi" w:eastAsia="Times New Roman" w:hAnsiTheme="majorHAnsi" w:cstheme="majorHAnsi"/>
          <w:b/>
          <w:color w:val="000000"/>
          <w:sz w:val="22"/>
          <w:szCs w:val="22"/>
        </w:rPr>
        <w:t xml:space="preserve">Additional file 4. </w:t>
      </w:r>
      <w:r w:rsidR="00A93A66" w:rsidRPr="00DF0B3C">
        <w:rPr>
          <w:rFonts w:ascii="Calibri" w:eastAsia="Times New Roman" w:hAnsi="Calibri" w:cs="Calibri"/>
          <w:color w:val="000000"/>
          <w:sz w:val="22"/>
          <w:szCs w:val="22"/>
          <w:lang w:val="en-AU"/>
        </w:rPr>
        <w:t xml:space="preserve">Provides </w:t>
      </w:r>
      <w:r w:rsidR="00A93A66" w:rsidRPr="00DF0B3C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AU"/>
        </w:rPr>
        <w:t>(A)</w:t>
      </w:r>
      <w:r w:rsidR="00A93A66" w:rsidRPr="00DF0B3C">
        <w:rPr>
          <w:rFonts w:ascii="Calibri" w:eastAsia="Times New Roman" w:hAnsi="Calibri" w:cs="Calibri"/>
          <w:color w:val="000000"/>
          <w:sz w:val="22"/>
          <w:szCs w:val="22"/>
          <w:lang w:val="en-AU"/>
        </w:rPr>
        <w:t xml:space="preserve"> the number of patients with isolated or combined infections, and </w:t>
      </w:r>
      <w:r w:rsidR="00A93A66" w:rsidRPr="00DF0B3C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AU"/>
        </w:rPr>
        <w:t>(B)</w:t>
      </w:r>
      <w:r w:rsidR="00A93A66" w:rsidRPr="00DF0B3C">
        <w:rPr>
          <w:rFonts w:ascii="Calibri" w:eastAsia="Times New Roman" w:hAnsi="Calibri" w:cs="Calibri"/>
          <w:color w:val="000000"/>
          <w:sz w:val="22"/>
          <w:szCs w:val="22"/>
          <w:lang w:val="en-AU"/>
        </w:rPr>
        <w:t xml:space="preserve">  the number of patients with isolated or combined </w:t>
      </w:r>
      <w:proofErr w:type="spellStart"/>
      <w:r w:rsidR="00A93A66" w:rsidRPr="00DF0B3C">
        <w:rPr>
          <w:rFonts w:ascii="Calibri" w:eastAsia="Times New Roman" w:hAnsi="Calibri" w:cs="Calibri"/>
          <w:color w:val="000000"/>
          <w:sz w:val="22"/>
          <w:szCs w:val="22"/>
          <w:lang w:val="en-AU"/>
        </w:rPr>
        <w:t>immunophenotypes</w:t>
      </w:r>
      <w:proofErr w:type="spellEnd"/>
      <w:r w:rsidR="00A93A66" w:rsidRPr="00DF0B3C">
        <w:rPr>
          <w:rFonts w:ascii="Calibri" w:eastAsia="Times New Roman" w:hAnsi="Calibri" w:cs="Calibri"/>
          <w:color w:val="000000"/>
          <w:sz w:val="22"/>
          <w:szCs w:val="22"/>
          <w:lang w:val="en-AU"/>
        </w:rPr>
        <w:t>, and the percentage for which we have reported a genetic diagnosis</w:t>
      </w:r>
    </w:p>
    <w:p w:rsidR="00A93A66" w:rsidRPr="00A93A66" w:rsidRDefault="00A93A66" w:rsidP="00526C75">
      <w:pPr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</w:rPr>
      </w:pPr>
    </w:p>
    <w:p w:rsidR="00526C75" w:rsidRPr="00A93A66" w:rsidRDefault="00DF0B3C">
      <w:pPr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</w:rPr>
      </w:pPr>
      <w:r w:rsidRPr="00DF0B3C">
        <w:rPr>
          <w:rFonts w:asciiTheme="majorHAnsi" w:eastAsia="Times New Roman" w:hAnsiTheme="majorHAnsi" w:cstheme="majorHAnsi"/>
          <w:b/>
          <w:color w:val="000000"/>
          <w:sz w:val="22"/>
          <w:szCs w:val="22"/>
        </w:rPr>
        <w:t xml:space="preserve">Additional file </w:t>
      </w:r>
      <w:r>
        <w:rPr>
          <w:rFonts w:asciiTheme="majorHAnsi" w:eastAsia="Times New Roman" w:hAnsiTheme="majorHAnsi" w:cstheme="majorHAnsi"/>
          <w:b/>
          <w:color w:val="000000"/>
          <w:sz w:val="22"/>
          <w:szCs w:val="22"/>
        </w:rPr>
        <w:t>5</w:t>
      </w:r>
      <w:r w:rsidR="00526C75" w:rsidRPr="00A93A66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</w:rPr>
        <w:t>.</w:t>
      </w:r>
    </w:p>
    <w:p w:rsidR="00526C75" w:rsidRPr="00A93A66" w:rsidRDefault="00526C75">
      <w:pPr>
        <w:rPr>
          <w:rFonts w:asciiTheme="majorHAnsi" w:eastAsia="Times New Roman" w:hAnsiTheme="majorHAnsi" w:cstheme="majorHAnsi"/>
          <w:bCs/>
          <w:color w:val="000000"/>
          <w:sz w:val="22"/>
          <w:szCs w:val="22"/>
        </w:rPr>
      </w:pPr>
      <w:r w:rsidRPr="00A93A66">
        <w:rPr>
          <w:rFonts w:asciiTheme="majorHAnsi" w:eastAsia="Times New Roman" w:hAnsiTheme="majorHAnsi" w:cstheme="majorHAnsi"/>
          <w:bCs/>
          <w:color w:val="000000"/>
          <w:sz w:val="22"/>
          <w:szCs w:val="22"/>
        </w:rPr>
        <w:t xml:space="preserve">Provides quality information of the WES technology, with the mean target coverage, and the % of bases with &gt;20X coverage. </w:t>
      </w:r>
    </w:p>
    <w:p w:rsidR="00526C75" w:rsidRPr="00A93A66" w:rsidRDefault="00526C75">
      <w:pPr>
        <w:rPr>
          <w:rFonts w:asciiTheme="majorHAnsi" w:eastAsia="Times New Roman" w:hAnsiTheme="majorHAnsi" w:cstheme="majorHAnsi"/>
          <w:bCs/>
          <w:color w:val="000000"/>
          <w:sz w:val="22"/>
          <w:szCs w:val="22"/>
        </w:rPr>
      </w:pPr>
    </w:p>
    <w:p w:rsidR="00526C75" w:rsidRPr="00DF0B3C" w:rsidRDefault="00DF0B3C" w:rsidP="00526C75">
      <w:pPr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</w:rPr>
      </w:pPr>
      <w:r w:rsidRPr="00DF0B3C">
        <w:rPr>
          <w:rFonts w:asciiTheme="majorHAnsi" w:eastAsia="Times New Roman" w:hAnsiTheme="majorHAnsi" w:cstheme="majorHAnsi"/>
          <w:b/>
          <w:color w:val="000000"/>
          <w:sz w:val="22"/>
          <w:szCs w:val="22"/>
        </w:rPr>
        <w:t>Additional file 6</w:t>
      </w:r>
      <w:r w:rsidR="00526C75" w:rsidRPr="00DF0B3C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</w:rPr>
        <w:t>.</w:t>
      </w:r>
    </w:p>
    <w:p w:rsidR="00526C75" w:rsidRPr="00DF0B3C" w:rsidRDefault="00526C75">
      <w:pPr>
        <w:rPr>
          <w:rFonts w:asciiTheme="majorHAnsi" w:hAnsiTheme="majorHAnsi" w:cstheme="majorHAnsi"/>
          <w:sz w:val="22"/>
          <w:szCs w:val="22"/>
        </w:rPr>
      </w:pPr>
      <w:r w:rsidRPr="00DF0B3C">
        <w:rPr>
          <w:rFonts w:asciiTheme="majorHAnsi" w:hAnsiTheme="majorHAnsi" w:cstheme="majorHAnsi"/>
          <w:sz w:val="22"/>
          <w:szCs w:val="22"/>
        </w:rPr>
        <w:t xml:space="preserve">Provides information on all large &gt;5mb homozygous regions per patient, detected in the exome. Of each region, the genomic location, size, % homozygous variants, and the detected mutation is provided. </w:t>
      </w:r>
    </w:p>
    <w:p w:rsidR="00A93A66" w:rsidRPr="00DF0B3C" w:rsidRDefault="00A93A66">
      <w:pPr>
        <w:rPr>
          <w:rFonts w:asciiTheme="majorHAnsi" w:hAnsiTheme="majorHAnsi" w:cstheme="majorHAnsi"/>
          <w:sz w:val="22"/>
          <w:szCs w:val="22"/>
        </w:rPr>
      </w:pPr>
    </w:p>
    <w:p w:rsidR="00A93A66" w:rsidRPr="006335F0" w:rsidRDefault="00A93A66" w:rsidP="006335F0">
      <w:pPr>
        <w:rPr>
          <w:rFonts w:asciiTheme="majorHAnsi" w:hAnsiTheme="majorHAnsi" w:cstheme="majorHAnsi"/>
          <w:b/>
          <w:sz w:val="22"/>
        </w:rPr>
      </w:pPr>
      <w:r w:rsidRPr="001203B4">
        <w:rPr>
          <w:rFonts w:asciiTheme="majorHAnsi" w:hAnsiTheme="majorHAnsi" w:cstheme="majorHAnsi"/>
          <w:b/>
          <w:sz w:val="22"/>
        </w:rPr>
        <w:t xml:space="preserve">References for </w:t>
      </w:r>
      <w:r w:rsidR="00DF0B3C">
        <w:rPr>
          <w:rFonts w:asciiTheme="majorHAnsi" w:eastAsia="Times New Roman" w:hAnsiTheme="majorHAnsi" w:cstheme="majorHAnsi"/>
          <w:b/>
          <w:color w:val="000000"/>
          <w:sz w:val="22"/>
          <w:szCs w:val="22"/>
        </w:rPr>
        <w:t>a</w:t>
      </w:r>
      <w:r w:rsidR="00DF0B3C" w:rsidRPr="00DF0B3C">
        <w:rPr>
          <w:rFonts w:asciiTheme="majorHAnsi" w:eastAsia="Times New Roman" w:hAnsiTheme="majorHAnsi" w:cstheme="majorHAnsi"/>
          <w:b/>
          <w:color w:val="000000"/>
          <w:sz w:val="22"/>
          <w:szCs w:val="22"/>
        </w:rPr>
        <w:t>dditional file</w:t>
      </w:r>
      <w:r w:rsidR="00DF0B3C">
        <w:rPr>
          <w:rFonts w:asciiTheme="majorHAnsi" w:eastAsia="Times New Roman" w:hAnsiTheme="majorHAnsi" w:cstheme="majorHAnsi"/>
          <w:b/>
          <w:color w:val="000000"/>
          <w:sz w:val="22"/>
          <w:szCs w:val="22"/>
        </w:rPr>
        <w:t>s</w:t>
      </w:r>
      <w:r w:rsidR="00DF0B3C" w:rsidRPr="00DF0B3C">
        <w:rPr>
          <w:rFonts w:asciiTheme="majorHAnsi" w:eastAsia="Times New Roman" w:hAnsiTheme="majorHAnsi" w:cstheme="majorHAnsi"/>
          <w:b/>
          <w:color w:val="000000"/>
          <w:sz w:val="22"/>
          <w:szCs w:val="22"/>
        </w:rPr>
        <w:t xml:space="preserve"> </w:t>
      </w:r>
      <w:r w:rsidRPr="001203B4">
        <w:rPr>
          <w:rFonts w:asciiTheme="majorHAnsi" w:hAnsiTheme="majorHAnsi" w:cstheme="majorHAnsi"/>
          <w:b/>
          <w:sz w:val="22"/>
        </w:rPr>
        <w:t>2 and 3</w:t>
      </w:r>
      <w:r w:rsidR="00DF0B3C">
        <w:rPr>
          <w:rFonts w:asciiTheme="majorHAnsi" w:hAnsiTheme="majorHAnsi" w:cstheme="majorHAnsi"/>
          <w:b/>
          <w:sz w:val="22"/>
        </w:rPr>
        <w:t>.</w:t>
      </w:r>
    </w:p>
    <w:p w:rsidR="006335F0" w:rsidRPr="001203B4" w:rsidRDefault="006335F0" w:rsidP="006335F0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i/>
          <w:sz w:val="22"/>
        </w:rPr>
      </w:pPr>
    </w:p>
    <w:p w:rsidR="006335F0" w:rsidRPr="00DF0B3C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  <w:lang w:val="nl-NL"/>
        </w:rPr>
      </w:pPr>
      <w:r w:rsidRPr="001203B4">
        <w:rPr>
          <w:rFonts w:asciiTheme="majorHAnsi" w:hAnsiTheme="majorHAnsi" w:cstheme="majorHAnsi"/>
          <w:sz w:val="22"/>
        </w:rPr>
        <w:t>S</w:t>
      </w:r>
      <w:r w:rsidR="008921E1" w:rsidRPr="001203B4">
        <w:rPr>
          <w:rFonts w:asciiTheme="majorHAnsi" w:hAnsiTheme="majorHAnsi" w:cstheme="majorHAnsi"/>
          <w:sz w:val="22"/>
        </w:rPr>
        <w:fldChar w:fldCharType="begin" w:fldLock="1"/>
      </w:r>
      <w:r w:rsidRPr="001203B4">
        <w:rPr>
          <w:rFonts w:asciiTheme="majorHAnsi" w:hAnsiTheme="majorHAnsi" w:cstheme="majorHAnsi"/>
          <w:sz w:val="22"/>
        </w:rPr>
        <w:instrText xml:space="preserve">ADDIN Mendeley Bibliography CSL_BIBLIOGRAPHY </w:instrText>
      </w:r>
      <w:r w:rsidR="008921E1" w:rsidRPr="001203B4">
        <w:rPr>
          <w:rFonts w:asciiTheme="majorHAnsi" w:hAnsiTheme="majorHAnsi" w:cstheme="majorHAnsi"/>
          <w:sz w:val="22"/>
        </w:rPr>
        <w:fldChar w:fldCharType="separate"/>
      </w:r>
      <w:r w:rsidRPr="001203B4">
        <w:rPr>
          <w:rFonts w:asciiTheme="majorHAnsi" w:hAnsiTheme="majorHAnsi" w:cstheme="majorHAnsi"/>
          <w:noProof/>
          <w:sz w:val="22"/>
        </w:rPr>
        <w:t xml:space="preserve">1. </w:t>
      </w:r>
      <w:r w:rsidRPr="001203B4">
        <w:rPr>
          <w:rFonts w:asciiTheme="majorHAnsi" w:hAnsiTheme="majorHAnsi" w:cstheme="majorHAnsi"/>
          <w:noProof/>
          <w:sz w:val="22"/>
        </w:rPr>
        <w:tab/>
      </w:r>
      <w:r w:rsidRPr="006335F0">
        <w:rPr>
          <w:rFonts w:asciiTheme="majorHAnsi" w:hAnsiTheme="majorHAnsi" w:cstheme="majorHAnsi"/>
          <w:noProof/>
          <w:sz w:val="22"/>
        </w:rPr>
        <w:t xml:space="preserve">Nagamine K, Peterson P, Scott HS, et al. Positional cloning of the APECED gene. 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Nat. Genet. </w:t>
      </w:r>
      <w:r w:rsidRPr="00DF0B3C">
        <w:rPr>
          <w:rFonts w:asciiTheme="majorHAnsi" w:hAnsiTheme="majorHAnsi" w:cstheme="majorHAnsi"/>
          <w:bCs/>
          <w:noProof/>
          <w:sz w:val="22"/>
          <w:lang w:val="nl-NL"/>
        </w:rPr>
        <w:t>1997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; 17:393–398. </w:t>
      </w:r>
    </w:p>
    <w:p w:rsidR="006335F0" w:rsidRPr="006335F0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</w:rPr>
      </w:pP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S2. 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ab/>
        <w:t xml:space="preserve">Demidowich AP, Freeman AF, Kuhns DB, et al. </w:t>
      </w:r>
      <w:r w:rsidRPr="006335F0">
        <w:rPr>
          <w:rFonts w:asciiTheme="majorHAnsi" w:hAnsiTheme="majorHAnsi" w:cstheme="majorHAnsi"/>
          <w:noProof/>
          <w:sz w:val="22"/>
        </w:rPr>
        <w:t xml:space="preserve">Genotype, Phenotype, and Clinical Course in Five Patients With PAPA Syndrome (Pyogenic Sterile Arthritis, Pyoderma Gangrenosum, and Acne). Arthritis Rheumatol. </w:t>
      </w:r>
      <w:r w:rsidRPr="006335F0">
        <w:rPr>
          <w:rFonts w:asciiTheme="majorHAnsi" w:hAnsiTheme="majorHAnsi" w:cstheme="majorHAnsi"/>
          <w:bCs/>
          <w:noProof/>
          <w:sz w:val="22"/>
        </w:rPr>
        <w:t>2012</w:t>
      </w:r>
      <w:r w:rsidRPr="006335F0">
        <w:rPr>
          <w:rFonts w:asciiTheme="majorHAnsi" w:hAnsiTheme="majorHAnsi" w:cstheme="majorHAnsi"/>
          <w:noProof/>
          <w:sz w:val="22"/>
        </w:rPr>
        <w:t xml:space="preserve">; 64:2022–2027. </w:t>
      </w:r>
    </w:p>
    <w:p w:rsidR="006335F0" w:rsidRPr="006335F0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</w:rPr>
      </w:pPr>
      <w:r w:rsidRPr="006335F0">
        <w:rPr>
          <w:rFonts w:asciiTheme="majorHAnsi" w:hAnsiTheme="majorHAnsi" w:cstheme="majorHAnsi"/>
          <w:noProof/>
          <w:sz w:val="22"/>
        </w:rPr>
        <w:t xml:space="preserve">S3. </w:t>
      </w:r>
      <w:r w:rsidRPr="006335F0">
        <w:rPr>
          <w:rFonts w:asciiTheme="majorHAnsi" w:hAnsiTheme="majorHAnsi" w:cstheme="majorHAnsi"/>
          <w:noProof/>
          <w:sz w:val="22"/>
        </w:rPr>
        <w:tab/>
        <w:t xml:space="preserve">Dell’Angelica EC, Shotelersuk V, Aguilar RC, Gahl WA, Bonifacino JS. Altered trafficking of lysosomal proteins in Hermansky-Pudlak syndrome due to mutations in the ??3A subunit of the AP-3 adaptor. Mol. Cell </w:t>
      </w:r>
      <w:r w:rsidRPr="006335F0">
        <w:rPr>
          <w:rFonts w:asciiTheme="majorHAnsi" w:hAnsiTheme="majorHAnsi" w:cstheme="majorHAnsi"/>
          <w:bCs/>
          <w:noProof/>
          <w:sz w:val="22"/>
        </w:rPr>
        <w:t>1999</w:t>
      </w:r>
      <w:r w:rsidRPr="006335F0">
        <w:rPr>
          <w:rFonts w:asciiTheme="majorHAnsi" w:hAnsiTheme="majorHAnsi" w:cstheme="majorHAnsi"/>
          <w:noProof/>
          <w:sz w:val="22"/>
        </w:rPr>
        <w:t xml:space="preserve">; 3:11–21. </w:t>
      </w:r>
    </w:p>
    <w:p w:rsidR="006335F0" w:rsidRPr="00DF0B3C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  <w:lang w:val="nl-NL"/>
        </w:rPr>
      </w:pPr>
      <w:r w:rsidRPr="006335F0">
        <w:rPr>
          <w:rFonts w:asciiTheme="majorHAnsi" w:hAnsiTheme="majorHAnsi" w:cstheme="majorHAnsi"/>
          <w:noProof/>
          <w:sz w:val="22"/>
        </w:rPr>
        <w:t xml:space="preserve">S4. </w:t>
      </w:r>
      <w:r w:rsidRPr="006335F0">
        <w:rPr>
          <w:rFonts w:asciiTheme="majorHAnsi" w:hAnsiTheme="majorHAnsi" w:cstheme="majorHAnsi"/>
          <w:noProof/>
          <w:sz w:val="22"/>
        </w:rPr>
        <w:tab/>
        <w:t>Clark RH, Stinchcombe JC, Day A, et al. Adaptor protein 3-dependent microtubule-</w:t>
      </w:r>
      <w:r w:rsidRPr="006335F0">
        <w:rPr>
          <w:rFonts w:asciiTheme="majorHAnsi" w:hAnsiTheme="majorHAnsi" w:cstheme="majorHAnsi"/>
          <w:noProof/>
          <w:sz w:val="22"/>
        </w:rPr>
        <w:lastRenderedPageBreak/>
        <w:t xml:space="preserve">mediated movement of lytic granules to the immunological synapse. 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Nat. Immunol. </w:t>
      </w:r>
      <w:r w:rsidRPr="00DF0B3C">
        <w:rPr>
          <w:rFonts w:asciiTheme="majorHAnsi" w:hAnsiTheme="majorHAnsi" w:cstheme="majorHAnsi"/>
          <w:bCs/>
          <w:noProof/>
          <w:sz w:val="22"/>
          <w:lang w:val="nl-NL"/>
        </w:rPr>
        <w:t>2003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; 4:1111–1120. </w:t>
      </w:r>
    </w:p>
    <w:p w:rsidR="006335F0" w:rsidRPr="00DF0B3C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  <w:lang w:val="nl-NL"/>
        </w:rPr>
      </w:pP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S5. 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ab/>
        <w:t xml:space="preserve">Hernandez PA, Gorlin RJ, Lukens JN, et al. </w:t>
      </w:r>
      <w:r w:rsidRPr="006335F0">
        <w:rPr>
          <w:rFonts w:asciiTheme="majorHAnsi" w:hAnsiTheme="majorHAnsi" w:cstheme="majorHAnsi"/>
          <w:noProof/>
          <w:sz w:val="22"/>
        </w:rPr>
        <w:t xml:space="preserve">Mutations in the chemokine receptor gene CXCR4 are associated with WHIM syndrome, a combined immunodeficiency disease. 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Nat Genet </w:t>
      </w:r>
      <w:r w:rsidRPr="00DF0B3C">
        <w:rPr>
          <w:rFonts w:asciiTheme="majorHAnsi" w:hAnsiTheme="majorHAnsi" w:cstheme="majorHAnsi"/>
          <w:bCs/>
          <w:noProof/>
          <w:sz w:val="22"/>
          <w:lang w:val="nl-NL"/>
        </w:rPr>
        <w:t>2003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; 34:70–74. </w:t>
      </w:r>
    </w:p>
    <w:p w:rsidR="006335F0" w:rsidRPr="006335F0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</w:rPr>
      </w:pP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S6. 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ab/>
        <w:t xml:space="preserve">Veerdonk FL van de, Plantinga TS, Alexander Hoischen, et al. </w:t>
      </w:r>
      <w:r w:rsidRPr="006335F0">
        <w:rPr>
          <w:rFonts w:asciiTheme="majorHAnsi" w:hAnsiTheme="majorHAnsi" w:cstheme="majorHAnsi"/>
          <w:noProof/>
          <w:sz w:val="22"/>
        </w:rPr>
        <w:t xml:space="preserve">STAT1 mutations in autosomal dominant chronic mucocutaneous candidiasis. N. Engl. J. Med. </w:t>
      </w:r>
      <w:r w:rsidRPr="006335F0">
        <w:rPr>
          <w:rFonts w:asciiTheme="majorHAnsi" w:hAnsiTheme="majorHAnsi" w:cstheme="majorHAnsi"/>
          <w:bCs/>
          <w:noProof/>
          <w:sz w:val="22"/>
        </w:rPr>
        <w:t>2011</w:t>
      </w:r>
      <w:r w:rsidRPr="006335F0">
        <w:rPr>
          <w:rFonts w:asciiTheme="majorHAnsi" w:hAnsiTheme="majorHAnsi" w:cstheme="majorHAnsi"/>
          <w:noProof/>
          <w:sz w:val="22"/>
        </w:rPr>
        <w:t xml:space="preserve">; 365:54–61. </w:t>
      </w:r>
    </w:p>
    <w:p w:rsidR="006335F0" w:rsidRPr="00DF0B3C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  <w:lang w:val="nl-NL"/>
        </w:rPr>
      </w:pP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S7. 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ab/>
        <w:t xml:space="preserve">Liu L, Okada S, Kong X-F, et al. </w:t>
      </w:r>
      <w:r w:rsidRPr="006335F0">
        <w:rPr>
          <w:rFonts w:asciiTheme="majorHAnsi" w:hAnsiTheme="majorHAnsi" w:cstheme="majorHAnsi"/>
          <w:noProof/>
          <w:sz w:val="22"/>
        </w:rPr>
        <w:t xml:space="preserve">Gain-of-function human STAT1 mutations impair IL-17 immunity and underlie chronic mucocutaneous candidiasis. 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J. Exp. Med. </w:t>
      </w:r>
      <w:r w:rsidRPr="00DF0B3C">
        <w:rPr>
          <w:rFonts w:asciiTheme="majorHAnsi" w:hAnsiTheme="majorHAnsi" w:cstheme="majorHAnsi"/>
          <w:bCs/>
          <w:noProof/>
          <w:sz w:val="22"/>
          <w:lang w:val="nl-NL"/>
        </w:rPr>
        <w:t>2011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; 208:1635–1648. </w:t>
      </w:r>
    </w:p>
    <w:p w:rsidR="006335F0" w:rsidRPr="00DF0B3C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  <w:lang w:val="nl-NL"/>
        </w:rPr>
      </w:pP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S8. 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ab/>
        <w:t xml:space="preserve">Ly H, Schertzer M, Jastaniah W, et al. </w:t>
      </w:r>
      <w:r w:rsidRPr="006335F0">
        <w:rPr>
          <w:rFonts w:asciiTheme="majorHAnsi" w:hAnsiTheme="majorHAnsi" w:cstheme="majorHAnsi"/>
          <w:noProof/>
          <w:sz w:val="22"/>
        </w:rPr>
        <w:t xml:space="preserve">Identification and functional characterization of 2 variant alleles of the telomerase RNA template gene (TERC) in a patient with dyskeratosis congenita. 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Blood </w:t>
      </w:r>
      <w:r w:rsidRPr="00DF0B3C">
        <w:rPr>
          <w:rFonts w:asciiTheme="majorHAnsi" w:hAnsiTheme="majorHAnsi" w:cstheme="majorHAnsi"/>
          <w:bCs/>
          <w:noProof/>
          <w:sz w:val="22"/>
          <w:lang w:val="nl-NL"/>
        </w:rPr>
        <w:t>2005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; 106:1246–1252. </w:t>
      </w:r>
    </w:p>
    <w:p w:rsidR="006335F0" w:rsidRPr="006335F0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</w:rPr>
      </w:pP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S9. 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ab/>
        <w:t xml:space="preserve">Schubert D, Bode C, Kenefeck R, et al. </w:t>
      </w:r>
      <w:r w:rsidRPr="006335F0">
        <w:rPr>
          <w:rFonts w:asciiTheme="majorHAnsi" w:hAnsiTheme="majorHAnsi" w:cstheme="majorHAnsi"/>
          <w:noProof/>
          <w:sz w:val="22"/>
        </w:rPr>
        <w:t xml:space="preserve">Autosomal dominant immune dysregulation syndrome in humans with CTLA4 mutations. Nat. Med. </w:t>
      </w:r>
      <w:r w:rsidRPr="006335F0">
        <w:rPr>
          <w:rFonts w:asciiTheme="majorHAnsi" w:hAnsiTheme="majorHAnsi" w:cstheme="majorHAnsi"/>
          <w:bCs/>
          <w:noProof/>
          <w:sz w:val="22"/>
        </w:rPr>
        <w:t>2014</w:t>
      </w:r>
      <w:r w:rsidRPr="006335F0">
        <w:rPr>
          <w:rFonts w:asciiTheme="majorHAnsi" w:hAnsiTheme="majorHAnsi" w:cstheme="majorHAnsi"/>
          <w:noProof/>
          <w:sz w:val="22"/>
        </w:rPr>
        <w:t xml:space="preserve">; 20:1410–6. </w:t>
      </w:r>
    </w:p>
    <w:p w:rsidR="006335F0" w:rsidRPr="00DF0B3C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  <w:lang w:val="nl-NL"/>
        </w:rPr>
      </w:pPr>
      <w:r w:rsidRPr="006335F0">
        <w:rPr>
          <w:rFonts w:asciiTheme="majorHAnsi" w:hAnsiTheme="majorHAnsi" w:cstheme="majorHAnsi"/>
          <w:noProof/>
          <w:sz w:val="22"/>
        </w:rPr>
        <w:t xml:space="preserve">S10. </w:t>
      </w:r>
      <w:r w:rsidRPr="006335F0">
        <w:rPr>
          <w:rFonts w:asciiTheme="majorHAnsi" w:hAnsiTheme="majorHAnsi" w:cstheme="majorHAnsi"/>
          <w:noProof/>
          <w:sz w:val="22"/>
        </w:rPr>
        <w:tab/>
        <w:t xml:space="preserve">Ng SB, Bigham AW, Buckingham KJ, et al. Exome sequencing identifies MLL2 mutations as a cause of Kabuki syndrome. 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Nat. Genet. </w:t>
      </w:r>
      <w:r w:rsidRPr="00DF0B3C">
        <w:rPr>
          <w:rFonts w:asciiTheme="majorHAnsi" w:hAnsiTheme="majorHAnsi" w:cstheme="majorHAnsi"/>
          <w:bCs/>
          <w:noProof/>
          <w:sz w:val="22"/>
          <w:lang w:val="nl-NL"/>
        </w:rPr>
        <w:t>2010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; 42:790–793. </w:t>
      </w:r>
    </w:p>
    <w:p w:rsidR="006335F0" w:rsidRPr="006335F0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</w:rPr>
      </w:pP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S11. 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ab/>
        <w:t xml:space="preserve">Makrythanasis P, van Bon BW, Steehouwer M, et al. </w:t>
      </w:r>
      <w:r w:rsidRPr="006335F0">
        <w:rPr>
          <w:rFonts w:asciiTheme="majorHAnsi" w:hAnsiTheme="majorHAnsi" w:cstheme="majorHAnsi"/>
          <w:noProof/>
          <w:sz w:val="22"/>
        </w:rPr>
        <w:t xml:space="preserve">MLL2 mutation detection in 86 patients with Kabuki syndrome: A genotype-phenotype study. Clin. Genet. </w:t>
      </w:r>
      <w:r w:rsidRPr="006335F0">
        <w:rPr>
          <w:rFonts w:asciiTheme="majorHAnsi" w:hAnsiTheme="majorHAnsi" w:cstheme="majorHAnsi"/>
          <w:bCs/>
          <w:noProof/>
          <w:sz w:val="22"/>
        </w:rPr>
        <w:t>2013</w:t>
      </w:r>
      <w:r w:rsidRPr="006335F0">
        <w:rPr>
          <w:rFonts w:asciiTheme="majorHAnsi" w:hAnsiTheme="majorHAnsi" w:cstheme="majorHAnsi"/>
          <w:noProof/>
          <w:sz w:val="22"/>
        </w:rPr>
        <w:t xml:space="preserve">; 84:539–545. </w:t>
      </w:r>
    </w:p>
    <w:p w:rsidR="006335F0" w:rsidRPr="00DF0B3C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  <w:lang w:val="nl-NL"/>
        </w:rPr>
      </w:pPr>
      <w:r w:rsidRPr="006335F0">
        <w:rPr>
          <w:rFonts w:asciiTheme="majorHAnsi" w:hAnsiTheme="majorHAnsi" w:cstheme="majorHAnsi"/>
          <w:noProof/>
          <w:sz w:val="22"/>
        </w:rPr>
        <w:t xml:space="preserve">S12. </w:t>
      </w:r>
      <w:r w:rsidRPr="006335F0">
        <w:rPr>
          <w:rFonts w:asciiTheme="majorHAnsi" w:hAnsiTheme="majorHAnsi" w:cstheme="majorHAnsi"/>
          <w:noProof/>
          <w:sz w:val="22"/>
        </w:rPr>
        <w:tab/>
        <w:t xml:space="preserve">Castleman VH, Romio L, Chodhari R, et al. Mutations in radial spoke head protein genes RSPH9 and RSPH4A cause primary ciliary dyskinesia with central-microtubular-pair abnormalities. 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Am. J. Hum. Genet. </w:t>
      </w:r>
      <w:r w:rsidRPr="00DF0B3C">
        <w:rPr>
          <w:rFonts w:asciiTheme="majorHAnsi" w:hAnsiTheme="majorHAnsi" w:cstheme="majorHAnsi"/>
          <w:bCs/>
          <w:noProof/>
          <w:sz w:val="22"/>
          <w:lang w:val="nl-NL"/>
        </w:rPr>
        <w:t>2008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; 84:197–209. </w:t>
      </w:r>
    </w:p>
    <w:p w:rsidR="006335F0" w:rsidRPr="006335F0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</w:rPr>
      </w:pP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S13. 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ab/>
        <w:t xml:space="preserve">Hsu AP, Sampaio EP, Khan J, et al. </w:t>
      </w:r>
      <w:r w:rsidRPr="006335F0">
        <w:rPr>
          <w:rFonts w:asciiTheme="majorHAnsi" w:hAnsiTheme="majorHAnsi" w:cstheme="majorHAnsi"/>
          <w:noProof/>
          <w:sz w:val="22"/>
        </w:rPr>
        <w:t xml:space="preserve">Mutations in GATA2 are associated with the autosomal dominant and sporadic monocytopenia and mycobacterial infection (MonoMAC) syndrome. Blood </w:t>
      </w:r>
      <w:r w:rsidRPr="006335F0">
        <w:rPr>
          <w:rFonts w:asciiTheme="majorHAnsi" w:hAnsiTheme="majorHAnsi" w:cstheme="majorHAnsi"/>
          <w:bCs/>
          <w:noProof/>
          <w:sz w:val="22"/>
        </w:rPr>
        <w:t>2011</w:t>
      </w:r>
      <w:r w:rsidRPr="006335F0">
        <w:rPr>
          <w:rFonts w:asciiTheme="majorHAnsi" w:hAnsiTheme="majorHAnsi" w:cstheme="majorHAnsi"/>
          <w:noProof/>
          <w:sz w:val="22"/>
        </w:rPr>
        <w:t xml:space="preserve">; 118:2653–2655. </w:t>
      </w:r>
    </w:p>
    <w:p w:rsidR="006335F0" w:rsidRPr="006335F0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</w:rPr>
      </w:pPr>
      <w:r w:rsidRPr="006335F0">
        <w:rPr>
          <w:rFonts w:asciiTheme="majorHAnsi" w:hAnsiTheme="majorHAnsi" w:cstheme="majorHAnsi"/>
          <w:noProof/>
          <w:sz w:val="22"/>
        </w:rPr>
        <w:t xml:space="preserve">S14. </w:t>
      </w:r>
      <w:r w:rsidRPr="006335F0">
        <w:rPr>
          <w:rFonts w:asciiTheme="majorHAnsi" w:hAnsiTheme="majorHAnsi" w:cstheme="majorHAnsi"/>
          <w:noProof/>
          <w:sz w:val="22"/>
        </w:rPr>
        <w:tab/>
        <w:t xml:space="preserve">Lopez-Herrera G, Tampella G, Pan-Hammarström Q, et al. Deleterious mutations in LRBA are associated with a syndrome of immune deficiency and autoimmunity. Am. J. Hum. Genet. </w:t>
      </w:r>
      <w:r w:rsidRPr="006335F0">
        <w:rPr>
          <w:rFonts w:asciiTheme="majorHAnsi" w:hAnsiTheme="majorHAnsi" w:cstheme="majorHAnsi"/>
          <w:bCs/>
          <w:noProof/>
          <w:sz w:val="22"/>
        </w:rPr>
        <w:t>2012</w:t>
      </w:r>
      <w:r w:rsidRPr="006335F0">
        <w:rPr>
          <w:rFonts w:asciiTheme="majorHAnsi" w:hAnsiTheme="majorHAnsi" w:cstheme="majorHAnsi"/>
          <w:noProof/>
          <w:sz w:val="22"/>
        </w:rPr>
        <w:t xml:space="preserve">; 90:986–1001. </w:t>
      </w:r>
    </w:p>
    <w:p w:rsidR="006335F0" w:rsidRPr="006335F0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</w:rPr>
      </w:pPr>
      <w:r w:rsidRPr="006335F0">
        <w:rPr>
          <w:rFonts w:asciiTheme="majorHAnsi" w:hAnsiTheme="majorHAnsi" w:cstheme="majorHAnsi"/>
          <w:noProof/>
          <w:sz w:val="22"/>
        </w:rPr>
        <w:t xml:space="preserve">S15. </w:t>
      </w:r>
      <w:r w:rsidRPr="006335F0">
        <w:rPr>
          <w:rFonts w:asciiTheme="majorHAnsi" w:hAnsiTheme="majorHAnsi" w:cstheme="majorHAnsi"/>
          <w:noProof/>
          <w:sz w:val="22"/>
        </w:rPr>
        <w:tab/>
        <w:t xml:space="preserve">Wiszniewski W, Fondaneche MC, Louise-Plence P, et al. Novel mutations in the RFXANK gene: RFX complex containing in-vitro-generated RFXANK mutant binds the promoter without transactivating MHC II. Immunogenetics </w:t>
      </w:r>
      <w:r w:rsidRPr="006335F0">
        <w:rPr>
          <w:rFonts w:asciiTheme="majorHAnsi" w:hAnsiTheme="majorHAnsi" w:cstheme="majorHAnsi"/>
          <w:bCs/>
          <w:noProof/>
          <w:sz w:val="22"/>
        </w:rPr>
        <w:t>2003</w:t>
      </w:r>
      <w:r w:rsidRPr="006335F0">
        <w:rPr>
          <w:rFonts w:asciiTheme="majorHAnsi" w:hAnsiTheme="majorHAnsi" w:cstheme="majorHAnsi"/>
          <w:noProof/>
          <w:sz w:val="22"/>
        </w:rPr>
        <w:t xml:space="preserve">; 54:747–755. </w:t>
      </w:r>
    </w:p>
    <w:p w:rsidR="006335F0" w:rsidRPr="006335F0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</w:rPr>
      </w:pPr>
      <w:r w:rsidRPr="006335F0">
        <w:rPr>
          <w:rFonts w:asciiTheme="majorHAnsi" w:hAnsiTheme="majorHAnsi" w:cstheme="majorHAnsi"/>
          <w:noProof/>
          <w:sz w:val="22"/>
        </w:rPr>
        <w:t xml:space="preserve">S16. </w:t>
      </w:r>
      <w:r w:rsidRPr="006335F0">
        <w:rPr>
          <w:rFonts w:asciiTheme="majorHAnsi" w:hAnsiTheme="majorHAnsi" w:cstheme="majorHAnsi"/>
          <w:noProof/>
          <w:sz w:val="22"/>
        </w:rPr>
        <w:tab/>
        <w:t xml:space="preserve">Højlund K, Hansen T, Lajer M, et al. A novel syndrome of autosomal-dominant hyperinsulinemic hypoglycemia linked to a mutation in the human insulin receptor gene. Diabetes </w:t>
      </w:r>
      <w:r w:rsidRPr="006335F0">
        <w:rPr>
          <w:rFonts w:asciiTheme="majorHAnsi" w:hAnsiTheme="majorHAnsi" w:cstheme="majorHAnsi"/>
          <w:bCs/>
          <w:noProof/>
          <w:sz w:val="22"/>
        </w:rPr>
        <w:t>2004</w:t>
      </w:r>
      <w:r w:rsidRPr="006335F0">
        <w:rPr>
          <w:rFonts w:asciiTheme="majorHAnsi" w:hAnsiTheme="majorHAnsi" w:cstheme="majorHAnsi"/>
          <w:noProof/>
          <w:sz w:val="22"/>
        </w:rPr>
        <w:t xml:space="preserve">; 53:1592–1598. </w:t>
      </w:r>
    </w:p>
    <w:p w:rsidR="006335F0" w:rsidRPr="006335F0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</w:rPr>
      </w:pPr>
      <w:r w:rsidRPr="006335F0">
        <w:rPr>
          <w:rFonts w:asciiTheme="majorHAnsi" w:hAnsiTheme="majorHAnsi" w:cstheme="majorHAnsi"/>
          <w:noProof/>
          <w:sz w:val="22"/>
        </w:rPr>
        <w:t xml:space="preserve">S17. </w:t>
      </w:r>
      <w:r w:rsidRPr="006335F0">
        <w:rPr>
          <w:rFonts w:asciiTheme="majorHAnsi" w:hAnsiTheme="majorHAnsi" w:cstheme="majorHAnsi"/>
          <w:noProof/>
          <w:sz w:val="22"/>
        </w:rPr>
        <w:tab/>
        <w:t xml:space="preserve">Rice GI, del Toro Duany Y, Jenkinson EM, et al. Gain-of-function mutations in IFIH1 cause a spectrum of human disease phenotypes associated with upregulated type I interferon signaling. Nat. Genet. </w:t>
      </w:r>
      <w:r w:rsidRPr="006335F0">
        <w:rPr>
          <w:rFonts w:asciiTheme="majorHAnsi" w:hAnsiTheme="majorHAnsi" w:cstheme="majorHAnsi"/>
          <w:bCs/>
          <w:noProof/>
          <w:sz w:val="22"/>
        </w:rPr>
        <w:t>2014</w:t>
      </w:r>
      <w:r w:rsidRPr="006335F0">
        <w:rPr>
          <w:rFonts w:asciiTheme="majorHAnsi" w:hAnsiTheme="majorHAnsi" w:cstheme="majorHAnsi"/>
          <w:noProof/>
          <w:sz w:val="22"/>
        </w:rPr>
        <w:t xml:space="preserve">; 46:503–9. </w:t>
      </w:r>
    </w:p>
    <w:p w:rsidR="006335F0" w:rsidRPr="006335F0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</w:rPr>
      </w:pPr>
      <w:r w:rsidRPr="006335F0">
        <w:rPr>
          <w:rFonts w:asciiTheme="majorHAnsi" w:hAnsiTheme="majorHAnsi" w:cstheme="majorHAnsi"/>
          <w:noProof/>
          <w:sz w:val="22"/>
        </w:rPr>
        <w:t xml:space="preserve">S18. </w:t>
      </w:r>
      <w:r w:rsidRPr="006335F0">
        <w:rPr>
          <w:rFonts w:asciiTheme="majorHAnsi" w:hAnsiTheme="majorHAnsi" w:cstheme="majorHAnsi"/>
          <w:noProof/>
          <w:sz w:val="22"/>
        </w:rPr>
        <w:tab/>
        <w:t xml:space="preserve">Ravenscroft JC, Suri M, Rice GI, Szynkiewicz M, Crow YJ. Autosomal dominant inheritance of a heterozygous mutation in SAMHD1 causing familial chilblain lupus. Am. J. Med. Genet. Part A </w:t>
      </w:r>
      <w:r w:rsidRPr="006335F0">
        <w:rPr>
          <w:rFonts w:asciiTheme="majorHAnsi" w:hAnsiTheme="majorHAnsi" w:cstheme="majorHAnsi"/>
          <w:bCs/>
          <w:noProof/>
          <w:sz w:val="22"/>
        </w:rPr>
        <w:t>2011</w:t>
      </w:r>
      <w:r w:rsidRPr="006335F0">
        <w:rPr>
          <w:rFonts w:asciiTheme="majorHAnsi" w:hAnsiTheme="majorHAnsi" w:cstheme="majorHAnsi"/>
          <w:noProof/>
          <w:sz w:val="22"/>
        </w:rPr>
        <w:t xml:space="preserve">; 155:235–237. </w:t>
      </w:r>
    </w:p>
    <w:p w:rsidR="006335F0" w:rsidRPr="00DF0B3C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  <w:lang w:val="nl-NL"/>
        </w:rPr>
      </w:pPr>
      <w:r w:rsidRPr="006335F0">
        <w:rPr>
          <w:rFonts w:asciiTheme="majorHAnsi" w:hAnsiTheme="majorHAnsi" w:cstheme="majorHAnsi"/>
          <w:noProof/>
          <w:sz w:val="22"/>
        </w:rPr>
        <w:t xml:space="preserve">S19. </w:t>
      </w:r>
      <w:r w:rsidRPr="006335F0">
        <w:rPr>
          <w:rFonts w:asciiTheme="majorHAnsi" w:hAnsiTheme="majorHAnsi" w:cstheme="majorHAnsi"/>
          <w:noProof/>
          <w:sz w:val="22"/>
        </w:rPr>
        <w:tab/>
        <w:t xml:space="preserve">Apostolou S, Whitmore S, Crawford J, et al. Positional cloning of the Fanconi anaemia group A gene. 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Nat Genet. </w:t>
      </w:r>
      <w:r w:rsidRPr="00DF0B3C">
        <w:rPr>
          <w:rFonts w:asciiTheme="majorHAnsi" w:hAnsiTheme="majorHAnsi" w:cstheme="majorHAnsi"/>
          <w:bCs/>
          <w:noProof/>
          <w:sz w:val="22"/>
          <w:lang w:val="nl-NL"/>
        </w:rPr>
        <w:t>1996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; 14:353–6. </w:t>
      </w:r>
    </w:p>
    <w:p w:rsidR="006335F0" w:rsidRPr="006335F0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</w:rPr>
      </w:pP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S20. 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ab/>
        <w:t xml:space="preserve">Lucas CL, Kuehn HS, Zhao F, et al. </w:t>
      </w:r>
      <w:r w:rsidRPr="006335F0">
        <w:rPr>
          <w:rFonts w:asciiTheme="majorHAnsi" w:hAnsiTheme="majorHAnsi" w:cstheme="majorHAnsi"/>
          <w:noProof/>
          <w:sz w:val="22"/>
        </w:rPr>
        <w:t xml:space="preserve">Dominant-activating germline mutations in the gene encoding the PI(3)K catalytic subunit p110 δ result in T cell senescence and human immunodeficiency. Nat. Immunol. </w:t>
      </w:r>
      <w:r w:rsidRPr="006335F0">
        <w:rPr>
          <w:rFonts w:asciiTheme="majorHAnsi" w:hAnsiTheme="majorHAnsi" w:cstheme="majorHAnsi"/>
          <w:bCs/>
          <w:noProof/>
          <w:sz w:val="22"/>
        </w:rPr>
        <w:t>2014</w:t>
      </w:r>
      <w:r w:rsidRPr="006335F0">
        <w:rPr>
          <w:rFonts w:asciiTheme="majorHAnsi" w:hAnsiTheme="majorHAnsi" w:cstheme="majorHAnsi"/>
          <w:noProof/>
          <w:sz w:val="22"/>
        </w:rPr>
        <w:t xml:space="preserve">; 15:88. </w:t>
      </w:r>
    </w:p>
    <w:p w:rsidR="006335F0" w:rsidRPr="006335F0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</w:rPr>
      </w:pPr>
      <w:r w:rsidRPr="006335F0">
        <w:rPr>
          <w:rFonts w:asciiTheme="majorHAnsi" w:hAnsiTheme="majorHAnsi" w:cstheme="majorHAnsi"/>
          <w:noProof/>
          <w:sz w:val="22"/>
        </w:rPr>
        <w:t xml:space="preserve">S21. </w:t>
      </w:r>
      <w:r w:rsidRPr="006335F0">
        <w:rPr>
          <w:rFonts w:asciiTheme="majorHAnsi" w:hAnsiTheme="majorHAnsi" w:cstheme="majorHAnsi"/>
          <w:noProof/>
          <w:sz w:val="22"/>
        </w:rPr>
        <w:tab/>
        <w:t xml:space="preserve">Deau MC, Heurtier L, Frange P, et al. A human immunodeficiency caused by mutations in the PIK3R1 gene. J. Clin. Invest. </w:t>
      </w:r>
      <w:r w:rsidRPr="006335F0">
        <w:rPr>
          <w:rFonts w:asciiTheme="majorHAnsi" w:hAnsiTheme="majorHAnsi" w:cstheme="majorHAnsi"/>
          <w:bCs/>
          <w:noProof/>
          <w:sz w:val="22"/>
        </w:rPr>
        <w:t>2014</w:t>
      </w:r>
      <w:r w:rsidRPr="006335F0">
        <w:rPr>
          <w:rFonts w:asciiTheme="majorHAnsi" w:hAnsiTheme="majorHAnsi" w:cstheme="majorHAnsi"/>
          <w:noProof/>
          <w:sz w:val="22"/>
        </w:rPr>
        <w:t xml:space="preserve">; 124:3923–3928. </w:t>
      </w:r>
    </w:p>
    <w:p w:rsidR="006335F0" w:rsidRPr="006335F0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</w:rPr>
      </w:pPr>
      <w:r w:rsidRPr="006335F0">
        <w:rPr>
          <w:rFonts w:asciiTheme="majorHAnsi" w:hAnsiTheme="majorHAnsi" w:cstheme="majorHAnsi"/>
          <w:noProof/>
          <w:sz w:val="22"/>
        </w:rPr>
        <w:t xml:space="preserve">S22. </w:t>
      </w:r>
      <w:r w:rsidRPr="006335F0">
        <w:rPr>
          <w:rFonts w:asciiTheme="majorHAnsi" w:hAnsiTheme="majorHAnsi" w:cstheme="majorHAnsi"/>
          <w:noProof/>
          <w:sz w:val="22"/>
        </w:rPr>
        <w:tab/>
        <w:t xml:space="preserve">Fliegauf M, L. Bryant V, Frede N, et al. Haploinsufficiency of the NFκB1 Subunit p50 in Common Variable Immunodeficiency. Am. J. Hum. Genet. </w:t>
      </w:r>
      <w:r w:rsidRPr="006335F0">
        <w:rPr>
          <w:rFonts w:asciiTheme="majorHAnsi" w:hAnsiTheme="majorHAnsi" w:cstheme="majorHAnsi"/>
          <w:bCs/>
          <w:noProof/>
          <w:sz w:val="22"/>
        </w:rPr>
        <w:t>2015</w:t>
      </w:r>
      <w:r w:rsidRPr="006335F0">
        <w:rPr>
          <w:rFonts w:asciiTheme="majorHAnsi" w:hAnsiTheme="majorHAnsi" w:cstheme="majorHAnsi"/>
          <w:noProof/>
          <w:sz w:val="22"/>
        </w:rPr>
        <w:t xml:space="preserve">; 97:389–403. </w:t>
      </w:r>
    </w:p>
    <w:p w:rsidR="006335F0" w:rsidRPr="00DF0B3C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  <w:lang w:val="nl-NL"/>
        </w:rPr>
      </w:pPr>
      <w:r w:rsidRPr="006335F0">
        <w:rPr>
          <w:rFonts w:asciiTheme="majorHAnsi" w:hAnsiTheme="majorHAnsi" w:cstheme="majorHAnsi"/>
          <w:noProof/>
          <w:sz w:val="22"/>
        </w:rPr>
        <w:lastRenderedPageBreak/>
        <w:t xml:space="preserve">S23. </w:t>
      </w:r>
      <w:r w:rsidRPr="006335F0">
        <w:rPr>
          <w:rFonts w:asciiTheme="majorHAnsi" w:hAnsiTheme="majorHAnsi" w:cstheme="majorHAnsi"/>
          <w:noProof/>
          <w:sz w:val="22"/>
        </w:rPr>
        <w:tab/>
        <w:t xml:space="preserve">Puck JM, Pepper  a E, Henthorn PS, et al. Mutation analysis of IL2RG in human X-linked severe combined immunodeficiency. 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Blood </w:t>
      </w:r>
      <w:r w:rsidRPr="00DF0B3C">
        <w:rPr>
          <w:rFonts w:asciiTheme="majorHAnsi" w:hAnsiTheme="majorHAnsi" w:cstheme="majorHAnsi"/>
          <w:bCs/>
          <w:noProof/>
          <w:sz w:val="22"/>
          <w:lang w:val="nl-NL"/>
        </w:rPr>
        <w:t>1997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; 89:1968–77. </w:t>
      </w:r>
    </w:p>
    <w:p w:rsidR="006335F0" w:rsidRPr="006335F0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</w:rPr>
      </w:pP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S24. 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ab/>
        <w:t xml:space="preserve">Schwarz K, Gauss GH, Ludwig L, et al. </w:t>
      </w:r>
      <w:r w:rsidRPr="006335F0">
        <w:rPr>
          <w:rFonts w:asciiTheme="majorHAnsi" w:hAnsiTheme="majorHAnsi" w:cstheme="majorHAnsi"/>
          <w:noProof/>
          <w:sz w:val="22"/>
        </w:rPr>
        <w:t xml:space="preserve">RAG mutations in human B cell-negative SCID. Science </w:t>
      </w:r>
      <w:r w:rsidRPr="006335F0">
        <w:rPr>
          <w:rFonts w:asciiTheme="majorHAnsi" w:hAnsiTheme="majorHAnsi" w:cstheme="majorHAnsi"/>
          <w:bCs/>
          <w:noProof/>
          <w:sz w:val="22"/>
        </w:rPr>
        <w:t>1996</w:t>
      </w:r>
      <w:r w:rsidRPr="006335F0">
        <w:rPr>
          <w:rFonts w:asciiTheme="majorHAnsi" w:hAnsiTheme="majorHAnsi" w:cstheme="majorHAnsi"/>
          <w:noProof/>
          <w:sz w:val="22"/>
        </w:rPr>
        <w:t xml:space="preserve">; 274:97–99. </w:t>
      </w:r>
    </w:p>
    <w:p w:rsidR="006335F0" w:rsidRPr="006335F0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</w:rPr>
      </w:pPr>
      <w:r w:rsidRPr="006335F0">
        <w:rPr>
          <w:rFonts w:asciiTheme="majorHAnsi" w:hAnsiTheme="majorHAnsi" w:cstheme="majorHAnsi"/>
          <w:noProof/>
          <w:sz w:val="22"/>
        </w:rPr>
        <w:t xml:space="preserve">S25. </w:t>
      </w:r>
      <w:r w:rsidRPr="006335F0">
        <w:rPr>
          <w:rFonts w:asciiTheme="majorHAnsi" w:hAnsiTheme="majorHAnsi" w:cstheme="majorHAnsi"/>
          <w:noProof/>
          <w:sz w:val="22"/>
        </w:rPr>
        <w:tab/>
        <w:t xml:space="preserve">Derry JM, Ochs HD, Francke U. Isolation of a novel gene mutated in Wiskott-Aldrich syndrome. Cell </w:t>
      </w:r>
      <w:r w:rsidRPr="006335F0">
        <w:rPr>
          <w:rFonts w:asciiTheme="majorHAnsi" w:hAnsiTheme="majorHAnsi" w:cstheme="majorHAnsi"/>
          <w:bCs/>
          <w:noProof/>
          <w:sz w:val="22"/>
        </w:rPr>
        <w:t>1994</w:t>
      </w:r>
      <w:r w:rsidRPr="006335F0">
        <w:rPr>
          <w:rFonts w:asciiTheme="majorHAnsi" w:hAnsiTheme="majorHAnsi" w:cstheme="majorHAnsi"/>
          <w:noProof/>
          <w:sz w:val="22"/>
        </w:rPr>
        <w:t xml:space="preserve">; 78:635–644. </w:t>
      </w:r>
    </w:p>
    <w:p w:rsidR="006335F0" w:rsidRPr="006335F0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</w:rPr>
      </w:pPr>
      <w:r w:rsidRPr="006335F0">
        <w:rPr>
          <w:rFonts w:asciiTheme="majorHAnsi" w:hAnsiTheme="majorHAnsi" w:cstheme="majorHAnsi"/>
          <w:noProof/>
          <w:sz w:val="22"/>
        </w:rPr>
        <w:t xml:space="preserve">S26. </w:t>
      </w:r>
      <w:r w:rsidRPr="006335F0">
        <w:rPr>
          <w:rFonts w:asciiTheme="majorHAnsi" w:hAnsiTheme="majorHAnsi" w:cstheme="majorHAnsi"/>
          <w:noProof/>
          <w:sz w:val="22"/>
        </w:rPr>
        <w:tab/>
        <w:t xml:space="preserve">Proust A, Guillet B, Pellier I, et al. Recurrent V75M mutation within the Wiskott-Aldrich syndrome protein: Description of a homozygous female patient. Eur. J. Haematol. </w:t>
      </w:r>
      <w:r w:rsidRPr="006335F0">
        <w:rPr>
          <w:rFonts w:asciiTheme="majorHAnsi" w:hAnsiTheme="majorHAnsi" w:cstheme="majorHAnsi"/>
          <w:bCs/>
          <w:noProof/>
          <w:sz w:val="22"/>
        </w:rPr>
        <w:t>2005</w:t>
      </w:r>
      <w:r w:rsidRPr="006335F0">
        <w:rPr>
          <w:rFonts w:asciiTheme="majorHAnsi" w:hAnsiTheme="majorHAnsi" w:cstheme="majorHAnsi"/>
          <w:noProof/>
          <w:sz w:val="22"/>
        </w:rPr>
        <w:t xml:space="preserve">; 75:54–59. </w:t>
      </w:r>
    </w:p>
    <w:p w:rsidR="006335F0" w:rsidRPr="006335F0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</w:rPr>
      </w:pPr>
      <w:r w:rsidRPr="006335F0">
        <w:rPr>
          <w:rFonts w:asciiTheme="majorHAnsi" w:hAnsiTheme="majorHAnsi" w:cstheme="majorHAnsi"/>
          <w:noProof/>
          <w:sz w:val="22"/>
        </w:rPr>
        <w:t xml:space="preserve">S27. </w:t>
      </w:r>
      <w:r w:rsidRPr="006335F0">
        <w:rPr>
          <w:rFonts w:asciiTheme="majorHAnsi" w:hAnsiTheme="majorHAnsi" w:cstheme="majorHAnsi"/>
          <w:noProof/>
          <w:sz w:val="22"/>
        </w:rPr>
        <w:tab/>
        <w:t xml:space="preserve">Zhong F, Savage S a, Shkreli M, et al. Disruption of telomerase trafficking by TCAB1 mutation causes dyskeratosis congenita service Disruption of telomerase trafficking by TCAB1 mutation causes dyskeratosis congenita. Genes Dev. </w:t>
      </w:r>
      <w:r w:rsidRPr="006335F0">
        <w:rPr>
          <w:rFonts w:asciiTheme="majorHAnsi" w:hAnsiTheme="majorHAnsi" w:cstheme="majorHAnsi"/>
          <w:bCs/>
          <w:noProof/>
          <w:sz w:val="22"/>
        </w:rPr>
        <w:t>2011</w:t>
      </w:r>
      <w:r w:rsidRPr="006335F0">
        <w:rPr>
          <w:rFonts w:asciiTheme="majorHAnsi" w:hAnsiTheme="majorHAnsi" w:cstheme="majorHAnsi"/>
          <w:noProof/>
          <w:sz w:val="22"/>
        </w:rPr>
        <w:t xml:space="preserve">; 25:11–16. </w:t>
      </w:r>
    </w:p>
    <w:p w:rsidR="006335F0" w:rsidRPr="006335F0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</w:rPr>
      </w:pPr>
      <w:r w:rsidRPr="006335F0">
        <w:rPr>
          <w:rFonts w:asciiTheme="majorHAnsi" w:hAnsiTheme="majorHAnsi" w:cstheme="majorHAnsi"/>
          <w:noProof/>
          <w:sz w:val="22"/>
        </w:rPr>
        <w:t xml:space="preserve">S28. </w:t>
      </w:r>
      <w:r w:rsidRPr="006335F0">
        <w:rPr>
          <w:rFonts w:asciiTheme="majorHAnsi" w:hAnsiTheme="majorHAnsi" w:cstheme="majorHAnsi"/>
          <w:noProof/>
          <w:sz w:val="22"/>
        </w:rPr>
        <w:tab/>
        <w:t xml:space="preserve">Moshous D, Callebaut I, De Chasseval R, et al. Artemis, a novel DNA double-strand break repair/V(D)J recombination protein, is mutated in human severe combined immune deficiency. Cell </w:t>
      </w:r>
      <w:r w:rsidRPr="006335F0">
        <w:rPr>
          <w:rFonts w:asciiTheme="majorHAnsi" w:hAnsiTheme="majorHAnsi" w:cstheme="majorHAnsi"/>
          <w:bCs/>
          <w:noProof/>
          <w:sz w:val="22"/>
        </w:rPr>
        <w:t>2001</w:t>
      </w:r>
      <w:r w:rsidRPr="006335F0">
        <w:rPr>
          <w:rFonts w:asciiTheme="majorHAnsi" w:hAnsiTheme="majorHAnsi" w:cstheme="majorHAnsi"/>
          <w:noProof/>
          <w:sz w:val="22"/>
        </w:rPr>
        <w:t xml:space="preserve">; 105:177–186. </w:t>
      </w:r>
    </w:p>
    <w:p w:rsidR="006335F0" w:rsidRPr="00DF0B3C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  <w:lang w:val="nl-NL"/>
        </w:rPr>
      </w:pPr>
      <w:r w:rsidRPr="006335F0">
        <w:rPr>
          <w:rFonts w:asciiTheme="majorHAnsi" w:hAnsiTheme="majorHAnsi" w:cstheme="majorHAnsi"/>
          <w:noProof/>
          <w:sz w:val="22"/>
        </w:rPr>
        <w:t xml:space="preserve">S29. </w:t>
      </w:r>
      <w:r w:rsidRPr="006335F0">
        <w:rPr>
          <w:rFonts w:asciiTheme="majorHAnsi" w:hAnsiTheme="majorHAnsi" w:cstheme="majorHAnsi"/>
          <w:noProof/>
          <w:sz w:val="22"/>
        </w:rPr>
        <w:tab/>
        <w:t xml:space="preserve">Arpaia E, Shahar M, Dadi H, Cohen A, Rolfman CM. Defective T cell receptor signaling and CD8+ thymic selection in humans lacking Zap-70 kinase. 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Cell </w:t>
      </w:r>
      <w:r w:rsidRPr="00DF0B3C">
        <w:rPr>
          <w:rFonts w:asciiTheme="majorHAnsi" w:hAnsiTheme="majorHAnsi" w:cstheme="majorHAnsi"/>
          <w:bCs/>
          <w:noProof/>
          <w:sz w:val="22"/>
          <w:lang w:val="nl-NL"/>
        </w:rPr>
        <w:t>1994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; 76:947–958. </w:t>
      </w:r>
    </w:p>
    <w:p w:rsidR="006335F0" w:rsidRPr="006335F0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</w:rPr>
      </w:pP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S30. 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ab/>
        <w:t xml:space="preserve">Zhou Q, Yang D, Ombrello AK, et al. </w:t>
      </w:r>
      <w:r w:rsidRPr="006335F0">
        <w:rPr>
          <w:rFonts w:asciiTheme="majorHAnsi" w:hAnsiTheme="majorHAnsi" w:cstheme="majorHAnsi"/>
          <w:noProof/>
          <w:sz w:val="22"/>
        </w:rPr>
        <w:t xml:space="preserve">Early-onset stroke and vasculopathy associated with mutations in ADA2. N. Engl. J. Med. </w:t>
      </w:r>
      <w:r w:rsidRPr="006335F0">
        <w:rPr>
          <w:rFonts w:asciiTheme="majorHAnsi" w:hAnsiTheme="majorHAnsi" w:cstheme="majorHAnsi"/>
          <w:bCs/>
          <w:noProof/>
          <w:sz w:val="22"/>
        </w:rPr>
        <w:t>2014</w:t>
      </w:r>
      <w:r w:rsidRPr="006335F0">
        <w:rPr>
          <w:rFonts w:asciiTheme="majorHAnsi" w:hAnsiTheme="majorHAnsi" w:cstheme="majorHAnsi"/>
          <w:noProof/>
          <w:sz w:val="22"/>
        </w:rPr>
        <w:t xml:space="preserve">; 370:911–20. </w:t>
      </w:r>
    </w:p>
    <w:p w:rsidR="006335F0" w:rsidRPr="006335F0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</w:rPr>
      </w:pPr>
      <w:r w:rsidRPr="006335F0">
        <w:rPr>
          <w:rFonts w:asciiTheme="majorHAnsi" w:hAnsiTheme="majorHAnsi" w:cstheme="majorHAnsi"/>
          <w:noProof/>
          <w:sz w:val="22"/>
        </w:rPr>
        <w:t xml:space="preserve">S31. </w:t>
      </w:r>
      <w:r w:rsidRPr="006335F0">
        <w:rPr>
          <w:rFonts w:asciiTheme="majorHAnsi" w:hAnsiTheme="majorHAnsi" w:cstheme="majorHAnsi"/>
          <w:noProof/>
          <w:sz w:val="22"/>
        </w:rPr>
        <w:tab/>
        <w:t xml:space="preserve">Newman PJ, Seligsohn U, Lyman S, Coller BS. The molecular genetic basis of Glanzmann thrombasthenia in the Iraqi-Jewish and Arab populations in Israel. Proc. Natl. Acad. Sci. U. S. A. </w:t>
      </w:r>
      <w:r w:rsidRPr="006335F0">
        <w:rPr>
          <w:rFonts w:asciiTheme="majorHAnsi" w:hAnsiTheme="majorHAnsi" w:cstheme="majorHAnsi"/>
          <w:bCs/>
          <w:noProof/>
          <w:sz w:val="22"/>
        </w:rPr>
        <w:t>1991</w:t>
      </w:r>
      <w:r w:rsidRPr="006335F0">
        <w:rPr>
          <w:rFonts w:asciiTheme="majorHAnsi" w:hAnsiTheme="majorHAnsi" w:cstheme="majorHAnsi"/>
          <w:noProof/>
          <w:sz w:val="22"/>
        </w:rPr>
        <w:t xml:space="preserve">; 88:3160–3164. </w:t>
      </w:r>
    </w:p>
    <w:p w:rsidR="006335F0" w:rsidRPr="006335F0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</w:rPr>
      </w:pPr>
      <w:r w:rsidRPr="006335F0">
        <w:rPr>
          <w:rFonts w:asciiTheme="majorHAnsi" w:hAnsiTheme="majorHAnsi" w:cstheme="majorHAnsi"/>
          <w:noProof/>
          <w:sz w:val="22"/>
        </w:rPr>
        <w:t xml:space="preserve">S32. </w:t>
      </w:r>
      <w:r w:rsidRPr="006335F0">
        <w:rPr>
          <w:rFonts w:asciiTheme="majorHAnsi" w:hAnsiTheme="majorHAnsi" w:cstheme="majorHAnsi"/>
          <w:noProof/>
          <w:sz w:val="22"/>
        </w:rPr>
        <w:tab/>
        <w:t xml:space="preserve">Buitrago L, Rendon A, Liang Y, et al. αIIbβ3 variants defined by next-generation sequencing: predicting variants likely to cause Glanzmann thrombasthenia. Proc. Natl. Acad. Sci. U. S. A. </w:t>
      </w:r>
      <w:r w:rsidRPr="006335F0">
        <w:rPr>
          <w:rFonts w:asciiTheme="majorHAnsi" w:hAnsiTheme="majorHAnsi" w:cstheme="majorHAnsi"/>
          <w:bCs/>
          <w:noProof/>
          <w:sz w:val="22"/>
        </w:rPr>
        <w:t>2015</w:t>
      </w:r>
      <w:r w:rsidRPr="006335F0">
        <w:rPr>
          <w:rFonts w:asciiTheme="majorHAnsi" w:hAnsiTheme="majorHAnsi" w:cstheme="majorHAnsi"/>
          <w:noProof/>
          <w:sz w:val="22"/>
        </w:rPr>
        <w:t xml:space="preserve">; 112:E1898-907. </w:t>
      </w:r>
    </w:p>
    <w:p w:rsidR="006335F0" w:rsidRPr="00DF0B3C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  <w:lang w:val="nl-NL"/>
        </w:rPr>
      </w:pPr>
      <w:r w:rsidRPr="006335F0">
        <w:rPr>
          <w:rFonts w:asciiTheme="majorHAnsi" w:hAnsiTheme="majorHAnsi" w:cstheme="majorHAnsi"/>
          <w:noProof/>
          <w:sz w:val="22"/>
        </w:rPr>
        <w:t xml:space="preserve">S33. </w:t>
      </w:r>
      <w:r w:rsidRPr="006335F0">
        <w:rPr>
          <w:rFonts w:asciiTheme="majorHAnsi" w:hAnsiTheme="majorHAnsi" w:cstheme="majorHAnsi"/>
          <w:noProof/>
          <w:sz w:val="22"/>
        </w:rPr>
        <w:tab/>
        <w:t xml:space="preserve">Xu GL, Bestor TH, Bourc’his D, et al. Chromosome instability and immunodeficiency syndrome caused by mutations in a DNA methyltransferase gene. 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Nature </w:t>
      </w:r>
      <w:r w:rsidRPr="00DF0B3C">
        <w:rPr>
          <w:rFonts w:asciiTheme="majorHAnsi" w:hAnsiTheme="majorHAnsi" w:cstheme="majorHAnsi"/>
          <w:bCs/>
          <w:noProof/>
          <w:sz w:val="22"/>
          <w:lang w:val="nl-NL"/>
        </w:rPr>
        <w:t>1999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; 402:187–191. </w:t>
      </w:r>
    </w:p>
    <w:p w:rsidR="006335F0" w:rsidRPr="00DF0B3C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  <w:lang w:val="nl-NL"/>
        </w:rPr>
      </w:pP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S34. 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ab/>
        <w:t xml:space="preserve">Kaya N, Al-Muhsen S, Al-Saud B, et al. </w:t>
      </w:r>
      <w:r w:rsidRPr="006335F0">
        <w:rPr>
          <w:rFonts w:asciiTheme="majorHAnsi" w:hAnsiTheme="majorHAnsi" w:cstheme="majorHAnsi"/>
          <w:noProof/>
          <w:sz w:val="22"/>
        </w:rPr>
        <w:t xml:space="preserve">ICF syndrome in Saudi Arabia: Immunological, cytogenetic and molecular analysis. 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J. Clin. Immunol. </w:t>
      </w:r>
      <w:r w:rsidRPr="00DF0B3C">
        <w:rPr>
          <w:rFonts w:asciiTheme="majorHAnsi" w:hAnsiTheme="majorHAnsi" w:cstheme="majorHAnsi"/>
          <w:bCs/>
          <w:noProof/>
          <w:sz w:val="22"/>
          <w:lang w:val="nl-NL"/>
        </w:rPr>
        <w:t>2011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; 31:245–252. </w:t>
      </w:r>
    </w:p>
    <w:p w:rsidR="006335F0" w:rsidRPr="006335F0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</w:rPr>
      </w:pP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S35. 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ab/>
        <w:t xml:space="preserve">De Greef JC, Wang J, Balog J, et al. </w:t>
      </w:r>
      <w:r w:rsidRPr="006335F0">
        <w:rPr>
          <w:rFonts w:asciiTheme="majorHAnsi" w:hAnsiTheme="majorHAnsi" w:cstheme="majorHAnsi"/>
          <w:noProof/>
          <w:sz w:val="22"/>
        </w:rPr>
        <w:t xml:space="preserve">Mutations in ZBTB24 are associated with immunodeficiency, centromeric instability, and facial anomalies syndrome type 2. Am. J. Hum. Genet. </w:t>
      </w:r>
      <w:r w:rsidRPr="006335F0">
        <w:rPr>
          <w:rFonts w:asciiTheme="majorHAnsi" w:hAnsiTheme="majorHAnsi" w:cstheme="majorHAnsi"/>
          <w:bCs/>
          <w:noProof/>
          <w:sz w:val="22"/>
        </w:rPr>
        <w:t>2011</w:t>
      </w:r>
      <w:r w:rsidRPr="006335F0">
        <w:rPr>
          <w:rFonts w:asciiTheme="majorHAnsi" w:hAnsiTheme="majorHAnsi" w:cstheme="majorHAnsi"/>
          <w:noProof/>
          <w:sz w:val="22"/>
        </w:rPr>
        <w:t xml:space="preserve">; 88:796–804. </w:t>
      </w:r>
    </w:p>
    <w:p w:rsidR="006335F0" w:rsidRPr="006335F0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</w:rPr>
      </w:pPr>
      <w:r w:rsidRPr="006335F0">
        <w:rPr>
          <w:rFonts w:asciiTheme="majorHAnsi" w:hAnsiTheme="majorHAnsi" w:cstheme="majorHAnsi"/>
          <w:noProof/>
          <w:sz w:val="22"/>
        </w:rPr>
        <w:t xml:space="preserve">S36. </w:t>
      </w:r>
      <w:r w:rsidRPr="006335F0">
        <w:rPr>
          <w:rFonts w:asciiTheme="majorHAnsi" w:hAnsiTheme="majorHAnsi" w:cstheme="majorHAnsi"/>
          <w:noProof/>
          <w:sz w:val="22"/>
        </w:rPr>
        <w:tab/>
        <w:t xml:space="preserve">Conrad M, Noor D, Sullivan K, Devoto M, Kelsen J. Identification of a Homozygous Mutation in the ZBTB24 Gene in a Patient with Very Early Onset Inflammatory Bowel Disease. Pedriatic poster Present. </w:t>
      </w:r>
      <w:r w:rsidRPr="006335F0">
        <w:rPr>
          <w:rFonts w:asciiTheme="majorHAnsi" w:hAnsiTheme="majorHAnsi" w:cstheme="majorHAnsi"/>
          <w:bCs/>
          <w:noProof/>
          <w:sz w:val="22"/>
        </w:rPr>
        <w:t>2016</w:t>
      </w:r>
      <w:r w:rsidRPr="006335F0">
        <w:rPr>
          <w:rFonts w:asciiTheme="majorHAnsi" w:hAnsiTheme="majorHAnsi" w:cstheme="majorHAnsi"/>
          <w:noProof/>
          <w:sz w:val="22"/>
        </w:rPr>
        <w:t xml:space="preserve">; :2016. </w:t>
      </w:r>
    </w:p>
    <w:p w:rsidR="006335F0" w:rsidRPr="00DF0B3C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  <w:lang w:val="nl-NL"/>
        </w:rPr>
      </w:pPr>
      <w:r w:rsidRPr="006335F0">
        <w:rPr>
          <w:rFonts w:asciiTheme="majorHAnsi" w:hAnsiTheme="majorHAnsi" w:cstheme="majorHAnsi"/>
          <w:noProof/>
          <w:sz w:val="22"/>
        </w:rPr>
        <w:t xml:space="preserve">S37. </w:t>
      </w:r>
      <w:r w:rsidRPr="006335F0">
        <w:rPr>
          <w:rFonts w:asciiTheme="majorHAnsi" w:hAnsiTheme="majorHAnsi" w:cstheme="majorHAnsi"/>
          <w:noProof/>
          <w:sz w:val="22"/>
        </w:rPr>
        <w:tab/>
        <w:t xml:space="preserve">Dinauer MC, Pierce E a, Bruns G a P, Cumutte JT, Orkin SH. Human Neutrophil Cytochrome b Light Chain (p22-phox). J. Clin. 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Cinvest. </w:t>
      </w:r>
      <w:r w:rsidRPr="00DF0B3C">
        <w:rPr>
          <w:rFonts w:asciiTheme="majorHAnsi" w:hAnsiTheme="majorHAnsi" w:cstheme="majorHAnsi"/>
          <w:bCs/>
          <w:noProof/>
          <w:sz w:val="22"/>
          <w:lang w:val="nl-NL"/>
        </w:rPr>
        <w:t>1990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; 86:1729–1737. </w:t>
      </w:r>
    </w:p>
    <w:p w:rsidR="006335F0" w:rsidRPr="006335F0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</w:rPr>
      </w:pP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S38. 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ab/>
        <w:t xml:space="preserve">Pannicke U, Hönig M, Hess I, et al. </w:t>
      </w:r>
      <w:r w:rsidRPr="006335F0">
        <w:rPr>
          <w:rFonts w:asciiTheme="majorHAnsi" w:hAnsiTheme="majorHAnsi" w:cstheme="majorHAnsi"/>
          <w:noProof/>
          <w:sz w:val="22"/>
        </w:rPr>
        <w:t xml:space="preserve">Reticular dysgenesis (aleukocytosis) is caused by mutations in the gene encoding mitochondrial adenylate kinase 2. Nat. Genet. </w:t>
      </w:r>
      <w:r w:rsidRPr="006335F0">
        <w:rPr>
          <w:rFonts w:asciiTheme="majorHAnsi" w:hAnsiTheme="majorHAnsi" w:cstheme="majorHAnsi"/>
          <w:bCs/>
          <w:noProof/>
          <w:sz w:val="22"/>
        </w:rPr>
        <w:t>2009</w:t>
      </w:r>
      <w:r w:rsidRPr="006335F0">
        <w:rPr>
          <w:rFonts w:asciiTheme="majorHAnsi" w:hAnsiTheme="majorHAnsi" w:cstheme="majorHAnsi"/>
          <w:noProof/>
          <w:sz w:val="22"/>
        </w:rPr>
        <w:t xml:space="preserve">; 41:101–105. </w:t>
      </w:r>
    </w:p>
    <w:p w:rsidR="006335F0" w:rsidRPr="006335F0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</w:rPr>
      </w:pPr>
      <w:r w:rsidRPr="006335F0">
        <w:rPr>
          <w:rFonts w:asciiTheme="majorHAnsi" w:hAnsiTheme="majorHAnsi" w:cstheme="majorHAnsi"/>
          <w:noProof/>
          <w:sz w:val="22"/>
        </w:rPr>
        <w:t xml:space="preserve">S39. </w:t>
      </w:r>
      <w:r w:rsidRPr="006335F0">
        <w:rPr>
          <w:rFonts w:asciiTheme="majorHAnsi" w:hAnsiTheme="majorHAnsi" w:cstheme="majorHAnsi"/>
          <w:noProof/>
          <w:sz w:val="22"/>
        </w:rPr>
        <w:tab/>
        <w:t xml:space="preserve">Al-Mousa H, Abouelhoda M, Monies DM, et al. Unbiased targeted next-generation sequencing molecular approach for primary immunodeficiency diseases. J. Allergy Clin. Immunol. </w:t>
      </w:r>
      <w:r w:rsidRPr="006335F0">
        <w:rPr>
          <w:rFonts w:asciiTheme="majorHAnsi" w:hAnsiTheme="majorHAnsi" w:cstheme="majorHAnsi"/>
          <w:bCs/>
          <w:noProof/>
          <w:sz w:val="22"/>
        </w:rPr>
        <w:t>2016</w:t>
      </w:r>
      <w:r w:rsidRPr="006335F0">
        <w:rPr>
          <w:rFonts w:asciiTheme="majorHAnsi" w:hAnsiTheme="majorHAnsi" w:cstheme="majorHAnsi"/>
          <w:noProof/>
          <w:sz w:val="22"/>
        </w:rPr>
        <w:t xml:space="preserve">; 137:1780–1787. </w:t>
      </w:r>
    </w:p>
    <w:p w:rsidR="006335F0" w:rsidRPr="006335F0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</w:rPr>
      </w:pPr>
      <w:r w:rsidRPr="006335F0">
        <w:rPr>
          <w:rFonts w:asciiTheme="majorHAnsi" w:hAnsiTheme="majorHAnsi" w:cstheme="majorHAnsi"/>
          <w:noProof/>
          <w:sz w:val="22"/>
        </w:rPr>
        <w:t xml:space="preserve">S40. </w:t>
      </w:r>
      <w:r w:rsidRPr="006335F0">
        <w:rPr>
          <w:rFonts w:asciiTheme="majorHAnsi" w:hAnsiTheme="majorHAnsi" w:cstheme="majorHAnsi"/>
          <w:noProof/>
          <w:sz w:val="22"/>
        </w:rPr>
        <w:tab/>
        <w:t xml:space="preserve">Kerem B, Rommens JM, Buchanan JA, et al. Identification of the Cystic Fibrosis Gene : Identification Genetic Analysis. Science (80-. ). </w:t>
      </w:r>
      <w:r w:rsidRPr="006335F0">
        <w:rPr>
          <w:rFonts w:asciiTheme="majorHAnsi" w:hAnsiTheme="majorHAnsi" w:cstheme="majorHAnsi"/>
          <w:bCs/>
          <w:noProof/>
          <w:sz w:val="22"/>
        </w:rPr>
        <w:t>1989</w:t>
      </w:r>
      <w:r w:rsidRPr="006335F0">
        <w:rPr>
          <w:rFonts w:asciiTheme="majorHAnsi" w:hAnsiTheme="majorHAnsi" w:cstheme="majorHAnsi"/>
          <w:noProof/>
          <w:sz w:val="22"/>
        </w:rPr>
        <w:t xml:space="preserve">; 245. </w:t>
      </w:r>
    </w:p>
    <w:p w:rsidR="006335F0" w:rsidRPr="006335F0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</w:rPr>
      </w:pPr>
      <w:r w:rsidRPr="006335F0">
        <w:rPr>
          <w:rFonts w:asciiTheme="majorHAnsi" w:hAnsiTheme="majorHAnsi" w:cstheme="majorHAnsi"/>
          <w:noProof/>
          <w:sz w:val="22"/>
        </w:rPr>
        <w:t xml:space="preserve">S41. </w:t>
      </w:r>
      <w:r w:rsidRPr="006335F0">
        <w:rPr>
          <w:rFonts w:asciiTheme="majorHAnsi" w:hAnsiTheme="majorHAnsi" w:cstheme="majorHAnsi"/>
          <w:noProof/>
          <w:sz w:val="22"/>
        </w:rPr>
        <w:tab/>
        <w:t xml:space="preserve">Vidaud M, Fanen P, Martin J, Ghanem N, Nicolas S, Goossens M. Three point mutations in the CFTR gene in French cystic fibrosis patients: identification by denaturing gradient gel electrophoresis. Hum. Genet. </w:t>
      </w:r>
      <w:r w:rsidRPr="006335F0">
        <w:rPr>
          <w:rFonts w:asciiTheme="majorHAnsi" w:hAnsiTheme="majorHAnsi" w:cstheme="majorHAnsi"/>
          <w:bCs/>
          <w:noProof/>
          <w:sz w:val="22"/>
        </w:rPr>
        <w:t>1990</w:t>
      </w:r>
      <w:r w:rsidRPr="006335F0">
        <w:rPr>
          <w:rFonts w:asciiTheme="majorHAnsi" w:hAnsiTheme="majorHAnsi" w:cstheme="majorHAnsi"/>
          <w:noProof/>
          <w:sz w:val="22"/>
        </w:rPr>
        <w:t xml:space="preserve">; 85:446–9. </w:t>
      </w:r>
    </w:p>
    <w:p w:rsidR="006335F0" w:rsidRPr="006335F0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</w:rPr>
      </w:pPr>
      <w:r w:rsidRPr="006335F0">
        <w:rPr>
          <w:rFonts w:asciiTheme="majorHAnsi" w:hAnsiTheme="majorHAnsi" w:cstheme="majorHAnsi"/>
          <w:noProof/>
          <w:sz w:val="22"/>
        </w:rPr>
        <w:t xml:space="preserve">S42. </w:t>
      </w:r>
      <w:r w:rsidRPr="006335F0">
        <w:rPr>
          <w:rFonts w:asciiTheme="majorHAnsi" w:hAnsiTheme="majorHAnsi" w:cstheme="majorHAnsi"/>
          <w:noProof/>
          <w:sz w:val="22"/>
        </w:rPr>
        <w:tab/>
        <w:t xml:space="preserve">Macchi P, Villa  a, Giliani S, et al. Mutations of Jak-3 gene in patients with autosomal severe combined immune deficiency (SCID). Nature. 1995; 377:65–68. </w:t>
      </w:r>
    </w:p>
    <w:p w:rsidR="006335F0" w:rsidRPr="006335F0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</w:rPr>
      </w:pPr>
      <w:r w:rsidRPr="006335F0">
        <w:rPr>
          <w:rFonts w:asciiTheme="majorHAnsi" w:hAnsiTheme="majorHAnsi" w:cstheme="majorHAnsi"/>
          <w:noProof/>
          <w:sz w:val="22"/>
        </w:rPr>
        <w:lastRenderedPageBreak/>
        <w:t xml:space="preserve">S43. </w:t>
      </w:r>
      <w:r w:rsidRPr="006335F0">
        <w:rPr>
          <w:rFonts w:asciiTheme="majorHAnsi" w:hAnsiTheme="majorHAnsi" w:cstheme="majorHAnsi"/>
          <w:noProof/>
          <w:sz w:val="22"/>
        </w:rPr>
        <w:tab/>
        <w:t xml:space="preserve">Scarselli A, Di Cesare S, Di Matteo G, et al. Combined immunodeficiency due to JAK3 mutation in a child presenting with skin granuloma. J. Allergy Clin. Immunol. 2016; 137:948–951. </w:t>
      </w:r>
    </w:p>
    <w:p w:rsidR="006335F0" w:rsidRPr="00DF0B3C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  <w:lang w:val="nl-NL"/>
        </w:rPr>
      </w:pPr>
      <w:r w:rsidRPr="006335F0">
        <w:rPr>
          <w:rFonts w:asciiTheme="majorHAnsi" w:hAnsiTheme="majorHAnsi" w:cstheme="majorHAnsi"/>
          <w:noProof/>
          <w:sz w:val="22"/>
        </w:rPr>
        <w:t xml:space="preserve">S44. </w:t>
      </w:r>
      <w:r w:rsidRPr="006335F0">
        <w:rPr>
          <w:rFonts w:asciiTheme="majorHAnsi" w:hAnsiTheme="majorHAnsi" w:cstheme="majorHAnsi"/>
          <w:noProof/>
          <w:sz w:val="22"/>
        </w:rPr>
        <w:tab/>
        <w:t xml:space="preserve">Chun HJ, Zheng L, Ahmad M, et al. Pleiotropic defects in lymphocyte activation caused by caspase-8 mutations lead to human immunodeficiency. 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Nature </w:t>
      </w:r>
      <w:r w:rsidRPr="00DF0B3C">
        <w:rPr>
          <w:rFonts w:asciiTheme="majorHAnsi" w:hAnsiTheme="majorHAnsi" w:cstheme="majorHAnsi"/>
          <w:bCs/>
          <w:noProof/>
          <w:sz w:val="22"/>
          <w:lang w:val="nl-NL"/>
        </w:rPr>
        <w:t>2002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; 419:395–399. </w:t>
      </w:r>
    </w:p>
    <w:p w:rsidR="006335F0" w:rsidRPr="00DF0B3C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  <w:lang w:val="de-DE"/>
        </w:rPr>
      </w:pP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S45. 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ab/>
        <w:t xml:space="preserve">Niemeyer CM, Kang MW, Shin DH, et al. </w:t>
      </w:r>
      <w:r w:rsidRPr="006335F0">
        <w:rPr>
          <w:rFonts w:asciiTheme="majorHAnsi" w:hAnsiTheme="majorHAnsi" w:cstheme="majorHAnsi"/>
          <w:noProof/>
          <w:sz w:val="22"/>
        </w:rPr>
        <w:t xml:space="preserve">Germline CBL mutations cause developmental abnormalities and predispose to juvenile myelomonocytic leukemia. </w:t>
      </w:r>
      <w:r w:rsidRPr="00DF0B3C">
        <w:rPr>
          <w:rFonts w:asciiTheme="majorHAnsi" w:hAnsiTheme="majorHAnsi" w:cstheme="majorHAnsi"/>
          <w:noProof/>
          <w:sz w:val="22"/>
          <w:lang w:val="de-DE"/>
        </w:rPr>
        <w:t xml:space="preserve">Nat. Genet. </w:t>
      </w:r>
      <w:r w:rsidRPr="00DF0B3C">
        <w:rPr>
          <w:rFonts w:asciiTheme="majorHAnsi" w:hAnsiTheme="majorHAnsi" w:cstheme="majorHAnsi"/>
          <w:bCs/>
          <w:noProof/>
          <w:sz w:val="22"/>
          <w:lang w:val="de-DE"/>
        </w:rPr>
        <w:t>2010</w:t>
      </w:r>
      <w:r w:rsidRPr="00DF0B3C">
        <w:rPr>
          <w:rFonts w:asciiTheme="majorHAnsi" w:hAnsiTheme="majorHAnsi" w:cstheme="majorHAnsi"/>
          <w:noProof/>
          <w:sz w:val="22"/>
          <w:lang w:val="de-DE"/>
        </w:rPr>
        <w:t xml:space="preserve">; 42:794–800. </w:t>
      </w:r>
    </w:p>
    <w:p w:rsidR="006335F0" w:rsidRPr="00DF0B3C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  <w:lang w:val="nl-NL"/>
        </w:rPr>
      </w:pPr>
      <w:r w:rsidRPr="00DF0B3C">
        <w:rPr>
          <w:rFonts w:asciiTheme="majorHAnsi" w:hAnsiTheme="majorHAnsi" w:cstheme="majorHAnsi"/>
          <w:noProof/>
          <w:sz w:val="22"/>
          <w:lang w:val="de-DE"/>
        </w:rPr>
        <w:t xml:space="preserve">S46. </w:t>
      </w:r>
      <w:r w:rsidRPr="00DF0B3C">
        <w:rPr>
          <w:rFonts w:asciiTheme="majorHAnsi" w:hAnsiTheme="majorHAnsi" w:cstheme="majorHAnsi"/>
          <w:noProof/>
          <w:sz w:val="22"/>
          <w:lang w:val="de-DE"/>
        </w:rPr>
        <w:tab/>
        <w:t xml:space="preserve">Kojima T, Horiuchi T, Nishizaka H, et al. </w:t>
      </w:r>
      <w:r w:rsidRPr="006335F0">
        <w:rPr>
          <w:rFonts w:asciiTheme="majorHAnsi" w:hAnsiTheme="majorHAnsi" w:cstheme="majorHAnsi"/>
          <w:noProof/>
          <w:sz w:val="22"/>
        </w:rPr>
        <w:t xml:space="preserve">Genetic basis of human complement C8 alpha-gamma deficiency. 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J. Immunol. </w:t>
      </w:r>
      <w:r w:rsidRPr="00DF0B3C">
        <w:rPr>
          <w:rFonts w:asciiTheme="majorHAnsi" w:hAnsiTheme="majorHAnsi" w:cstheme="majorHAnsi"/>
          <w:bCs/>
          <w:noProof/>
          <w:sz w:val="22"/>
          <w:lang w:val="nl-NL"/>
        </w:rPr>
        <w:t>1998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; 161:3762–3766. </w:t>
      </w:r>
    </w:p>
    <w:p w:rsidR="006335F0" w:rsidRPr="006335F0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</w:rPr>
      </w:pP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S47. 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ab/>
        <w:t xml:space="preserve">Varon R, Vissinga C, Platzer M, et al. </w:t>
      </w:r>
      <w:r w:rsidRPr="006335F0">
        <w:rPr>
          <w:rFonts w:asciiTheme="majorHAnsi" w:hAnsiTheme="majorHAnsi" w:cstheme="majorHAnsi"/>
          <w:noProof/>
          <w:sz w:val="22"/>
        </w:rPr>
        <w:t xml:space="preserve">Nibrin, a novel DNA double-strand break repair protein, is mutated in Nijmegen breakage syndrome. Cell </w:t>
      </w:r>
      <w:r w:rsidRPr="006335F0">
        <w:rPr>
          <w:rFonts w:asciiTheme="majorHAnsi" w:hAnsiTheme="majorHAnsi" w:cstheme="majorHAnsi"/>
          <w:bCs/>
          <w:noProof/>
          <w:sz w:val="22"/>
        </w:rPr>
        <w:t>1998</w:t>
      </w:r>
      <w:r w:rsidRPr="006335F0">
        <w:rPr>
          <w:rFonts w:asciiTheme="majorHAnsi" w:hAnsiTheme="majorHAnsi" w:cstheme="majorHAnsi"/>
          <w:noProof/>
          <w:sz w:val="22"/>
        </w:rPr>
        <w:t xml:space="preserve">; 93:467–476. </w:t>
      </w:r>
    </w:p>
    <w:p w:rsidR="006335F0" w:rsidRPr="006335F0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</w:rPr>
      </w:pPr>
      <w:r w:rsidRPr="006335F0">
        <w:rPr>
          <w:rFonts w:asciiTheme="majorHAnsi" w:hAnsiTheme="majorHAnsi" w:cstheme="majorHAnsi"/>
          <w:noProof/>
          <w:sz w:val="22"/>
        </w:rPr>
        <w:t xml:space="preserve">S48. </w:t>
      </w:r>
      <w:r w:rsidRPr="006335F0">
        <w:rPr>
          <w:rFonts w:asciiTheme="majorHAnsi" w:hAnsiTheme="majorHAnsi" w:cstheme="majorHAnsi"/>
          <w:noProof/>
          <w:sz w:val="22"/>
        </w:rPr>
        <w:tab/>
        <w:t xml:space="preserve">Gazda HT, Sheen MR, Vlachos A, et al. Ribosomal Protein L5 and L11 Mutations Are Associated with Cleft Palate and Abnormal Thumbs in Diamond-Blackfan Anemia Patients. Am. J. Hum. Genet. </w:t>
      </w:r>
      <w:r w:rsidRPr="006335F0">
        <w:rPr>
          <w:rFonts w:asciiTheme="majorHAnsi" w:hAnsiTheme="majorHAnsi" w:cstheme="majorHAnsi"/>
          <w:bCs/>
          <w:noProof/>
          <w:sz w:val="22"/>
        </w:rPr>
        <w:t>2008</w:t>
      </w:r>
      <w:r w:rsidRPr="006335F0">
        <w:rPr>
          <w:rFonts w:asciiTheme="majorHAnsi" w:hAnsiTheme="majorHAnsi" w:cstheme="majorHAnsi"/>
          <w:noProof/>
          <w:sz w:val="22"/>
        </w:rPr>
        <w:t xml:space="preserve">; 83:769–780. </w:t>
      </w:r>
    </w:p>
    <w:p w:rsidR="006335F0" w:rsidRPr="006335F0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</w:rPr>
      </w:pPr>
      <w:r w:rsidRPr="006335F0">
        <w:rPr>
          <w:rFonts w:asciiTheme="majorHAnsi" w:hAnsiTheme="majorHAnsi" w:cstheme="majorHAnsi"/>
          <w:noProof/>
          <w:sz w:val="22"/>
        </w:rPr>
        <w:t xml:space="preserve">S49. </w:t>
      </w:r>
      <w:r w:rsidRPr="006335F0">
        <w:rPr>
          <w:rFonts w:asciiTheme="majorHAnsi" w:hAnsiTheme="majorHAnsi" w:cstheme="majorHAnsi"/>
          <w:noProof/>
          <w:sz w:val="22"/>
        </w:rPr>
        <w:tab/>
        <w:t xml:space="preserve">Vilboux T, Lev A, Malicdan MC V., et al. A Congenital Neutrophil Defect Syndrome Associated with Mutations in VPS45. N. Engl. J. Med. </w:t>
      </w:r>
      <w:r w:rsidRPr="006335F0">
        <w:rPr>
          <w:rFonts w:asciiTheme="majorHAnsi" w:hAnsiTheme="majorHAnsi" w:cstheme="majorHAnsi"/>
          <w:bCs/>
          <w:noProof/>
          <w:sz w:val="22"/>
        </w:rPr>
        <w:t>2013</w:t>
      </w:r>
      <w:r w:rsidRPr="006335F0">
        <w:rPr>
          <w:rFonts w:asciiTheme="majorHAnsi" w:hAnsiTheme="majorHAnsi" w:cstheme="majorHAnsi"/>
          <w:noProof/>
          <w:sz w:val="22"/>
        </w:rPr>
        <w:t xml:space="preserve">; 369:54–65. </w:t>
      </w:r>
    </w:p>
    <w:p w:rsidR="006335F0" w:rsidRPr="006335F0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</w:rPr>
      </w:pPr>
      <w:r w:rsidRPr="006335F0">
        <w:rPr>
          <w:rFonts w:asciiTheme="majorHAnsi" w:hAnsiTheme="majorHAnsi" w:cstheme="majorHAnsi"/>
          <w:noProof/>
          <w:sz w:val="22"/>
        </w:rPr>
        <w:t xml:space="preserve">S50. </w:t>
      </w:r>
      <w:r w:rsidRPr="006335F0">
        <w:rPr>
          <w:rFonts w:asciiTheme="majorHAnsi" w:hAnsiTheme="majorHAnsi" w:cstheme="majorHAnsi"/>
          <w:noProof/>
          <w:sz w:val="22"/>
        </w:rPr>
        <w:tab/>
        <w:t xml:space="preserve">Stepp SE, Dufourcq-Lagelouse R, Le Deist F, et al. Perforin gene defects in familial hemophagocytic lymphohistiocytosis. Science (80-. ). </w:t>
      </w:r>
      <w:r w:rsidRPr="006335F0">
        <w:rPr>
          <w:rFonts w:asciiTheme="majorHAnsi" w:hAnsiTheme="majorHAnsi" w:cstheme="majorHAnsi"/>
          <w:bCs/>
          <w:noProof/>
          <w:sz w:val="22"/>
        </w:rPr>
        <w:t>1999</w:t>
      </w:r>
      <w:r w:rsidRPr="006335F0">
        <w:rPr>
          <w:rFonts w:asciiTheme="majorHAnsi" w:hAnsiTheme="majorHAnsi" w:cstheme="majorHAnsi"/>
          <w:noProof/>
          <w:sz w:val="22"/>
        </w:rPr>
        <w:t xml:space="preserve">; 286:1957–1959. </w:t>
      </w:r>
    </w:p>
    <w:p w:rsidR="006335F0" w:rsidRPr="00DF0B3C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  <w:lang w:val="de-DE"/>
        </w:rPr>
      </w:pPr>
      <w:r w:rsidRPr="006335F0">
        <w:rPr>
          <w:rFonts w:asciiTheme="majorHAnsi" w:hAnsiTheme="majorHAnsi" w:cstheme="majorHAnsi"/>
          <w:noProof/>
          <w:sz w:val="22"/>
        </w:rPr>
        <w:t xml:space="preserve">S51. </w:t>
      </w:r>
      <w:r w:rsidRPr="006335F0">
        <w:rPr>
          <w:rFonts w:asciiTheme="majorHAnsi" w:hAnsiTheme="majorHAnsi" w:cstheme="majorHAnsi"/>
          <w:noProof/>
          <w:sz w:val="22"/>
        </w:rPr>
        <w:tab/>
        <w:t xml:space="preserve">Castigli E, Wilson SA, Garybyan L, et al. TACI mutation in common variable immunodeficiency and IgA deficiency. </w:t>
      </w:r>
      <w:r w:rsidRPr="00DF0B3C">
        <w:rPr>
          <w:rFonts w:asciiTheme="majorHAnsi" w:hAnsiTheme="majorHAnsi" w:cstheme="majorHAnsi"/>
          <w:noProof/>
          <w:sz w:val="22"/>
          <w:lang w:val="de-DE"/>
        </w:rPr>
        <w:t xml:space="preserve">Nat. Genet. </w:t>
      </w:r>
      <w:r w:rsidRPr="00DF0B3C">
        <w:rPr>
          <w:rFonts w:asciiTheme="majorHAnsi" w:hAnsiTheme="majorHAnsi" w:cstheme="majorHAnsi"/>
          <w:bCs/>
          <w:noProof/>
          <w:sz w:val="22"/>
          <w:lang w:val="de-DE"/>
        </w:rPr>
        <w:t>2006</w:t>
      </w:r>
      <w:r w:rsidRPr="00DF0B3C">
        <w:rPr>
          <w:rFonts w:asciiTheme="majorHAnsi" w:hAnsiTheme="majorHAnsi" w:cstheme="majorHAnsi"/>
          <w:noProof/>
          <w:sz w:val="22"/>
          <w:lang w:val="de-DE"/>
        </w:rPr>
        <w:t xml:space="preserve">; 6:357–362. </w:t>
      </w:r>
    </w:p>
    <w:p w:rsidR="006335F0" w:rsidRPr="006335F0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</w:rPr>
      </w:pPr>
      <w:r w:rsidRPr="00DF0B3C">
        <w:rPr>
          <w:rFonts w:asciiTheme="majorHAnsi" w:hAnsiTheme="majorHAnsi" w:cstheme="majorHAnsi"/>
          <w:noProof/>
          <w:sz w:val="22"/>
          <w:lang w:val="de-DE"/>
        </w:rPr>
        <w:t xml:space="preserve">S52. </w:t>
      </w:r>
      <w:r w:rsidRPr="00DF0B3C">
        <w:rPr>
          <w:rFonts w:asciiTheme="majorHAnsi" w:hAnsiTheme="majorHAnsi" w:cstheme="majorHAnsi"/>
          <w:noProof/>
          <w:sz w:val="22"/>
          <w:lang w:val="de-DE"/>
        </w:rPr>
        <w:tab/>
        <w:t xml:space="preserve">Lekstrom-Himes JA, Dorman SE, Kopar P, Holland SM, Gallin JI. </w:t>
      </w:r>
      <w:r w:rsidRPr="006335F0">
        <w:rPr>
          <w:rFonts w:asciiTheme="majorHAnsi" w:hAnsiTheme="majorHAnsi" w:cstheme="majorHAnsi"/>
          <w:noProof/>
          <w:sz w:val="22"/>
        </w:rPr>
        <w:t xml:space="preserve">Neutrophil-specific granule deficiency results from a novel mutation with loss of function of the transcription factor CCAAT/enhancer binding protein e. J. Exp. Med. </w:t>
      </w:r>
      <w:r w:rsidRPr="006335F0">
        <w:rPr>
          <w:rFonts w:asciiTheme="majorHAnsi" w:hAnsiTheme="majorHAnsi" w:cstheme="majorHAnsi"/>
          <w:bCs/>
          <w:noProof/>
          <w:sz w:val="22"/>
        </w:rPr>
        <w:t>1999</w:t>
      </w:r>
      <w:r w:rsidRPr="006335F0">
        <w:rPr>
          <w:rFonts w:asciiTheme="majorHAnsi" w:hAnsiTheme="majorHAnsi" w:cstheme="majorHAnsi"/>
          <w:noProof/>
          <w:sz w:val="22"/>
        </w:rPr>
        <w:t xml:space="preserve">; 189:1847–1852. </w:t>
      </w:r>
    </w:p>
    <w:p w:rsidR="006335F0" w:rsidRPr="006335F0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</w:rPr>
      </w:pP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S53. 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ab/>
        <w:t xml:space="preserve">Köker MY, Camcıoğlu Y, van Leeuwen K, et al. </w:t>
      </w:r>
      <w:r w:rsidRPr="006335F0">
        <w:rPr>
          <w:rFonts w:asciiTheme="majorHAnsi" w:hAnsiTheme="majorHAnsi" w:cstheme="majorHAnsi"/>
          <w:noProof/>
          <w:sz w:val="22"/>
        </w:rPr>
        <w:t xml:space="preserve">Clinical, functional, and genetic characterization of chronic granulomatous disease in 89 Turkish patients. J. Allergy Clin. Immunol. </w:t>
      </w:r>
      <w:r w:rsidRPr="006335F0">
        <w:rPr>
          <w:rFonts w:asciiTheme="majorHAnsi" w:hAnsiTheme="majorHAnsi" w:cstheme="majorHAnsi"/>
          <w:bCs/>
          <w:noProof/>
          <w:sz w:val="22"/>
        </w:rPr>
        <w:t>2013</w:t>
      </w:r>
      <w:r w:rsidRPr="006335F0">
        <w:rPr>
          <w:rFonts w:asciiTheme="majorHAnsi" w:hAnsiTheme="majorHAnsi" w:cstheme="majorHAnsi"/>
          <w:noProof/>
          <w:sz w:val="22"/>
        </w:rPr>
        <w:t xml:space="preserve">; 132:1156–1163.e5. </w:t>
      </w:r>
    </w:p>
    <w:p w:rsidR="006335F0" w:rsidRPr="00DF0B3C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  <w:lang w:val="nl-NL"/>
        </w:rPr>
      </w:pPr>
      <w:r w:rsidRPr="006335F0">
        <w:rPr>
          <w:rFonts w:asciiTheme="majorHAnsi" w:hAnsiTheme="majorHAnsi" w:cstheme="majorHAnsi"/>
          <w:noProof/>
          <w:sz w:val="22"/>
        </w:rPr>
        <w:t xml:space="preserve">S54. </w:t>
      </w:r>
      <w:r w:rsidRPr="006335F0">
        <w:rPr>
          <w:rFonts w:asciiTheme="majorHAnsi" w:hAnsiTheme="majorHAnsi" w:cstheme="majorHAnsi"/>
          <w:noProof/>
          <w:sz w:val="22"/>
        </w:rPr>
        <w:tab/>
        <w:t xml:space="preserve">Li F-Y, Chaigne-Delalande B, Kanellopoulou C, et al. Second messenger role for Mg2+ revealed by human T-cell immunodeficiency. 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Nature </w:t>
      </w:r>
      <w:r w:rsidRPr="00DF0B3C">
        <w:rPr>
          <w:rFonts w:asciiTheme="majorHAnsi" w:hAnsiTheme="majorHAnsi" w:cstheme="majorHAnsi"/>
          <w:bCs/>
          <w:noProof/>
          <w:sz w:val="22"/>
          <w:lang w:val="nl-NL"/>
        </w:rPr>
        <w:t>2011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; 475:471–476. </w:t>
      </w:r>
    </w:p>
    <w:p w:rsidR="006335F0" w:rsidRPr="006335F0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</w:rPr>
      </w:pP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S55. 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ab/>
        <w:t xml:space="preserve">Zhong FL, Mamaï O, Sborgi L, et al. </w:t>
      </w:r>
      <w:r w:rsidRPr="006335F0">
        <w:rPr>
          <w:rFonts w:asciiTheme="majorHAnsi" w:hAnsiTheme="majorHAnsi" w:cstheme="majorHAnsi"/>
          <w:noProof/>
          <w:sz w:val="22"/>
        </w:rPr>
        <w:t xml:space="preserve">Germline NLRP1 Mutations Cause Skin Inflammatory and Cancer Susceptibility Syndromes via Inflammasome Activation. Cell </w:t>
      </w:r>
      <w:r w:rsidRPr="006335F0">
        <w:rPr>
          <w:rFonts w:asciiTheme="majorHAnsi" w:hAnsiTheme="majorHAnsi" w:cstheme="majorHAnsi"/>
          <w:bCs/>
          <w:noProof/>
          <w:sz w:val="22"/>
        </w:rPr>
        <w:t>2016</w:t>
      </w:r>
      <w:r w:rsidRPr="006335F0">
        <w:rPr>
          <w:rFonts w:asciiTheme="majorHAnsi" w:hAnsiTheme="majorHAnsi" w:cstheme="majorHAnsi"/>
          <w:noProof/>
          <w:sz w:val="22"/>
        </w:rPr>
        <w:t xml:space="preserve">; 167:187–202.e17. </w:t>
      </w:r>
    </w:p>
    <w:p w:rsidR="006335F0" w:rsidRPr="006335F0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</w:rPr>
      </w:pPr>
      <w:r w:rsidRPr="006335F0">
        <w:rPr>
          <w:rFonts w:asciiTheme="majorHAnsi" w:hAnsiTheme="majorHAnsi" w:cstheme="majorHAnsi"/>
          <w:noProof/>
          <w:sz w:val="22"/>
        </w:rPr>
        <w:t xml:space="preserve">S56. </w:t>
      </w:r>
      <w:r w:rsidRPr="006335F0">
        <w:rPr>
          <w:rFonts w:asciiTheme="majorHAnsi" w:hAnsiTheme="majorHAnsi" w:cstheme="majorHAnsi"/>
          <w:noProof/>
          <w:sz w:val="22"/>
        </w:rPr>
        <w:tab/>
        <w:t xml:space="preserve">Villard J, Reith W, Barras E, et al. Analysis of mutations and chromosomal localisation of the gene encoding RFX5, a novel transcription factor affected in major histocompatibility complex class II deficiency. Hum. Mutat. </w:t>
      </w:r>
      <w:r w:rsidRPr="006335F0">
        <w:rPr>
          <w:rFonts w:asciiTheme="majorHAnsi" w:hAnsiTheme="majorHAnsi" w:cstheme="majorHAnsi"/>
          <w:bCs/>
          <w:noProof/>
          <w:sz w:val="22"/>
        </w:rPr>
        <w:t>1997</w:t>
      </w:r>
      <w:r w:rsidRPr="006335F0">
        <w:rPr>
          <w:rFonts w:asciiTheme="majorHAnsi" w:hAnsiTheme="majorHAnsi" w:cstheme="majorHAnsi"/>
          <w:noProof/>
          <w:sz w:val="22"/>
        </w:rPr>
        <w:t xml:space="preserve">; 10:430–435. </w:t>
      </w:r>
    </w:p>
    <w:p w:rsidR="006335F0" w:rsidRPr="006335F0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</w:rPr>
      </w:pPr>
      <w:r w:rsidRPr="006335F0">
        <w:rPr>
          <w:rFonts w:asciiTheme="majorHAnsi" w:hAnsiTheme="majorHAnsi" w:cstheme="majorHAnsi"/>
          <w:noProof/>
          <w:sz w:val="22"/>
        </w:rPr>
        <w:t xml:space="preserve">S57. </w:t>
      </w:r>
      <w:r w:rsidRPr="006335F0">
        <w:rPr>
          <w:rFonts w:asciiTheme="majorHAnsi" w:hAnsiTheme="majorHAnsi" w:cstheme="majorHAnsi"/>
          <w:noProof/>
          <w:sz w:val="22"/>
        </w:rPr>
        <w:tab/>
        <w:t xml:space="preserve">Atanasovska B, Bozhinovski G, Plaseska-Karanfilska D, Chakalova L. Efficient Detection of Mediterranean β-Thalassemia Mutations by Multiplex Single-Nucleotide Primer Extension. PLoS One </w:t>
      </w:r>
      <w:r w:rsidRPr="006335F0">
        <w:rPr>
          <w:rFonts w:asciiTheme="majorHAnsi" w:hAnsiTheme="majorHAnsi" w:cstheme="majorHAnsi"/>
          <w:bCs/>
          <w:noProof/>
          <w:sz w:val="22"/>
        </w:rPr>
        <w:t>2012</w:t>
      </w:r>
      <w:r w:rsidRPr="006335F0">
        <w:rPr>
          <w:rFonts w:asciiTheme="majorHAnsi" w:hAnsiTheme="majorHAnsi" w:cstheme="majorHAnsi"/>
          <w:noProof/>
          <w:sz w:val="22"/>
        </w:rPr>
        <w:t xml:space="preserve">; 7. </w:t>
      </w:r>
    </w:p>
    <w:p w:rsidR="006335F0" w:rsidRPr="00DF0B3C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  <w:lang w:val="de-DE"/>
        </w:rPr>
      </w:pPr>
      <w:r w:rsidRPr="006335F0">
        <w:rPr>
          <w:rFonts w:asciiTheme="majorHAnsi" w:hAnsiTheme="majorHAnsi" w:cstheme="majorHAnsi"/>
          <w:noProof/>
          <w:sz w:val="22"/>
        </w:rPr>
        <w:t xml:space="preserve">S58. </w:t>
      </w:r>
      <w:r w:rsidRPr="006335F0">
        <w:rPr>
          <w:rFonts w:asciiTheme="majorHAnsi" w:hAnsiTheme="majorHAnsi" w:cstheme="majorHAnsi"/>
          <w:noProof/>
          <w:sz w:val="22"/>
        </w:rPr>
        <w:tab/>
        <w:t xml:space="preserve">Crow YJ, Leitch A, Hayward BE, et al. Mutations in genes encoding ribonuclease H2 subunits cause Aicardi-Goutières syndrome and mimic congenital viral brain infection. </w:t>
      </w:r>
      <w:r w:rsidRPr="00DF0B3C">
        <w:rPr>
          <w:rFonts w:asciiTheme="majorHAnsi" w:hAnsiTheme="majorHAnsi" w:cstheme="majorHAnsi"/>
          <w:noProof/>
          <w:sz w:val="22"/>
          <w:lang w:val="de-DE"/>
        </w:rPr>
        <w:t xml:space="preserve">Nat. Genet. </w:t>
      </w:r>
      <w:r w:rsidRPr="00DF0B3C">
        <w:rPr>
          <w:rFonts w:asciiTheme="majorHAnsi" w:hAnsiTheme="majorHAnsi" w:cstheme="majorHAnsi"/>
          <w:bCs/>
          <w:noProof/>
          <w:sz w:val="22"/>
          <w:lang w:val="de-DE"/>
        </w:rPr>
        <w:t>2006</w:t>
      </w:r>
      <w:r w:rsidRPr="00DF0B3C">
        <w:rPr>
          <w:rFonts w:asciiTheme="majorHAnsi" w:hAnsiTheme="majorHAnsi" w:cstheme="majorHAnsi"/>
          <w:noProof/>
          <w:sz w:val="22"/>
          <w:lang w:val="de-DE"/>
        </w:rPr>
        <w:t xml:space="preserve">; 38:910–6. </w:t>
      </w:r>
    </w:p>
    <w:p w:rsidR="006335F0" w:rsidRPr="006335F0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</w:rPr>
      </w:pPr>
      <w:r w:rsidRPr="00DF0B3C">
        <w:rPr>
          <w:rFonts w:asciiTheme="majorHAnsi" w:hAnsiTheme="majorHAnsi" w:cstheme="majorHAnsi"/>
          <w:noProof/>
          <w:sz w:val="22"/>
          <w:lang w:val="de-DE"/>
        </w:rPr>
        <w:t xml:space="preserve">S59. </w:t>
      </w:r>
      <w:r w:rsidRPr="00DF0B3C">
        <w:rPr>
          <w:rFonts w:asciiTheme="majorHAnsi" w:hAnsiTheme="majorHAnsi" w:cstheme="majorHAnsi"/>
          <w:noProof/>
          <w:sz w:val="22"/>
          <w:lang w:val="de-DE"/>
        </w:rPr>
        <w:tab/>
        <w:t xml:space="preserve">Nishizaka H, Horiuchi T, Zhu ZB, Fukumori Y, Volanakis JE. </w:t>
      </w:r>
      <w:r w:rsidRPr="006335F0">
        <w:rPr>
          <w:rFonts w:asciiTheme="majorHAnsi" w:hAnsiTheme="majorHAnsi" w:cstheme="majorHAnsi"/>
          <w:noProof/>
          <w:sz w:val="22"/>
        </w:rPr>
        <w:t xml:space="preserve">Genetic bases of human complement C7 deficiency. J. Immunol. </w:t>
      </w:r>
      <w:r w:rsidRPr="006335F0">
        <w:rPr>
          <w:rFonts w:asciiTheme="majorHAnsi" w:hAnsiTheme="majorHAnsi" w:cstheme="majorHAnsi"/>
          <w:bCs/>
          <w:noProof/>
          <w:sz w:val="22"/>
        </w:rPr>
        <w:t>1996</w:t>
      </w:r>
      <w:r w:rsidRPr="006335F0">
        <w:rPr>
          <w:rFonts w:asciiTheme="majorHAnsi" w:hAnsiTheme="majorHAnsi" w:cstheme="majorHAnsi"/>
          <w:noProof/>
          <w:sz w:val="22"/>
        </w:rPr>
        <w:t xml:space="preserve">; 157:4239–4243. </w:t>
      </w:r>
    </w:p>
    <w:p w:rsidR="006335F0" w:rsidRPr="00DF0B3C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  <w:lang w:val="nl-NL"/>
        </w:rPr>
      </w:pPr>
      <w:r w:rsidRPr="006335F0">
        <w:rPr>
          <w:rFonts w:asciiTheme="majorHAnsi" w:hAnsiTheme="majorHAnsi" w:cstheme="majorHAnsi"/>
          <w:noProof/>
          <w:sz w:val="22"/>
        </w:rPr>
        <w:t xml:space="preserve">S60. </w:t>
      </w:r>
      <w:r w:rsidRPr="006335F0">
        <w:rPr>
          <w:rFonts w:asciiTheme="majorHAnsi" w:hAnsiTheme="majorHAnsi" w:cstheme="majorHAnsi"/>
          <w:noProof/>
          <w:sz w:val="22"/>
        </w:rPr>
        <w:tab/>
      </w: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Verhoeven NM, Huck JH, Roos B, et al. </w:t>
      </w:r>
      <w:r w:rsidRPr="006335F0">
        <w:rPr>
          <w:rFonts w:asciiTheme="majorHAnsi" w:hAnsiTheme="majorHAnsi" w:cstheme="majorHAnsi"/>
          <w:noProof/>
          <w:sz w:val="22"/>
        </w:rPr>
        <w:t xml:space="preserve">Transaldolase deficiency: liver cirrhosis associated with a new inborn error in the pentose phosphate pathway. 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Am. J. Hum. Genet. </w:t>
      </w:r>
      <w:r w:rsidRPr="00DF0B3C">
        <w:rPr>
          <w:rFonts w:asciiTheme="majorHAnsi" w:hAnsiTheme="majorHAnsi" w:cstheme="majorHAnsi"/>
          <w:bCs/>
          <w:noProof/>
          <w:sz w:val="22"/>
          <w:lang w:val="nl-NL"/>
        </w:rPr>
        <w:t>2001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; 68:1086–1092. </w:t>
      </w:r>
    </w:p>
    <w:p w:rsidR="006335F0" w:rsidRPr="00DF0B3C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  <w:lang w:val="de-DE"/>
        </w:rPr>
      </w:pP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S61. 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ab/>
        <w:t xml:space="preserve">Eyaid W, Al Harbi T, Anazi S, et al. </w:t>
      </w:r>
      <w:r w:rsidRPr="006335F0">
        <w:rPr>
          <w:rFonts w:asciiTheme="majorHAnsi" w:hAnsiTheme="majorHAnsi" w:cstheme="majorHAnsi"/>
          <w:noProof/>
          <w:sz w:val="22"/>
        </w:rPr>
        <w:t xml:space="preserve">Transaldolase deficiency: Report of 12 new cases and further delineation of the phenotype. </w:t>
      </w:r>
      <w:r w:rsidRPr="00DF0B3C">
        <w:rPr>
          <w:rFonts w:asciiTheme="majorHAnsi" w:hAnsiTheme="majorHAnsi" w:cstheme="majorHAnsi"/>
          <w:noProof/>
          <w:sz w:val="22"/>
          <w:lang w:val="de-DE"/>
        </w:rPr>
        <w:t xml:space="preserve">J. Inherit. Metab. Dis. </w:t>
      </w:r>
      <w:r w:rsidRPr="00DF0B3C">
        <w:rPr>
          <w:rFonts w:asciiTheme="majorHAnsi" w:hAnsiTheme="majorHAnsi" w:cstheme="majorHAnsi"/>
          <w:bCs/>
          <w:noProof/>
          <w:sz w:val="22"/>
          <w:lang w:val="de-DE"/>
        </w:rPr>
        <w:t>2013</w:t>
      </w:r>
      <w:r w:rsidRPr="00DF0B3C">
        <w:rPr>
          <w:rFonts w:asciiTheme="majorHAnsi" w:hAnsiTheme="majorHAnsi" w:cstheme="majorHAnsi"/>
          <w:noProof/>
          <w:sz w:val="22"/>
          <w:lang w:val="de-DE"/>
        </w:rPr>
        <w:t xml:space="preserve">; 36:997–1004. </w:t>
      </w:r>
    </w:p>
    <w:p w:rsidR="006335F0" w:rsidRPr="006335F0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</w:rPr>
      </w:pPr>
      <w:r w:rsidRPr="00DF0B3C">
        <w:rPr>
          <w:rFonts w:asciiTheme="majorHAnsi" w:hAnsiTheme="majorHAnsi" w:cstheme="majorHAnsi"/>
          <w:noProof/>
          <w:sz w:val="22"/>
          <w:lang w:val="de-DE"/>
        </w:rPr>
        <w:t xml:space="preserve">S62. </w:t>
      </w:r>
      <w:r w:rsidRPr="00DF0B3C">
        <w:rPr>
          <w:rFonts w:asciiTheme="majorHAnsi" w:hAnsiTheme="majorHAnsi" w:cstheme="majorHAnsi"/>
          <w:noProof/>
          <w:sz w:val="22"/>
          <w:lang w:val="de-DE"/>
        </w:rPr>
        <w:tab/>
        <w:t xml:space="preserve">Hauck F, Randriamampita C, Martin E, et al. </w:t>
      </w:r>
      <w:r w:rsidRPr="006335F0">
        <w:rPr>
          <w:rFonts w:asciiTheme="majorHAnsi" w:hAnsiTheme="majorHAnsi" w:cstheme="majorHAnsi"/>
          <w:noProof/>
          <w:sz w:val="22"/>
        </w:rPr>
        <w:t xml:space="preserve">Primary T-cell immunodeficiency with </w:t>
      </w:r>
      <w:r w:rsidRPr="006335F0">
        <w:rPr>
          <w:rFonts w:asciiTheme="majorHAnsi" w:hAnsiTheme="majorHAnsi" w:cstheme="majorHAnsi"/>
          <w:noProof/>
          <w:sz w:val="22"/>
        </w:rPr>
        <w:lastRenderedPageBreak/>
        <w:t xml:space="preserve">immunodysregulation caused by autosomal recessive LCK deficiency. J. Allergy Clin. Immunol. </w:t>
      </w:r>
      <w:r w:rsidRPr="006335F0">
        <w:rPr>
          <w:rFonts w:asciiTheme="majorHAnsi" w:hAnsiTheme="majorHAnsi" w:cstheme="majorHAnsi"/>
          <w:bCs/>
          <w:noProof/>
          <w:sz w:val="22"/>
        </w:rPr>
        <w:t>2012</w:t>
      </w:r>
      <w:r w:rsidRPr="006335F0">
        <w:rPr>
          <w:rFonts w:asciiTheme="majorHAnsi" w:hAnsiTheme="majorHAnsi" w:cstheme="majorHAnsi"/>
          <w:noProof/>
          <w:sz w:val="22"/>
        </w:rPr>
        <w:t xml:space="preserve">; 130. </w:t>
      </w:r>
    </w:p>
    <w:p w:rsidR="006335F0" w:rsidRPr="006335F0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</w:rPr>
      </w:pPr>
      <w:r w:rsidRPr="006335F0">
        <w:rPr>
          <w:rFonts w:asciiTheme="majorHAnsi" w:hAnsiTheme="majorHAnsi" w:cstheme="majorHAnsi"/>
          <w:noProof/>
          <w:sz w:val="22"/>
        </w:rPr>
        <w:t xml:space="preserve">S63. </w:t>
      </w:r>
      <w:r w:rsidRPr="006335F0">
        <w:rPr>
          <w:rFonts w:asciiTheme="majorHAnsi" w:hAnsiTheme="majorHAnsi" w:cstheme="majorHAnsi"/>
          <w:noProof/>
          <w:sz w:val="22"/>
        </w:rPr>
        <w:tab/>
        <w:t xml:space="preserve">Snow AL, Xiao W, Stinson JR, et al. Congenital B cell lymphocytosis explained by novel germline CARD11 mutations. J Exp Med </w:t>
      </w:r>
      <w:r w:rsidRPr="006335F0">
        <w:rPr>
          <w:rFonts w:asciiTheme="majorHAnsi" w:hAnsiTheme="majorHAnsi" w:cstheme="majorHAnsi"/>
          <w:bCs/>
          <w:noProof/>
          <w:sz w:val="22"/>
        </w:rPr>
        <w:t>2012</w:t>
      </w:r>
      <w:r w:rsidRPr="006335F0">
        <w:rPr>
          <w:rFonts w:asciiTheme="majorHAnsi" w:hAnsiTheme="majorHAnsi" w:cstheme="majorHAnsi"/>
          <w:noProof/>
          <w:sz w:val="22"/>
        </w:rPr>
        <w:t xml:space="preserve">; 209:2247–2261. </w:t>
      </w:r>
    </w:p>
    <w:p w:rsidR="006335F0" w:rsidRPr="00DF0B3C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  <w:lang w:val="nl-NL"/>
        </w:rPr>
      </w:pPr>
      <w:r w:rsidRPr="006335F0">
        <w:rPr>
          <w:rFonts w:asciiTheme="majorHAnsi" w:hAnsiTheme="majorHAnsi" w:cstheme="majorHAnsi"/>
          <w:noProof/>
          <w:sz w:val="22"/>
        </w:rPr>
        <w:t xml:space="preserve">S64. </w:t>
      </w:r>
      <w:r w:rsidRPr="006335F0">
        <w:rPr>
          <w:rFonts w:asciiTheme="majorHAnsi" w:hAnsiTheme="majorHAnsi" w:cstheme="majorHAnsi"/>
          <w:noProof/>
          <w:sz w:val="22"/>
        </w:rPr>
        <w:tab/>
        <w:t xml:space="preserve">Brohl AS, Stinson J, Su HC, et al. Germline CARD11 mutation in a patient with severe congenital B cell lymphocytosis. 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J. Clin. Immunol. </w:t>
      </w:r>
      <w:r w:rsidRPr="00DF0B3C">
        <w:rPr>
          <w:rFonts w:asciiTheme="majorHAnsi" w:hAnsiTheme="majorHAnsi" w:cstheme="majorHAnsi"/>
          <w:bCs/>
          <w:noProof/>
          <w:sz w:val="22"/>
          <w:lang w:val="nl-NL"/>
        </w:rPr>
        <w:t>2016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; 35:32–46. </w:t>
      </w:r>
    </w:p>
    <w:p w:rsidR="006335F0" w:rsidRPr="006335F0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</w:rPr>
      </w:pP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S65. 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ab/>
        <w:t xml:space="preserve">Banka S, Blom HJ, Walter J, et al. </w:t>
      </w:r>
      <w:r w:rsidRPr="006335F0">
        <w:rPr>
          <w:rFonts w:asciiTheme="majorHAnsi" w:hAnsiTheme="majorHAnsi" w:cstheme="majorHAnsi"/>
          <w:noProof/>
          <w:sz w:val="22"/>
        </w:rPr>
        <w:t xml:space="preserve">Identification and characterization of an inborn error of metabolism caused by dihydrofolate reductase deficiency. Am. J. Hum. Genet. </w:t>
      </w:r>
      <w:r w:rsidRPr="006335F0">
        <w:rPr>
          <w:rFonts w:asciiTheme="majorHAnsi" w:hAnsiTheme="majorHAnsi" w:cstheme="majorHAnsi"/>
          <w:bCs/>
          <w:noProof/>
          <w:sz w:val="22"/>
        </w:rPr>
        <w:t>2011</w:t>
      </w:r>
      <w:r w:rsidRPr="006335F0">
        <w:rPr>
          <w:rFonts w:asciiTheme="majorHAnsi" w:hAnsiTheme="majorHAnsi" w:cstheme="majorHAnsi"/>
          <w:noProof/>
          <w:sz w:val="22"/>
        </w:rPr>
        <w:t xml:space="preserve">; 88:216–225. </w:t>
      </w:r>
    </w:p>
    <w:p w:rsidR="006335F0" w:rsidRPr="006335F0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</w:rPr>
      </w:pPr>
      <w:r w:rsidRPr="006335F0">
        <w:rPr>
          <w:rFonts w:asciiTheme="majorHAnsi" w:hAnsiTheme="majorHAnsi" w:cstheme="majorHAnsi"/>
          <w:noProof/>
          <w:sz w:val="22"/>
        </w:rPr>
        <w:t xml:space="preserve">S66. </w:t>
      </w:r>
      <w:r w:rsidRPr="006335F0">
        <w:rPr>
          <w:rFonts w:asciiTheme="majorHAnsi" w:hAnsiTheme="majorHAnsi" w:cstheme="majorHAnsi"/>
          <w:noProof/>
          <w:sz w:val="22"/>
        </w:rPr>
        <w:tab/>
        <w:t xml:space="preserve">Nunoi H, Iwata M, Tatsuzawa S, et al. AG dinucleotide insertion in a patient with chronic granulomatous disease lacking cytosolic 67-kD protein. Blood </w:t>
      </w:r>
      <w:r w:rsidRPr="006335F0">
        <w:rPr>
          <w:rFonts w:asciiTheme="majorHAnsi" w:hAnsiTheme="majorHAnsi" w:cstheme="majorHAnsi"/>
          <w:bCs/>
          <w:noProof/>
          <w:sz w:val="22"/>
        </w:rPr>
        <w:t>1995</w:t>
      </w:r>
      <w:r w:rsidRPr="006335F0">
        <w:rPr>
          <w:rFonts w:asciiTheme="majorHAnsi" w:hAnsiTheme="majorHAnsi" w:cstheme="majorHAnsi"/>
          <w:noProof/>
          <w:sz w:val="22"/>
        </w:rPr>
        <w:t xml:space="preserve">; 86:329–33. </w:t>
      </w:r>
    </w:p>
    <w:p w:rsidR="006335F0" w:rsidRPr="006335F0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</w:rPr>
      </w:pPr>
      <w:r w:rsidRPr="006335F0">
        <w:rPr>
          <w:rFonts w:asciiTheme="majorHAnsi" w:hAnsiTheme="majorHAnsi" w:cstheme="majorHAnsi"/>
          <w:noProof/>
          <w:sz w:val="22"/>
        </w:rPr>
        <w:t xml:space="preserve">S67. </w:t>
      </w:r>
      <w:r w:rsidRPr="006335F0">
        <w:rPr>
          <w:rFonts w:asciiTheme="majorHAnsi" w:hAnsiTheme="majorHAnsi" w:cstheme="majorHAnsi"/>
          <w:noProof/>
          <w:sz w:val="22"/>
        </w:rPr>
        <w:tab/>
        <w:t xml:space="preserve">Aksentijevich I, Torosyan Y, Samuels J, et al. Mutation and haplotype studies of familial Mediterranean fever reveal new ancestral relationships and evidence for a high carrier frequency with reduced penetrance in the Ashkenazi Jewish population. Am. J. Hum. Genet. </w:t>
      </w:r>
      <w:r w:rsidRPr="006335F0">
        <w:rPr>
          <w:rFonts w:asciiTheme="majorHAnsi" w:hAnsiTheme="majorHAnsi" w:cstheme="majorHAnsi"/>
          <w:bCs/>
          <w:noProof/>
          <w:sz w:val="22"/>
        </w:rPr>
        <w:t>1999</w:t>
      </w:r>
      <w:r w:rsidRPr="006335F0">
        <w:rPr>
          <w:rFonts w:asciiTheme="majorHAnsi" w:hAnsiTheme="majorHAnsi" w:cstheme="majorHAnsi"/>
          <w:noProof/>
          <w:sz w:val="22"/>
        </w:rPr>
        <w:t xml:space="preserve">; 64:949–62. </w:t>
      </w:r>
    </w:p>
    <w:p w:rsidR="006335F0" w:rsidRPr="00DF0B3C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  <w:lang w:val="nl-NL"/>
        </w:rPr>
      </w:pPr>
      <w:r w:rsidRPr="006335F0">
        <w:rPr>
          <w:rFonts w:asciiTheme="majorHAnsi" w:hAnsiTheme="majorHAnsi" w:cstheme="majorHAnsi"/>
          <w:noProof/>
          <w:sz w:val="22"/>
        </w:rPr>
        <w:t xml:space="preserve">S68. </w:t>
      </w:r>
      <w:r w:rsidRPr="006335F0">
        <w:rPr>
          <w:rFonts w:asciiTheme="majorHAnsi" w:hAnsiTheme="majorHAnsi" w:cstheme="majorHAnsi"/>
          <w:noProof/>
          <w:sz w:val="22"/>
        </w:rPr>
        <w:tab/>
        <w:t xml:space="preserve">Romberg N, Al Moussawi K, Nelson-Williams C, et al. Mutation of NLRC4 causes a syndrome of enterocolitis and autoinflammation. 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Nat. Genet. </w:t>
      </w:r>
      <w:r w:rsidRPr="00DF0B3C">
        <w:rPr>
          <w:rFonts w:asciiTheme="majorHAnsi" w:hAnsiTheme="majorHAnsi" w:cstheme="majorHAnsi"/>
          <w:bCs/>
          <w:noProof/>
          <w:sz w:val="22"/>
          <w:lang w:val="nl-NL"/>
        </w:rPr>
        <w:t>2014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; 46:1135–9. </w:t>
      </w:r>
    </w:p>
    <w:p w:rsidR="006335F0" w:rsidRPr="006335F0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</w:rPr>
      </w:pP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S69. 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ab/>
        <w:t xml:space="preserve">Volker-Touw N, De Koning H, Van Kempen T, et al. </w:t>
      </w:r>
      <w:r w:rsidRPr="006335F0">
        <w:rPr>
          <w:rFonts w:asciiTheme="majorHAnsi" w:hAnsiTheme="majorHAnsi" w:cstheme="majorHAnsi"/>
          <w:noProof/>
          <w:sz w:val="22"/>
        </w:rPr>
        <w:t xml:space="preserve">A novel mutation in NLRC4 in a large pedigree with an anakinra responsive autoinflammatory disease. Pediatr. Rheumatol. </w:t>
      </w:r>
      <w:r w:rsidRPr="006335F0">
        <w:rPr>
          <w:rFonts w:asciiTheme="majorHAnsi" w:hAnsiTheme="majorHAnsi" w:cstheme="majorHAnsi"/>
          <w:bCs/>
          <w:noProof/>
          <w:sz w:val="22"/>
        </w:rPr>
        <w:t>2015</w:t>
      </w:r>
      <w:r w:rsidRPr="006335F0">
        <w:rPr>
          <w:rFonts w:asciiTheme="majorHAnsi" w:hAnsiTheme="majorHAnsi" w:cstheme="majorHAnsi"/>
          <w:noProof/>
          <w:sz w:val="22"/>
        </w:rPr>
        <w:t xml:space="preserve">; 13:P30. </w:t>
      </w:r>
    </w:p>
    <w:p w:rsidR="006335F0" w:rsidRPr="006335F0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</w:rPr>
      </w:pPr>
      <w:r w:rsidRPr="006335F0">
        <w:rPr>
          <w:rFonts w:asciiTheme="majorHAnsi" w:hAnsiTheme="majorHAnsi" w:cstheme="majorHAnsi"/>
          <w:noProof/>
          <w:sz w:val="22"/>
        </w:rPr>
        <w:t xml:space="preserve">S70. </w:t>
      </w:r>
      <w:r w:rsidRPr="006335F0">
        <w:rPr>
          <w:rFonts w:asciiTheme="majorHAnsi" w:hAnsiTheme="majorHAnsi" w:cstheme="majorHAnsi"/>
          <w:noProof/>
          <w:sz w:val="22"/>
        </w:rPr>
        <w:tab/>
        <w:t xml:space="preserve">Vulliamy TJ, D’Urso M, Battistuzzi G, et al. Diverse point mutations in the human glucose-6-phosphate dehydrogenase gene cause enzyme deficiency and mild or severe hemolytic anemia. Proc. Natl. Acad. Sci. USA </w:t>
      </w:r>
      <w:r w:rsidRPr="006335F0">
        <w:rPr>
          <w:rFonts w:asciiTheme="majorHAnsi" w:hAnsiTheme="majorHAnsi" w:cstheme="majorHAnsi"/>
          <w:bCs/>
          <w:noProof/>
          <w:sz w:val="22"/>
        </w:rPr>
        <w:t>1988</w:t>
      </w:r>
      <w:r w:rsidRPr="006335F0">
        <w:rPr>
          <w:rFonts w:asciiTheme="majorHAnsi" w:hAnsiTheme="majorHAnsi" w:cstheme="majorHAnsi"/>
          <w:noProof/>
          <w:sz w:val="22"/>
        </w:rPr>
        <w:t xml:space="preserve">; 85:5171–5175. </w:t>
      </w:r>
    </w:p>
    <w:p w:rsidR="006335F0" w:rsidRPr="006335F0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</w:rPr>
      </w:pPr>
      <w:r w:rsidRPr="006335F0">
        <w:rPr>
          <w:rFonts w:asciiTheme="majorHAnsi" w:hAnsiTheme="majorHAnsi" w:cstheme="majorHAnsi"/>
          <w:noProof/>
          <w:sz w:val="22"/>
        </w:rPr>
        <w:t xml:space="preserve">S71. </w:t>
      </w:r>
      <w:r w:rsidRPr="006335F0">
        <w:rPr>
          <w:rFonts w:asciiTheme="majorHAnsi" w:hAnsiTheme="majorHAnsi" w:cstheme="majorHAnsi"/>
          <w:noProof/>
          <w:sz w:val="22"/>
        </w:rPr>
        <w:tab/>
        <w:t xml:space="preserve">Jarolim P, Rubin HL, Brabec V, Palek J. A Nonsense Mutation 1669Glu→Ter within the Regulatory Domain of Human Erythroid Ankyrin Leads to a Selective Deficiency of the Major Ankyrin Isoform (Band 2.1) and a Phenotype of Autosomal Dominant Hereditary Spherocytosis. J. Clin. Invest. </w:t>
      </w:r>
      <w:r w:rsidRPr="006335F0">
        <w:rPr>
          <w:rFonts w:asciiTheme="majorHAnsi" w:hAnsiTheme="majorHAnsi" w:cstheme="majorHAnsi"/>
          <w:bCs/>
          <w:noProof/>
          <w:sz w:val="22"/>
        </w:rPr>
        <w:t>1995</w:t>
      </w:r>
      <w:r w:rsidRPr="006335F0">
        <w:rPr>
          <w:rFonts w:asciiTheme="majorHAnsi" w:hAnsiTheme="majorHAnsi" w:cstheme="majorHAnsi"/>
          <w:noProof/>
          <w:sz w:val="22"/>
        </w:rPr>
        <w:t xml:space="preserve">; 95:941–947. </w:t>
      </w:r>
    </w:p>
    <w:p w:rsidR="006335F0" w:rsidRPr="006335F0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</w:rPr>
      </w:pPr>
      <w:r w:rsidRPr="006335F0">
        <w:rPr>
          <w:rFonts w:asciiTheme="majorHAnsi" w:hAnsiTheme="majorHAnsi" w:cstheme="majorHAnsi"/>
          <w:noProof/>
          <w:sz w:val="22"/>
        </w:rPr>
        <w:t xml:space="preserve">S72. </w:t>
      </w:r>
      <w:r w:rsidRPr="006335F0">
        <w:rPr>
          <w:rFonts w:asciiTheme="majorHAnsi" w:hAnsiTheme="majorHAnsi" w:cstheme="majorHAnsi"/>
          <w:noProof/>
          <w:sz w:val="22"/>
        </w:rPr>
        <w:tab/>
        <w:t xml:space="preserve">Keller MD, Ganesh J, Heltzer M, et al. Severe combined immunodeficiency resulting from mutations in MTHFD1. Pediatrics </w:t>
      </w:r>
      <w:r w:rsidRPr="006335F0">
        <w:rPr>
          <w:rFonts w:asciiTheme="majorHAnsi" w:hAnsiTheme="majorHAnsi" w:cstheme="majorHAnsi"/>
          <w:bCs/>
          <w:noProof/>
          <w:sz w:val="22"/>
        </w:rPr>
        <w:t>2013</w:t>
      </w:r>
      <w:r w:rsidRPr="006335F0">
        <w:rPr>
          <w:rFonts w:asciiTheme="majorHAnsi" w:hAnsiTheme="majorHAnsi" w:cstheme="majorHAnsi"/>
          <w:noProof/>
          <w:sz w:val="22"/>
        </w:rPr>
        <w:t xml:space="preserve">; 131:e629-34. </w:t>
      </w:r>
    </w:p>
    <w:p w:rsidR="006335F0" w:rsidRPr="006335F0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</w:rPr>
      </w:pPr>
      <w:r w:rsidRPr="006335F0">
        <w:rPr>
          <w:rFonts w:asciiTheme="majorHAnsi" w:hAnsiTheme="majorHAnsi" w:cstheme="majorHAnsi"/>
          <w:noProof/>
          <w:sz w:val="22"/>
        </w:rPr>
        <w:t xml:space="preserve">S73. </w:t>
      </w:r>
      <w:r w:rsidRPr="006335F0">
        <w:rPr>
          <w:rFonts w:asciiTheme="majorHAnsi" w:hAnsiTheme="majorHAnsi" w:cstheme="majorHAnsi"/>
          <w:noProof/>
          <w:sz w:val="22"/>
        </w:rPr>
        <w:tab/>
        <w:t xml:space="preserve">Burda P, Kuster A, Hjalmarson O, et al. Characterization and review of MTHFD1 deficiency: four new patients, cellular delineation and response to folic and folinic acid treatment. J. Inherit. Metab. Dis. </w:t>
      </w:r>
      <w:r w:rsidRPr="006335F0">
        <w:rPr>
          <w:rFonts w:asciiTheme="majorHAnsi" w:hAnsiTheme="majorHAnsi" w:cstheme="majorHAnsi"/>
          <w:bCs/>
          <w:noProof/>
          <w:sz w:val="22"/>
        </w:rPr>
        <w:t>2015</w:t>
      </w:r>
      <w:r w:rsidRPr="006335F0">
        <w:rPr>
          <w:rFonts w:asciiTheme="majorHAnsi" w:hAnsiTheme="majorHAnsi" w:cstheme="majorHAnsi"/>
          <w:noProof/>
          <w:sz w:val="22"/>
        </w:rPr>
        <w:t xml:space="preserve">; 38:863–872. </w:t>
      </w:r>
    </w:p>
    <w:p w:rsidR="006335F0" w:rsidRPr="006335F0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</w:rPr>
      </w:pPr>
      <w:r w:rsidRPr="006335F0">
        <w:rPr>
          <w:rFonts w:asciiTheme="majorHAnsi" w:hAnsiTheme="majorHAnsi" w:cstheme="majorHAnsi"/>
          <w:noProof/>
          <w:sz w:val="22"/>
        </w:rPr>
        <w:t xml:space="preserve">S74. </w:t>
      </w:r>
      <w:r w:rsidRPr="006335F0">
        <w:rPr>
          <w:rFonts w:asciiTheme="majorHAnsi" w:hAnsiTheme="majorHAnsi" w:cstheme="majorHAnsi"/>
          <w:noProof/>
          <w:sz w:val="22"/>
        </w:rPr>
        <w:tab/>
        <w:t xml:space="preserve">Minegishi Y, Saito M, Tsuchiya S, et al. Dominant-negative mutations in the DNA-binding domain of STAT3 cause hyper-IgE syndrome. Nature </w:t>
      </w:r>
      <w:r w:rsidRPr="006335F0">
        <w:rPr>
          <w:rFonts w:asciiTheme="majorHAnsi" w:hAnsiTheme="majorHAnsi" w:cstheme="majorHAnsi"/>
          <w:bCs/>
          <w:noProof/>
          <w:sz w:val="22"/>
        </w:rPr>
        <w:t>2007</w:t>
      </w:r>
      <w:r w:rsidRPr="006335F0">
        <w:rPr>
          <w:rFonts w:asciiTheme="majorHAnsi" w:hAnsiTheme="majorHAnsi" w:cstheme="majorHAnsi"/>
          <w:noProof/>
          <w:sz w:val="22"/>
        </w:rPr>
        <w:t xml:space="preserve">; 448:1058–1062. </w:t>
      </w:r>
    </w:p>
    <w:p w:rsidR="006335F0" w:rsidRPr="006335F0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</w:rPr>
      </w:pPr>
      <w:r w:rsidRPr="006335F0">
        <w:rPr>
          <w:rFonts w:asciiTheme="majorHAnsi" w:hAnsiTheme="majorHAnsi" w:cstheme="majorHAnsi"/>
          <w:noProof/>
          <w:sz w:val="22"/>
        </w:rPr>
        <w:t xml:space="preserve">S75. </w:t>
      </w:r>
      <w:r w:rsidRPr="006335F0">
        <w:rPr>
          <w:rFonts w:asciiTheme="majorHAnsi" w:hAnsiTheme="majorHAnsi" w:cstheme="majorHAnsi"/>
          <w:noProof/>
          <w:sz w:val="22"/>
        </w:rPr>
        <w:tab/>
        <w:t xml:space="preserve">Chandesris M-O, Melki I, Natividad A, et al. Autosomal Dominant STAT3 Deficiency and Hyper-IgE Syndrome Molecular, Cellular, and Clinical Features From a French National Survey. Medicine (Baltimore). </w:t>
      </w:r>
      <w:r w:rsidRPr="006335F0">
        <w:rPr>
          <w:rFonts w:asciiTheme="majorHAnsi" w:hAnsiTheme="majorHAnsi" w:cstheme="majorHAnsi"/>
          <w:bCs/>
          <w:noProof/>
          <w:sz w:val="22"/>
        </w:rPr>
        <w:t>2013</w:t>
      </w:r>
      <w:r w:rsidRPr="006335F0">
        <w:rPr>
          <w:rFonts w:asciiTheme="majorHAnsi" w:hAnsiTheme="majorHAnsi" w:cstheme="majorHAnsi"/>
          <w:noProof/>
          <w:sz w:val="22"/>
        </w:rPr>
        <w:t xml:space="preserve">; 91. </w:t>
      </w:r>
    </w:p>
    <w:p w:rsidR="006335F0" w:rsidRPr="006335F0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</w:rPr>
      </w:pPr>
      <w:r w:rsidRPr="006335F0">
        <w:rPr>
          <w:rFonts w:asciiTheme="majorHAnsi" w:hAnsiTheme="majorHAnsi" w:cstheme="majorHAnsi"/>
          <w:noProof/>
          <w:sz w:val="22"/>
        </w:rPr>
        <w:t xml:space="preserve">S76. </w:t>
      </w:r>
      <w:r w:rsidRPr="006335F0">
        <w:rPr>
          <w:rFonts w:asciiTheme="majorHAnsi" w:hAnsiTheme="majorHAnsi" w:cstheme="majorHAnsi"/>
          <w:noProof/>
          <w:sz w:val="22"/>
        </w:rPr>
        <w:tab/>
        <w:t xml:space="preserve">Boisson B, Laplantine E, Dobbs K, et al. Human HOIP and LUBAC deficiency underlies autoinflammation, immunodeficiency, amylopectinosis, and lymphangiectasia. J. Exp. Med. </w:t>
      </w:r>
      <w:r w:rsidRPr="006335F0">
        <w:rPr>
          <w:rFonts w:asciiTheme="majorHAnsi" w:hAnsiTheme="majorHAnsi" w:cstheme="majorHAnsi"/>
          <w:bCs/>
          <w:noProof/>
          <w:sz w:val="22"/>
        </w:rPr>
        <w:t>2015</w:t>
      </w:r>
      <w:r w:rsidRPr="006335F0">
        <w:rPr>
          <w:rFonts w:asciiTheme="majorHAnsi" w:hAnsiTheme="majorHAnsi" w:cstheme="majorHAnsi"/>
          <w:noProof/>
          <w:sz w:val="22"/>
        </w:rPr>
        <w:t xml:space="preserve">; 212:939–951. </w:t>
      </w:r>
    </w:p>
    <w:p w:rsidR="006335F0" w:rsidRPr="006335F0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</w:rPr>
      </w:pPr>
      <w:r w:rsidRPr="006335F0">
        <w:rPr>
          <w:rFonts w:asciiTheme="majorHAnsi" w:hAnsiTheme="majorHAnsi" w:cstheme="majorHAnsi"/>
          <w:noProof/>
          <w:sz w:val="22"/>
        </w:rPr>
        <w:t xml:space="preserve">S77. </w:t>
      </w:r>
      <w:r w:rsidRPr="006335F0">
        <w:rPr>
          <w:rFonts w:asciiTheme="majorHAnsi" w:hAnsiTheme="majorHAnsi" w:cstheme="majorHAnsi"/>
          <w:noProof/>
          <w:sz w:val="22"/>
        </w:rPr>
        <w:tab/>
        <w:t xml:space="preserve">Bustamante J, Arias A a, Vogt G, et al. Germline CYBB mutations that selectively affect macrophages in kindreds with X-linked predisposition to tuberculous mycobacterial disease. Nat. Immunol. </w:t>
      </w:r>
      <w:r w:rsidRPr="006335F0">
        <w:rPr>
          <w:rFonts w:asciiTheme="majorHAnsi" w:hAnsiTheme="majorHAnsi" w:cstheme="majorHAnsi"/>
          <w:bCs/>
          <w:noProof/>
          <w:sz w:val="22"/>
        </w:rPr>
        <w:t>2011</w:t>
      </w:r>
      <w:r w:rsidRPr="006335F0">
        <w:rPr>
          <w:rFonts w:asciiTheme="majorHAnsi" w:hAnsiTheme="majorHAnsi" w:cstheme="majorHAnsi"/>
          <w:noProof/>
          <w:sz w:val="22"/>
        </w:rPr>
        <w:t xml:space="preserve">; 12:213–21. </w:t>
      </w:r>
    </w:p>
    <w:p w:rsidR="006335F0" w:rsidRPr="006335F0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</w:rPr>
      </w:pPr>
      <w:r w:rsidRPr="006335F0">
        <w:rPr>
          <w:rFonts w:asciiTheme="majorHAnsi" w:hAnsiTheme="majorHAnsi" w:cstheme="majorHAnsi"/>
          <w:noProof/>
          <w:sz w:val="22"/>
        </w:rPr>
        <w:t xml:space="preserve">S78. </w:t>
      </w:r>
      <w:r w:rsidRPr="006335F0">
        <w:rPr>
          <w:rFonts w:asciiTheme="majorHAnsi" w:hAnsiTheme="majorHAnsi" w:cstheme="majorHAnsi"/>
          <w:noProof/>
          <w:sz w:val="22"/>
        </w:rPr>
        <w:tab/>
        <w:t xml:space="preserve">Riley LG, Cooper S, Hickey P, et al. Mutation of the mitochondrial tyrosyl-tRNA synthetase gene, YARS2, causes myopathy, lactic acidosis, and sideroblastic anemia - MLASA syndrome. Am. J. Hum. Genet. </w:t>
      </w:r>
      <w:r w:rsidRPr="006335F0">
        <w:rPr>
          <w:rFonts w:asciiTheme="majorHAnsi" w:hAnsiTheme="majorHAnsi" w:cstheme="majorHAnsi"/>
          <w:bCs/>
          <w:noProof/>
          <w:sz w:val="22"/>
        </w:rPr>
        <w:t>2010</w:t>
      </w:r>
      <w:r w:rsidRPr="006335F0">
        <w:rPr>
          <w:rFonts w:asciiTheme="majorHAnsi" w:hAnsiTheme="majorHAnsi" w:cstheme="majorHAnsi"/>
          <w:noProof/>
          <w:sz w:val="22"/>
        </w:rPr>
        <w:t xml:space="preserve">; 87:52–59. </w:t>
      </w:r>
    </w:p>
    <w:p w:rsidR="006335F0" w:rsidRPr="006335F0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</w:rPr>
      </w:pPr>
      <w:r w:rsidRPr="006335F0">
        <w:rPr>
          <w:rFonts w:asciiTheme="majorHAnsi" w:hAnsiTheme="majorHAnsi" w:cstheme="majorHAnsi"/>
          <w:noProof/>
          <w:sz w:val="22"/>
        </w:rPr>
        <w:t xml:space="preserve">S79. </w:t>
      </w:r>
      <w:r w:rsidRPr="006335F0">
        <w:rPr>
          <w:rFonts w:asciiTheme="majorHAnsi" w:hAnsiTheme="majorHAnsi" w:cstheme="majorHAnsi"/>
          <w:noProof/>
          <w:sz w:val="22"/>
        </w:rPr>
        <w:tab/>
        <w:t xml:space="preserve">Pérez de Diego R, Sancho-Shimizu V, Lorenzo L, et al. Human TRAF3 adaptor molecule deficiency leads to impaired Toll-like receptor 3 response and susceptibility to herpes simplex encephalitis. Immunity </w:t>
      </w:r>
      <w:r w:rsidRPr="006335F0">
        <w:rPr>
          <w:rFonts w:asciiTheme="majorHAnsi" w:hAnsiTheme="majorHAnsi" w:cstheme="majorHAnsi"/>
          <w:bCs/>
          <w:noProof/>
          <w:sz w:val="22"/>
        </w:rPr>
        <w:t>2010</w:t>
      </w:r>
      <w:r w:rsidRPr="006335F0">
        <w:rPr>
          <w:rFonts w:asciiTheme="majorHAnsi" w:hAnsiTheme="majorHAnsi" w:cstheme="majorHAnsi"/>
          <w:noProof/>
          <w:sz w:val="22"/>
        </w:rPr>
        <w:t xml:space="preserve">; 33:400–411. </w:t>
      </w:r>
    </w:p>
    <w:p w:rsidR="006335F0" w:rsidRPr="00DF0B3C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  <w:lang w:val="nl-NL"/>
        </w:rPr>
      </w:pPr>
      <w:r w:rsidRPr="006335F0">
        <w:rPr>
          <w:rFonts w:asciiTheme="majorHAnsi" w:hAnsiTheme="majorHAnsi" w:cstheme="majorHAnsi"/>
          <w:noProof/>
          <w:sz w:val="22"/>
        </w:rPr>
        <w:t xml:space="preserve">S80. </w:t>
      </w:r>
      <w:r w:rsidRPr="006335F0">
        <w:rPr>
          <w:rFonts w:asciiTheme="majorHAnsi" w:hAnsiTheme="majorHAnsi" w:cstheme="majorHAnsi"/>
          <w:noProof/>
          <w:sz w:val="22"/>
        </w:rPr>
        <w:tab/>
        <w:t xml:space="preserve">Gerin I, Veiga-Da-Cunha M, Achouri Y, Collet JF, Van Schaftingen E. Sequence of a </w:t>
      </w:r>
      <w:r w:rsidRPr="006335F0">
        <w:rPr>
          <w:rFonts w:asciiTheme="majorHAnsi" w:hAnsiTheme="majorHAnsi" w:cstheme="majorHAnsi"/>
          <w:noProof/>
          <w:sz w:val="22"/>
        </w:rPr>
        <w:lastRenderedPageBreak/>
        <w:t xml:space="preserve">putative glucose 6-phosphate translocase, mutated in glycogen storage disease type Ib. 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FEBS Lett. </w:t>
      </w:r>
      <w:r w:rsidRPr="00DF0B3C">
        <w:rPr>
          <w:rFonts w:asciiTheme="majorHAnsi" w:hAnsiTheme="majorHAnsi" w:cstheme="majorHAnsi"/>
          <w:bCs/>
          <w:noProof/>
          <w:sz w:val="22"/>
          <w:lang w:val="nl-NL"/>
        </w:rPr>
        <w:t>1997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; 419:235–238. </w:t>
      </w:r>
    </w:p>
    <w:p w:rsidR="006335F0" w:rsidRPr="00DF0B3C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  <w:lang w:val="nl-NL"/>
        </w:rPr>
      </w:pP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S81. 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ab/>
        <w:t xml:space="preserve">Burg M Van Der, Ijspeert H, Verkaik NS, et al. </w:t>
      </w:r>
      <w:r w:rsidRPr="006335F0">
        <w:rPr>
          <w:rFonts w:asciiTheme="majorHAnsi" w:hAnsiTheme="majorHAnsi" w:cstheme="majorHAnsi"/>
          <w:noProof/>
          <w:sz w:val="22"/>
        </w:rPr>
        <w:t xml:space="preserve">A DNA-PKcs mutation in a radiosensitive T–B– SCID patient inhibits Artemis activation and nonhomologous end-joining. 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J. Clin. Invest. </w:t>
      </w:r>
      <w:r w:rsidRPr="00DF0B3C">
        <w:rPr>
          <w:rFonts w:asciiTheme="majorHAnsi" w:hAnsiTheme="majorHAnsi" w:cstheme="majorHAnsi"/>
          <w:bCs/>
          <w:noProof/>
          <w:sz w:val="22"/>
          <w:lang w:val="nl-NL"/>
        </w:rPr>
        <w:t>2009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; 119:91–98. </w:t>
      </w:r>
    </w:p>
    <w:p w:rsidR="006335F0" w:rsidRPr="006335F0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</w:rPr>
      </w:pPr>
      <w:r w:rsidRPr="00DF0B3C">
        <w:rPr>
          <w:rFonts w:asciiTheme="majorHAnsi" w:hAnsiTheme="majorHAnsi" w:cstheme="majorHAnsi"/>
          <w:noProof/>
          <w:sz w:val="22"/>
          <w:lang w:val="nl-NL"/>
        </w:rPr>
        <w:t xml:space="preserve">S82. </w:t>
      </w:r>
      <w:r w:rsidRPr="00DF0B3C">
        <w:rPr>
          <w:rFonts w:asciiTheme="majorHAnsi" w:hAnsiTheme="majorHAnsi" w:cstheme="majorHAnsi"/>
          <w:noProof/>
          <w:sz w:val="22"/>
          <w:lang w:val="nl-NL"/>
        </w:rPr>
        <w:tab/>
        <w:t xml:space="preserve">Dobbs K, Domínguez Conde C, Zhang S-Y, et al. </w:t>
      </w:r>
      <w:r w:rsidRPr="006335F0">
        <w:rPr>
          <w:rFonts w:asciiTheme="majorHAnsi" w:hAnsiTheme="majorHAnsi" w:cstheme="majorHAnsi"/>
          <w:noProof/>
          <w:sz w:val="22"/>
        </w:rPr>
        <w:t xml:space="preserve">Inherited DOCK2 Deficiency in Patients with Early-Onset Invasive Infections. N. Engl. J. Med. </w:t>
      </w:r>
      <w:r w:rsidRPr="006335F0">
        <w:rPr>
          <w:rFonts w:asciiTheme="majorHAnsi" w:hAnsiTheme="majorHAnsi" w:cstheme="majorHAnsi"/>
          <w:bCs/>
          <w:noProof/>
          <w:sz w:val="22"/>
        </w:rPr>
        <w:t>2015</w:t>
      </w:r>
      <w:r w:rsidRPr="006335F0">
        <w:rPr>
          <w:rFonts w:asciiTheme="majorHAnsi" w:hAnsiTheme="majorHAnsi" w:cstheme="majorHAnsi"/>
          <w:noProof/>
          <w:sz w:val="22"/>
        </w:rPr>
        <w:t xml:space="preserve">; 372:2409–22. </w:t>
      </w:r>
    </w:p>
    <w:p w:rsidR="006335F0" w:rsidRPr="006335F0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</w:rPr>
      </w:pPr>
      <w:r w:rsidRPr="006335F0">
        <w:rPr>
          <w:rFonts w:asciiTheme="majorHAnsi" w:hAnsiTheme="majorHAnsi" w:cstheme="majorHAnsi"/>
          <w:noProof/>
          <w:sz w:val="22"/>
        </w:rPr>
        <w:t xml:space="preserve">S83. </w:t>
      </w:r>
      <w:r w:rsidRPr="006335F0">
        <w:rPr>
          <w:rFonts w:asciiTheme="majorHAnsi" w:hAnsiTheme="majorHAnsi" w:cstheme="majorHAnsi"/>
          <w:noProof/>
          <w:sz w:val="22"/>
        </w:rPr>
        <w:tab/>
        <w:t xml:space="preserve">Fisher GH, Rosenberg FJ, Straus SE, et al. Dominant Interfering Fas Gene-Mutations Impair Apoptosis in a Human Autoimmune Lymphoproliferative Syndrome. Cell </w:t>
      </w:r>
      <w:r w:rsidRPr="006335F0">
        <w:rPr>
          <w:rFonts w:asciiTheme="majorHAnsi" w:hAnsiTheme="majorHAnsi" w:cstheme="majorHAnsi"/>
          <w:bCs/>
          <w:noProof/>
          <w:sz w:val="22"/>
        </w:rPr>
        <w:t>1995</w:t>
      </w:r>
      <w:r w:rsidRPr="006335F0">
        <w:rPr>
          <w:rFonts w:asciiTheme="majorHAnsi" w:hAnsiTheme="majorHAnsi" w:cstheme="majorHAnsi"/>
          <w:noProof/>
          <w:sz w:val="22"/>
        </w:rPr>
        <w:t xml:space="preserve">; 81:935–946. </w:t>
      </w:r>
    </w:p>
    <w:p w:rsidR="006335F0" w:rsidRPr="006335F0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  <w:noProof/>
          <w:sz w:val="22"/>
        </w:rPr>
      </w:pPr>
      <w:r w:rsidRPr="006335F0">
        <w:rPr>
          <w:rFonts w:asciiTheme="majorHAnsi" w:hAnsiTheme="majorHAnsi" w:cstheme="majorHAnsi"/>
          <w:noProof/>
          <w:sz w:val="22"/>
        </w:rPr>
        <w:t xml:space="preserve">S84. </w:t>
      </w:r>
      <w:r w:rsidRPr="006335F0">
        <w:rPr>
          <w:rFonts w:asciiTheme="majorHAnsi" w:hAnsiTheme="majorHAnsi" w:cstheme="majorHAnsi"/>
          <w:noProof/>
          <w:sz w:val="22"/>
        </w:rPr>
        <w:tab/>
        <w:t xml:space="preserve">Liang J, Yagasaki H, Kamachi Y, et al. Mutations in telomerase catalytic protein in Japanese children with aplastic anemia. Haematologica </w:t>
      </w:r>
      <w:r w:rsidRPr="006335F0">
        <w:rPr>
          <w:rFonts w:asciiTheme="majorHAnsi" w:hAnsiTheme="majorHAnsi" w:cstheme="majorHAnsi"/>
          <w:bCs/>
          <w:noProof/>
          <w:sz w:val="22"/>
        </w:rPr>
        <w:t>2006</w:t>
      </w:r>
      <w:r w:rsidRPr="006335F0">
        <w:rPr>
          <w:rFonts w:asciiTheme="majorHAnsi" w:hAnsiTheme="majorHAnsi" w:cstheme="majorHAnsi"/>
          <w:noProof/>
          <w:sz w:val="22"/>
        </w:rPr>
        <w:t xml:space="preserve">; 91:656–658. </w:t>
      </w:r>
    </w:p>
    <w:p w:rsidR="006335F0" w:rsidRPr="001203B4" w:rsidRDefault="008921E1" w:rsidP="006335F0">
      <w:pPr>
        <w:rPr>
          <w:rFonts w:asciiTheme="majorHAnsi" w:hAnsiTheme="majorHAnsi" w:cstheme="majorHAnsi"/>
          <w:sz w:val="22"/>
        </w:rPr>
      </w:pPr>
      <w:r w:rsidRPr="001203B4">
        <w:rPr>
          <w:rFonts w:asciiTheme="majorHAnsi" w:hAnsiTheme="majorHAnsi" w:cstheme="majorHAnsi"/>
          <w:sz w:val="22"/>
        </w:rPr>
        <w:fldChar w:fldCharType="end"/>
      </w:r>
    </w:p>
    <w:p w:rsidR="006335F0" w:rsidRPr="00A93A66" w:rsidRDefault="006335F0" w:rsidP="006335F0">
      <w:pPr>
        <w:widowControl w:val="0"/>
        <w:autoSpaceDE w:val="0"/>
        <w:autoSpaceDN w:val="0"/>
        <w:adjustRightInd w:val="0"/>
        <w:ind w:left="640" w:hanging="640"/>
        <w:rPr>
          <w:rFonts w:asciiTheme="majorHAnsi" w:hAnsiTheme="majorHAnsi" w:cstheme="majorHAnsi"/>
        </w:rPr>
      </w:pPr>
    </w:p>
    <w:sectPr w:rsidR="006335F0" w:rsidRPr="00A93A66" w:rsidSect="006B2A6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8"/>
  <w:proofState w:spelling="clean"/>
  <w:defaultTabStop w:val="720"/>
  <w:hyphenationZone w:val="425"/>
  <w:characterSpacingControl w:val="doNotCompress"/>
  <w:compat>
    <w:useFELayout/>
  </w:compat>
  <w:rsids>
    <w:rsidRoot w:val="009752E8"/>
    <w:rsid w:val="000C2135"/>
    <w:rsid w:val="00227499"/>
    <w:rsid w:val="0042319D"/>
    <w:rsid w:val="004F66B2"/>
    <w:rsid w:val="00526C75"/>
    <w:rsid w:val="00554042"/>
    <w:rsid w:val="006335F0"/>
    <w:rsid w:val="006B2A69"/>
    <w:rsid w:val="008921E1"/>
    <w:rsid w:val="008B791B"/>
    <w:rsid w:val="00970315"/>
    <w:rsid w:val="009752E8"/>
    <w:rsid w:val="00A93A66"/>
    <w:rsid w:val="00CE25D1"/>
    <w:rsid w:val="00DF0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1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98C3CB1-F10D-49F9-B845-0F9562E0C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3440</Words>
  <Characters>18924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Radboud University Medical Center</Company>
  <LinksUpToDate>false</LinksUpToDate>
  <CharactersWithSpaces>22320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Peer Arts</dc:creator>
  <cp:lastModifiedBy>Z352128</cp:lastModifiedBy>
  <cp:revision>3</cp:revision>
  <dcterms:created xsi:type="dcterms:W3CDTF">2019-04-18T11:56:00Z</dcterms:created>
  <dcterms:modified xsi:type="dcterms:W3CDTF">2019-04-18T13:51:00Z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http://www.zotero.org/styles/biomed-central</vt:lpwstr>
  </property>
  <property fmtid="{D5CDD505-2E9C-101B-9397-08002B2CF9AE}" pid="4" name="Mendeley Unique User Id_1">
    <vt:lpwstr>c491a68b-3428-31bb-8a60-b260c7de631b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http://www.zotero.org/styles/american-sociological-association</vt:lpwstr>
  </property>
  <property fmtid="{D5CDD505-2E9C-101B-9397-08002B2CF9AE}" pid="8" name="Mendeley Recent Style Name 1_1">
    <vt:lpwstr>American Sociological Association</vt:lpwstr>
  </property>
  <property fmtid="{D5CDD505-2E9C-101B-9397-08002B2CF9AE}" pid="9" name="Mendeley Recent Style Id 2_1">
    <vt:lpwstr>http://www.zotero.org/styles/biomed-central</vt:lpwstr>
  </property>
  <property fmtid="{D5CDD505-2E9C-101B-9397-08002B2CF9AE}" pid="10" name="Mendeley Recent Style Name 2_1">
    <vt:lpwstr>BioMed Central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17th edition (author-date)</vt:lpwstr>
  </property>
  <property fmtid="{D5CDD505-2E9C-101B-9397-08002B2CF9AE}" pid="13" name="Mendeley Recent Style Id 4_1">
    <vt:lpwstr>http://www.zotero.org/styles/harvard-cite-them-right</vt:lpwstr>
  </property>
  <property fmtid="{D5CDD505-2E9C-101B-9397-08002B2CF9AE}" pid="14" name="Mendeley Recent Style Name 4_1">
    <vt:lpwstr>Cite Them Right 10th edition - Harvard</vt:lpwstr>
  </property>
  <property fmtid="{D5CDD505-2E9C-101B-9397-08002B2CF9AE}" pid="15" name="Mendeley Recent Style Id 5_1">
    <vt:lpwstr>http://www.zotero.org/styles/genetics-in-medicine</vt:lpwstr>
  </property>
  <property fmtid="{D5CDD505-2E9C-101B-9397-08002B2CF9AE}" pid="16" name="Mendeley Recent Style Name 5_1">
    <vt:lpwstr>Genetics in Medicine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