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3D69DF" w14:textId="70B5A574" w:rsidR="00EB3672" w:rsidRPr="0030581E" w:rsidRDefault="0030581E" w:rsidP="00EB3672">
      <w:pPr>
        <w:rPr>
          <w:rFonts w:ascii="Times New Roman" w:hAnsi="Times New Roman" w:cs="Times New Roman"/>
          <w:b/>
          <w:color w:val="000000"/>
          <w:sz w:val="28"/>
          <w:szCs w:val="24"/>
        </w:rPr>
      </w:pPr>
      <w:bookmarkStart w:id="0" w:name="_GoBack"/>
      <w:bookmarkEnd w:id="0"/>
      <w:r w:rsidRPr="0030581E">
        <w:rPr>
          <w:rFonts w:ascii="Times New Roman" w:hAnsi="Times New Roman" w:cs="Times New Roman"/>
          <w:b/>
          <w:color w:val="000000" w:themeColor="text1"/>
          <w:sz w:val="28"/>
          <w:szCs w:val="24"/>
          <w:shd w:val="clear" w:color="auto" w:fill="FFFFFF"/>
        </w:rPr>
        <w:t>A</w:t>
      </w:r>
      <w:r w:rsidRPr="0030581E">
        <w:rPr>
          <w:rFonts w:ascii="Times New Roman" w:hAnsi="Times New Roman" w:cs="Times New Roman" w:hint="eastAsia"/>
          <w:b/>
          <w:color w:val="000000" w:themeColor="text1"/>
          <w:sz w:val="28"/>
          <w:szCs w:val="24"/>
          <w:shd w:val="clear" w:color="auto" w:fill="FFFFFF"/>
          <w:lang w:eastAsia="zh-CN"/>
        </w:rPr>
        <w:t>dd</w:t>
      </w:r>
      <w:r w:rsidRPr="0030581E">
        <w:rPr>
          <w:rFonts w:ascii="Times New Roman" w:hAnsi="Times New Roman" w:cs="Times New Roman"/>
          <w:b/>
          <w:color w:val="000000" w:themeColor="text1"/>
          <w:sz w:val="28"/>
          <w:szCs w:val="24"/>
          <w:shd w:val="clear" w:color="auto" w:fill="FFFFFF"/>
          <w:lang w:eastAsia="zh-CN"/>
        </w:rPr>
        <w:t>itional file 1: supplementary Methods</w:t>
      </w:r>
    </w:p>
    <w:p w14:paraId="2B365344" w14:textId="77777777" w:rsidR="0030581E" w:rsidRDefault="0030581E" w:rsidP="00EB3672">
      <w:pPr>
        <w:rPr>
          <w:rFonts w:ascii="Times New Roman" w:hAnsi="Times New Roman" w:cs="Times New Roman"/>
          <w:b/>
          <w:color w:val="000000"/>
          <w:sz w:val="24"/>
          <w:szCs w:val="24"/>
        </w:rPr>
      </w:pPr>
    </w:p>
    <w:p w14:paraId="7A135012" w14:textId="03994D47" w:rsidR="00EB3672" w:rsidRPr="00805069" w:rsidRDefault="00EB3672" w:rsidP="00EB3672">
      <w:pPr>
        <w:rPr>
          <w:rFonts w:ascii="Times New Roman" w:hAnsi="Times New Roman" w:cs="Times New Roman"/>
          <w:b/>
          <w:color w:val="000000"/>
          <w:sz w:val="24"/>
          <w:szCs w:val="24"/>
        </w:rPr>
      </w:pPr>
      <w:r w:rsidRPr="00805069">
        <w:rPr>
          <w:rFonts w:ascii="Times New Roman" w:hAnsi="Times New Roman" w:cs="Times New Roman"/>
          <w:b/>
          <w:color w:val="000000"/>
          <w:sz w:val="24"/>
          <w:szCs w:val="24"/>
        </w:rPr>
        <w:t xml:space="preserve">Supp </w:t>
      </w:r>
      <w:r>
        <w:rPr>
          <w:rFonts w:ascii="Times New Roman" w:hAnsi="Times New Roman" w:cs="Times New Roman"/>
          <w:b/>
          <w:color w:val="000000"/>
          <w:sz w:val="24"/>
          <w:szCs w:val="24"/>
        </w:rPr>
        <w:t>Me</w:t>
      </w:r>
      <w:r w:rsidRPr="00805069">
        <w:rPr>
          <w:rFonts w:ascii="Times New Roman" w:hAnsi="Times New Roman" w:cs="Times New Roman"/>
          <w:b/>
          <w:color w:val="000000"/>
          <w:sz w:val="24"/>
          <w:szCs w:val="24"/>
        </w:rPr>
        <w:t>thod</w:t>
      </w:r>
      <w:r>
        <w:rPr>
          <w:rFonts w:ascii="Times New Roman" w:hAnsi="Times New Roman" w:cs="Times New Roman"/>
          <w:b/>
          <w:color w:val="000000"/>
          <w:sz w:val="24"/>
          <w:szCs w:val="24"/>
        </w:rPr>
        <w:t>s</w:t>
      </w:r>
    </w:p>
    <w:p w14:paraId="51F3CE5B" w14:textId="77777777" w:rsidR="00EB3672" w:rsidRPr="00805069" w:rsidRDefault="00EB3672" w:rsidP="00EB3672">
      <w:pPr>
        <w:rPr>
          <w:rFonts w:ascii="Times New Roman" w:hAnsi="Times New Roman" w:cs="Times New Roman"/>
          <w:color w:val="000000"/>
          <w:sz w:val="24"/>
          <w:szCs w:val="24"/>
        </w:rPr>
      </w:pPr>
    </w:p>
    <w:p w14:paraId="114050CE" w14:textId="77777777" w:rsidR="00EB3672" w:rsidRPr="00494D80" w:rsidRDefault="00EB3672" w:rsidP="00EB3672">
      <w:pPr>
        <w:spacing w:after="0" w:line="240" w:lineRule="auto"/>
        <w:jc w:val="both"/>
        <w:rPr>
          <w:rFonts w:ascii="Times New Roman" w:hAnsi="Times New Roman" w:cs="Times New Roman"/>
          <w:b/>
          <w:color w:val="000000" w:themeColor="text1"/>
          <w:sz w:val="24"/>
          <w:szCs w:val="24"/>
        </w:rPr>
      </w:pPr>
      <w:r w:rsidRPr="00494D80">
        <w:rPr>
          <w:rFonts w:ascii="Times New Roman" w:hAnsi="Times New Roman" w:cs="Times New Roman"/>
          <w:b/>
          <w:color w:val="000000" w:themeColor="text1"/>
          <w:sz w:val="24"/>
          <w:szCs w:val="24"/>
        </w:rPr>
        <w:t xml:space="preserve">Mosaic alternate allele fraction (AAF) cutoff </w:t>
      </w:r>
    </w:p>
    <w:p w14:paraId="6B6896D8" w14:textId="4E077A6A" w:rsidR="00EB3672" w:rsidRDefault="00EB3672" w:rsidP="00EB3672">
      <w:pPr>
        <w:spacing w:after="0" w:line="240" w:lineRule="auto"/>
        <w:jc w:val="both"/>
        <w:rPr>
          <w:rFonts w:ascii="Times New Roman" w:hAnsi="Times New Roman" w:cs="Times New Roman"/>
          <w:color w:val="000000"/>
          <w:sz w:val="24"/>
          <w:szCs w:val="24"/>
        </w:rPr>
      </w:pPr>
      <w:r w:rsidRPr="00012F7E">
        <w:rPr>
          <w:rFonts w:ascii="Times New Roman" w:hAnsi="Times New Roman" w:cs="Times New Roman"/>
          <w:color w:val="000000"/>
          <w:sz w:val="24"/>
          <w:szCs w:val="24"/>
        </w:rPr>
        <w:t xml:space="preserve">In the directly available </w:t>
      </w:r>
      <w:r w:rsidR="00BE6E38">
        <w:rPr>
          <w:rFonts w:ascii="Times New Roman" w:hAnsi="Times New Roman" w:cs="Times New Roman"/>
          <w:color w:val="000000"/>
          <w:sz w:val="24"/>
          <w:szCs w:val="24"/>
        </w:rPr>
        <w:t>900</w:t>
      </w:r>
      <w:r w:rsidRPr="00012F7E">
        <w:rPr>
          <w:rFonts w:ascii="Times New Roman" w:hAnsi="Times New Roman" w:cs="Times New Roman"/>
          <w:color w:val="000000"/>
          <w:sz w:val="24"/>
          <w:szCs w:val="24"/>
        </w:rPr>
        <w:t xml:space="preserve"> family trio VCF files, we have identified 4,817 apparent</w:t>
      </w:r>
      <w:r w:rsidR="00C36EB9">
        <w:rPr>
          <w:rFonts w:ascii="Times New Roman" w:hAnsi="Times New Roman" w:cs="Times New Roman"/>
          <w:color w:val="000000"/>
          <w:sz w:val="24"/>
          <w:szCs w:val="24"/>
        </w:rPr>
        <w:t>ly</w:t>
      </w:r>
      <w:r w:rsidRPr="00012F7E">
        <w:rPr>
          <w:rFonts w:ascii="Times New Roman" w:hAnsi="Times New Roman" w:cs="Times New Roman"/>
          <w:color w:val="000000"/>
          <w:sz w:val="24"/>
          <w:szCs w:val="24"/>
        </w:rPr>
        <w:t xml:space="preserve"> de novo</w:t>
      </w:r>
      <w:r>
        <w:rPr>
          <w:rFonts w:ascii="Times New Roman" w:hAnsi="Times New Roman" w:cs="Times New Roman"/>
          <w:color w:val="000000"/>
          <w:sz w:val="24"/>
          <w:szCs w:val="24"/>
        </w:rPr>
        <w:t xml:space="preserve"> autosomal</w:t>
      </w:r>
      <w:r w:rsidRPr="00012F7E">
        <w:rPr>
          <w:rFonts w:ascii="Times New Roman" w:hAnsi="Times New Roman" w:cs="Times New Roman"/>
          <w:color w:val="000000"/>
          <w:sz w:val="24"/>
          <w:szCs w:val="24"/>
        </w:rPr>
        <w:t xml:space="preserve"> SNVs that map outside segmental duplications and pseudogenes and have NGS read coverage greater than 50x. We have analyzed distribution of their</w:t>
      </w:r>
      <w:r>
        <w:rPr>
          <w:rFonts w:ascii="Times New Roman" w:hAnsi="Times New Roman" w:cs="Times New Roman"/>
          <w:color w:val="000000"/>
          <w:sz w:val="24"/>
          <w:szCs w:val="24"/>
        </w:rPr>
        <w:t xml:space="preserve"> </w:t>
      </w:r>
      <w:r w:rsidRPr="00012F7E">
        <w:rPr>
          <w:rFonts w:ascii="Times New Roman" w:hAnsi="Times New Roman" w:cs="Times New Roman"/>
          <w:color w:val="000000"/>
          <w:sz w:val="24"/>
          <w:szCs w:val="24"/>
        </w:rPr>
        <w:t>AAFs and calculated that 95% of AAFs range between 0.36-0.64. Therefore,</w:t>
      </w:r>
      <w:r>
        <w:rPr>
          <w:rFonts w:ascii="Times New Roman" w:hAnsi="Times New Roman" w:cs="Times New Roman"/>
          <w:color w:val="000000"/>
          <w:sz w:val="24"/>
          <w:szCs w:val="24"/>
        </w:rPr>
        <w:t xml:space="preserve"> we use &lt;0.36 or &gt;0.64 for the mosaic AAF cutoff. </w:t>
      </w:r>
    </w:p>
    <w:p w14:paraId="266FDC86" w14:textId="77777777" w:rsidR="00EB3672" w:rsidRDefault="00EB3672" w:rsidP="00EB3672">
      <w:pPr>
        <w:spacing w:after="0" w:line="240" w:lineRule="auto"/>
        <w:jc w:val="both"/>
        <w:rPr>
          <w:rFonts w:ascii="Times New Roman" w:hAnsi="Times New Roman" w:cs="Times New Roman"/>
          <w:color w:val="000000"/>
          <w:sz w:val="24"/>
          <w:szCs w:val="24"/>
        </w:rPr>
      </w:pPr>
    </w:p>
    <w:p w14:paraId="0B14A3A1" w14:textId="31D5FBC1" w:rsidR="00733D18" w:rsidRPr="00494D80" w:rsidRDefault="00EB3672" w:rsidP="00EB3672">
      <w:pPr>
        <w:spacing w:after="0" w:line="240" w:lineRule="auto"/>
        <w:jc w:val="both"/>
        <w:rPr>
          <w:rFonts w:ascii="Times New Roman" w:hAnsi="Times New Roman" w:cs="Times New Roman"/>
          <w:b/>
          <w:color w:val="000000"/>
          <w:sz w:val="24"/>
          <w:szCs w:val="24"/>
        </w:rPr>
      </w:pPr>
      <w:r w:rsidRPr="00494D80">
        <w:rPr>
          <w:rFonts w:ascii="Times New Roman" w:hAnsi="Times New Roman" w:cs="Times New Roman"/>
          <w:b/>
          <w:color w:val="000000"/>
          <w:sz w:val="24"/>
          <w:szCs w:val="24"/>
        </w:rPr>
        <w:t>Exome sequencing and analysis</w:t>
      </w:r>
    </w:p>
    <w:p w14:paraId="3D5DD803" w14:textId="77777777" w:rsidR="00EB3672" w:rsidRPr="00BE6E38" w:rsidRDefault="00EB3672" w:rsidP="00EB3672">
      <w:pPr>
        <w:spacing w:after="0" w:line="240" w:lineRule="auto"/>
        <w:jc w:val="both"/>
        <w:rPr>
          <w:rFonts w:ascii="Times New Roman" w:hAnsi="Times New Roman" w:cs="Times New Roman"/>
          <w:color w:val="000000"/>
          <w:sz w:val="24"/>
          <w:szCs w:val="24"/>
        </w:rPr>
      </w:pPr>
      <w:r w:rsidRPr="00BE6E38">
        <w:rPr>
          <w:rFonts w:ascii="Times New Roman" w:hAnsi="Times New Roman" w:cs="Times New Roman"/>
          <w:color w:val="000000"/>
          <w:sz w:val="24"/>
          <w:szCs w:val="24"/>
        </w:rPr>
        <w:t>DRAGEN Pipeline</w:t>
      </w:r>
    </w:p>
    <w:p w14:paraId="5434B472" w14:textId="77777777" w:rsidR="00EB3672" w:rsidRDefault="00EB3672" w:rsidP="00EB3672">
      <w:pPr>
        <w:spacing w:after="0" w:line="240" w:lineRule="auto"/>
        <w:jc w:val="both"/>
        <w:rPr>
          <w:rFonts w:ascii="Times New Roman" w:hAnsi="Times New Roman" w:cs="Times New Roman"/>
          <w:color w:val="000000"/>
          <w:sz w:val="24"/>
          <w:szCs w:val="24"/>
        </w:rPr>
      </w:pPr>
      <w:r w:rsidRPr="00A3756D">
        <w:rPr>
          <w:rFonts w:ascii="Times New Roman" w:hAnsi="Times New Roman" w:cs="Times New Roman"/>
          <w:color w:val="000000"/>
          <w:sz w:val="24"/>
          <w:szCs w:val="24"/>
        </w:rPr>
        <w:t xml:space="preserve">The output data from the Illumina </w:t>
      </w:r>
      <w:proofErr w:type="spellStart"/>
      <w:r w:rsidRPr="00A3756D">
        <w:rPr>
          <w:rFonts w:ascii="Times New Roman" w:hAnsi="Times New Roman" w:cs="Times New Roman"/>
          <w:color w:val="000000"/>
          <w:sz w:val="24"/>
          <w:szCs w:val="24"/>
        </w:rPr>
        <w:t>HiSeq</w:t>
      </w:r>
      <w:proofErr w:type="spellEnd"/>
      <w:r w:rsidRPr="00A3756D">
        <w:rPr>
          <w:rFonts w:ascii="Times New Roman" w:hAnsi="Times New Roman" w:cs="Times New Roman"/>
          <w:color w:val="000000"/>
          <w:sz w:val="24"/>
          <w:szCs w:val="24"/>
        </w:rPr>
        <w:t xml:space="preserve"> are converted from BCL files to </w:t>
      </w:r>
      <w:proofErr w:type="spellStart"/>
      <w:r w:rsidRPr="00A3756D">
        <w:rPr>
          <w:rFonts w:ascii="Times New Roman" w:hAnsi="Times New Roman" w:cs="Times New Roman"/>
          <w:color w:val="000000"/>
          <w:sz w:val="24"/>
          <w:szCs w:val="24"/>
        </w:rPr>
        <w:t>FastQ</w:t>
      </w:r>
      <w:proofErr w:type="spellEnd"/>
      <w:r w:rsidRPr="00A3756D">
        <w:rPr>
          <w:rFonts w:ascii="Times New Roman" w:hAnsi="Times New Roman" w:cs="Times New Roman"/>
          <w:color w:val="000000"/>
          <w:sz w:val="24"/>
          <w:szCs w:val="24"/>
        </w:rPr>
        <w:t xml:space="preserve"> files according to each sample’s specific adapter sequence using Illumina’s recommended procedure. </w:t>
      </w:r>
      <w:proofErr w:type="spellStart"/>
      <w:r w:rsidRPr="00A3756D">
        <w:rPr>
          <w:rFonts w:ascii="Times New Roman" w:hAnsi="Times New Roman" w:cs="Times New Roman"/>
          <w:color w:val="000000"/>
          <w:sz w:val="24"/>
          <w:szCs w:val="24"/>
        </w:rPr>
        <w:t>FastQ</w:t>
      </w:r>
      <w:proofErr w:type="spellEnd"/>
      <w:r w:rsidRPr="00A3756D">
        <w:rPr>
          <w:rFonts w:ascii="Times New Roman" w:hAnsi="Times New Roman" w:cs="Times New Roman"/>
          <w:color w:val="000000"/>
          <w:sz w:val="24"/>
          <w:szCs w:val="24"/>
        </w:rPr>
        <w:t xml:space="preserve"> data are aligned to the human reference genome using the </w:t>
      </w:r>
      <w:proofErr w:type="spellStart"/>
      <w:r w:rsidRPr="00A3756D">
        <w:rPr>
          <w:rFonts w:ascii="Times New Roman" w:hAnsi="Times New Roman" w:cs="Times New Roman"/>
          <w:color w:val="000000"/>
          <w:sz w:val="24"/>
          <w:szCs w:val="24"/>
        </w:rPr>
        <w:t>Edico</w:t>
      </w:r>
      <w:proofErr w:type="spellEnd"/>
      <w:r w:rsidRPr="00A3756D">
        <w:rPr>
          <w:rFonts w:ascii="Times New Roman" w:hAnsi="Times New Roman" w:cs="Times New Roman"/>
          <w:color w:val="000000"/>
          <w:sz w:val="24"/>
          <w:szCs w:val="24"/>
        </w:rPr>
        <w:t xml:space="preserve"> </w:t>
      </w:r>
      <w:proofErr w:type="spellStart"/>
      <w:r w:rsidRPr="00A3756D">
        <w:rPr>
          <w:rFonts w:ascii="Times New Roman" w:hAnsi="Times New Roman" w:cs="Times New Roman"/>
          <w:color w:val="000000"/>
          <w:sz w:val="24"/>
          <w:szCs w:val="24"/>
        </w:rPr>
        <w:t>Dragen</w:t>
      </w:r>
      <w:proofErr w:type="spellEnd"/>
      <w:r w:rsidRPr="00A3756D">
        <w:rPr>
          <w:rFonts w:ascii="Times New Roman" w:hAnsi="Times New Roman" w:cs="Times New Roman"/>
          <w:color w:val="000000"/>
          <w:sz w:val="24"/>
          <w:szCs w:val="24"/>
        </w:rPr>
        <w:t xml:space="preserve"> Bio-IT Platform. The output of the alignment is a BAM file; QC metrics of the map-align process are recorded for quality review. QC statistics include coverage for exome genes and genes known to be implicated in human disease, mate-pair alignment information as well as number of total and duplicate reads. Variant calling on the BAM file is performed using the </w:t>
      </w:r>
      <w:proofErr w:type="spellStart"/>
      <w:r w:rsidRPr="00A3756D">
        <w:rPr>
          <w:rFonts w:ascii="Times New Roman" w:hAnsi="Times New Roman" w:cs="Times New Roman"/>
          <w:color w:val="000000"/>
          <w:sz w:val="24"/>
          <w:szCs w:val="24"/>
        </w:rPr>
        <w:t>Edico</w:t>
      </w:r>
      <w:proofErr w:type="spellEnd"/>
      <w:r w:rsidRPr="00A3756D">
        <w:rPr>
          <w:rFonts w:ascii="Times New Roman" w:hAnsi="Times New Roman" w:cs="Times New Roman"/>
          <w:color w:val="000000"/>
          <w:sz w:val="24"/>
          <w:szCs w:val="24"/>
        </w:rPr>
        <w:t xml:space="preserve"> </w:t>
      </w:r>
      <w:proofErr w:type="spellStart"/>
      <w:r w:rsidRPr="00A3756D">
        <w:rPr>
          <w:rFonts w:ascii="Times New Roman" w:hAnsi="Times New Roman" w:cs="Times New Roman"/>
          <w:color w:val="000000"/>
          <w:sz w:val="24"/>
          <w:szCs w:val="24"/>
        </w:rPr>
        <w:t>Dragen</w:t>
      </w:r>
      <w:proofErr w:type="spellEnd"/>
      <w:r w:rsidRPr="00A3756D">
        <w:rPr>
          <w:rFonts w:ascii="Times New Roman" w:hAnsi="Times New Roman" w:cs="Times New Roman"/>
          <w:color w:val="000000"/>
          <w:sz w:val="24"/>
          <w:szCs w:val="24"/>
        </w:rPr>
        <w:t xml:space="preserve"> haplotype-based variant calling system and the output is a VCF file.</w:t>
      </w:r>
    </w:p>
    <w:p w14:paraId="04FB4C97" w14:textId="77777777" w:rsidR="00EB3672" w:rsidRPr="00A3756D" w:rsidRDefault="00EB3672" w:rsidP="00EB3672">
      <w:pPr>
        <w:spacing w:after="0" w:line="240" w:lineRule="auto"/>
        <w:jc w:val="both"/>
        <w:rPr>
          <w:rFonts w:ascii="Times New Roman" w:hAnsi="Times New Roman" w:cs="Times New Roman"/>
          <w:color w:val="000000"/>
          <w:sz w:val="24"/>
          <w:szCs w:val="24"/>
        </w:rPr>
      </w:pPr>
    </w:p>
    <w:p w14:paraId="37B5E1CC" w14:textId="2BF9D188" w:rsidR="00EB3672" w:rsidRPr="00BE6E38" w:rsidRDefault="00EB3672" w:rsidP="00EB3672">
      <w:pPr>
        <w:spacing w:after="0" w:line="240" w:lineRule="auto"/>
        <w:jc w:val="both"/>
        <w:rPr>
          <w:rFonts w:ascii="Times New Roman" w:hAnsi="Times New Roman" w:cs="Times New Roman"/>
          <w:color w:val="000000"/>
          <w:sz w:val="24"/>
          <w:szCs w:val="24"/>
        </w:rPr>
      </w:pPr>
      <w:r w:rsidRPr="00BE6E38">
        <w:rPr>
          <w:rFonts w:ascii="Times New Roman" w:hAnsi="Times New Roman" w:cs="Times New Roman"/>
          <w:color w:val="000000"/>
          <w:sz w:val="24"/>
          <w:szCs w:val="24"/>
        </w:rPr>
        <w:t xml:space="preserve">Mercury Data Analysis Pipeline  </w:t>
      </w:r>
    </w:p>
    <w:p w14:paraId="57A417A4" w14:textId="77777777" w:rsidR="00EB3672" w:rsidRPr="00805069" w:rsidRDefault="00EB3672" w:rsidP="00EB3672">
      <w:pPr>
        <w:spacing w:after="0" w:line="240" w:lineRule="auto"/>
        <w:jc w:val="both"/>
        <w:rPr>
          <w:rFonts w:ascii="Times New Roman" w:hAnsi="Times New Roman" w:cs="Times New Roman"/>
          <w:color w:val="000000"/>
          <w:sz w:val="24"/>
          <w:szCs w:val="24"/>
        </w:rPr>
      </w:pPr>
      <w:r w:rsidRPr="00805069">
        <w:rPr>
          <w:rFonts w:ascii="Times New Roman" w:hAnsi="Times New Roman" w:cs="Times New Roman"/>
          <w:color w:val="000000"/>
          <w:sz w:val="24"/>
          <w:szCs w:val="24"/>
        </w:rPr>
        <w:t xml:space="preserve">The Mercury data analysis pipeline can be accessed at the following website: </w:t>
      </w:r>
      <w:hyperlink r:id="rId4" w:history="1">
        <w:r w:rsidRPr="00805069">
          <w:rPr>
            <w:rFonts w:ascii="Times New Roman" w:hAnsi="Times New Roman" w:cs="Times New Roman"/>
            <w:color w:val="000000"/>
            <w:sz w:val="24"/>
            <w:szCs w:val="24"/>
          </w:rPr>
          <w:t>www.tinyurl.com/HGSC-Mercury</w:t>
        </w:r>
      </w:hyperlink>
      <w:r w:rsidRPr="00805069">
        <w:rPr>
          <w:rFonts w:ascii="Times New Roman" w:hAnsi="Times New Roman" w:cs="Times New Roman"/>
          <w:color w:val="000000"/>
          <w:sz w:val="24"/>
          <w:szCs w:val="24"/>
        </w:rPr>
        <w:t xml:space="preserve">. </w:t>
      </w:r>
    </w:p>
    <w:p w14:paraId="4D2BC1D3" w14:textId="77777777" w:rsidR="00EB3672" w:rsidRPr="00A3756D" w:rsidRDefault="00EB3672" w:rsidP="00EB3672">
      <w:pPr>
        <w:spacing w:after="0" w:line="240" w:lineRule="auto"/>
        <w:jc w:val="both"/>
        <w:rPr>
          <w:rFonts w:ascii="Times New Roman" w:hAnsi="Times New Roman" w:cs="Times New Roman"/>
          <w:color w:val="000000"/>
          <w:sz w:val="24"/>
          <w:szCs w:val="24"/>
        </w:rPr>
      </w:pPr>
      <w:r w:rsidRPr="00805069">
        <w:rPr>
          <w:rFonts w:ascii="Times New Roman" w:hAnsi="Times New Roman" w:cs="Times New Roman"/>
          <w:color w:val="000000"/>
          <w:sz w:val="24"/>
          <w:szCs w:val="24"/>
        </w:rPr>
        <w:t>Variant Filtering and Annotation Variant annotation on an exome-wide scale is facilitated by a program developed by the Human Genome Sequencing Center called CASSANDRA, which describes the quality and predicted functional consequences of genomic variants, providing the biological and clinical contexts needed to assess the significance of each variant. Variants are presented to the interpretation team with all quality control metrics pr</w:t>
      </w:r>
      <w:r w:rsidRPr="00DD375F">
        <w:rPr>
          <w:rFonts w:ascii="Times New Roman" w:hAnsi="Times New Roman" w:cs="Times New Roman"/>
          <w:color w:val="000000"/>
          <w:sz w:val="24"/>
          <w:szCs w:val="24"/>
        </w:rPr>
        <w:t xml:space="preserve">oduced by the Atlas programs (Atlas-SNP and Atlas-Indel), the sequence data and the theoretical </w:t>
      </w:r>
      <w:proofErr w:type="spellStart"/>
      <w:r w:rsidRPr="00DD375F">
        <w:rPr>
          <w:rFonts w:ascii="Times New Roman" w:hAnsi="Times New Roman" w:cs="Times New Roman"/>
          <w:color w:val="000000"/>
          <w:sz w:val="24"/>
          <w:szCs w:val="24"/>
        </w:rPr>
        <w:t>mappability</w:t>
      </w:r>
      <w:proofErr w:type="spellEnd"/>
      <w:r w:rsidRPr="00DD375F">
        <w:rPr>
          <w:rFonts w:ascii="Times New Roman" w:hAnsi="Times New Roman" w:cs="Times New Roman"/>
          <w:color w:val="000000"/>
          <w:sz w:val="24"/>
          <w:szCs w:val="24"/>
        </w:rPr>
        <w:t xml:space="preserve"> (a measure of sequence degeneracy throughout the region) of the position. </w:t>
      </w:r>
      <w:proofErr w:type="spellStart"/>
      <w:r w:rsidRPr="00DD375F">
        <w:rPr>
          <w:rFonts w:ascii="Times New Roman" w:hAnsi="Times New Roman" w:cs="Times New Roman"/>
          <w:color w:val="000000"/>
          <w:sz w:val="24"/>
          <w:szCs w:val="24"/>
        </w:rPr>
        <w:t>AnnoVar</w:t>
      </w:r>
      <w:proofErr w:type="spellEnd"/>
      <w:r w:rsidRPr="00DD375F">
        <w:rPr>
          <w:rFonts w:ascii="Times New Roman" w:hAnsi="Times New Roman" w:cs="Times New Roman"/>
          <w:color w:val="000000"/>
          <w:sz w:val="24"/>
          <w:szCs w:val="24"/>
        </w:rPr>
        <w:t xml:space="preserve"> (Functional annotation of genetic variants from high-through-put sequencing data; www.openbioinformatics.org) is used to determine a variant’s effect on both a conservative (</w:t>
      </w:r>
      <w:proofErr w:type="spellStart"/>
      <w:r w:rsidRPr="00DD375F">
        <w:rPr>
          <w:rFonts w:ascii="Times New Roman" w:hAnsi="Times New Roman" w:cs="Times New Roman"/>
          <w:color w:val="000000"/>
          <w:sz w:val="24"/>
          <w:szCs w:val="24"/>
        </w:rPr>
        <w:t>RefSeq</w:t>
      </w:r>
      <w:proofErr w:type="spellEnd"/>
      <w:r w:rsidRPr="00DD375F">
        <w:rPr>
          <w:rFonts w:ascii="Times New Roman" w:hAnsi="Times New Roman" w:cs="Times New Roman"/>
          <w:color w:val="000000"/>
          <w:sz w:val="24"/>
          <w:szCs w:val="24"/>
        </w:rPr>
        <w:t xml:space="preserve">, NCBI Reference Sequence Database) and inclusive (University of California Santa Cruz Genome Browser) gene model set.  </w:t>
      </w:r>
      <w:r w:rsidRPr="00A3756D">
        <w:rPr>
          <w:rFonts w:ascii="Times New Roman" w:hAnsi="Times New Roman" w:cs="Times New Roman"/>
          <w:color w:val="000000"/>
          <w:sz w:val="24"/>
          <w:szCs w:val="24"/>
        </w:rPr>
        <w:t>Multiple databases are applied to assess the variant quality, its minor allele frequency, and disease association.</w:t>
      </w:r>
    </w:p>
    <w:p w14:paraId="22B78DED" w14:textId="77777777" w:rsidR="00EB3672" w:rsidRPr="00A3756D" w:rsidRDefault="00EB3672" w:rsidP="00EB3672">
      <w:pPr>
        <w:spacing w:after="0" w:line="480" w:lineRule="auto"/>
        <w:jc w:val="center"/>
        <w:rPr>
          <w:rFonts w:ascii="Times New Roman" w:hAnsi="Times New Roman" w:cs="Times New Roman"/>
          <w:b/>
          <w:color w:val="000000" w:themeColor="text1"/>
          <w:sz w:val="24"/>
          <w:szCs w:val="24"/>
          <w:shd w:val="clear" w:color="auto" w:fill="FFFFFF"/>
        </w:rPr>
      </w:pPr>
    </w:p>
    <w:p w14:paraId="4951B3EA" w14:textId="77777777" w:rsidR="00D40838" w:rsidRDefault="00D40838"/>
    <w:sectPr w:rsidR="00D408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5EE"/>
    <w:rsid w:val="0030581E"/>
    <w:rsid w:val="00415D55"/>
    <w:rsid w:val="006F05EE"/>
    <w:rsid w:val="00733D18"/>
    <w:rsid w:val="00755516"/>
    <w:rsid w:val="00BE6E38"/>
    <w:rsid w:val="00C36EB9"/>
    <w:rsid w:val="00D40838"/>
    <w:rsid w:val="00EB3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FF9CD"/>
  <w15:chartTrackingRefBased/>
  <w15:docId w15:val="{E32E4463-00C8-4E62-8E9F-10EB5723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672"/>
    <w:pPr>
      <w:spacing w:after="200" w:line="276" w:lineRule="auto"/>
    </w:pPr>
    <w:rPr>
      <w:rFonts w:eastAsia="SimSu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inyurl.com/HGSC-Merc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Ye</dc:creator>
  <cp:keywords/>
  <dc:description/>
  <cp:lastModifiedBy>Cao, Ye</cp:lastModifiedBy>
  <cp:revision>2</cp:revision>
  <dcterms:created xsi:type="dcterms:W3CDTF">2019-07-08T14:58:00Z</dcterms:created>
  <dcterms:modified xsi:type="dcterms:W3CDTF">2019-07-08T14:58:00Z</dcterms:modified>
</cp:coreProperties>
</file>