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734050" cy="43053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4305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Additional File 1: Fig. S1. Comparison of KING estimate of kinship to that of </w:t>
      </w:r>
      <w:r w:rsidDel="00000000" w:rsidR="00000000" w:rsidRPr="00000000">
        <w:rPr>
          <w:i w:val="1"/>
          <w:rtl w:val="0"/>
        </w:rPr>
        <w:t xml:space="preserve">somalier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734050" cy="28702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87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Additional File 2: Fig. S2. Evaluation of false-positive rate of </w:t>
      </w:r>
      <w:r w:rsidDel="00000000" w:rsidR="00000000" w:rsidRPr="00000000">
        <w:rPr>
          <w:i w:val="1"/>
          <w:rtl w:val="0"/>
        </w:rPr>
        <w:t xml:space="preserve">somalier</w:t>
      </w:r>
      <w:r w:rsidDel="00000000" w:rsidR="00000000" w:rsidRPr="00000000">
        <w:rPr>
          <w:rtl w:val="0"/>
        </w:rPr>
        <w:t xml:space="preserve"> as number of assayed sites is varied. “Strict” mode requires that related samples have a relatedness &gt; 0.8 and unrelated samples have a relatedness &lt; 0.2. The non-strict mode requires that related samples have a relatedness value  &gt;= 0.5 and unrelated samples have a relatedness &lt; 0.5. These are GTEx samples that are unrelated, but different tissues from the same individual are expected to have a relatedness value of 1.</w:t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