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68E338" w14:textId="531C27F6" w:rsidR="00081EDD" w:rsidRPr="00EE45D7" w:rsidRDefault="001141F8" w:rsidP="00081EDD">
      <w:pPr>
        <w:pStyle w:val="Heading1"/>
        <w:rPr>
          <w:sz w:val="32"/>
          <w:szCs w:val="40"/>
        </w:rPr>
      </w:pPr>
      <w:r>
        <w:rPr>
          <w:sz w:val="32"/>
          <w:szCs w:val="40"/>
        </w:rPr>
        <w:t>Additional File 1</w:t>
      </w:r>
      <w:r w:rsidR="00D87D8F" w:rsidRPr="00EE45D7">
        <w:rPr>
          <w:sz w:val="32"/>
          <w:szCs w:val="40"/>
        </w:rPr>
        <w:t xml:space="preserve">: </w:t>
      </w:r>
      <w:r>
        <w:rPr>
          <w:sz w:val="32"/>
          <w:szCs w:val="40"/>
        </w:rPr>
        <w:t>Supplementary</w:t>
      </w:r>
      <w:r w:rsidR="00081EDD" w:rsidRPr="00EE45D7">
        <w:rPr>
          <w:sz w:val="32"/>
          <w:szCs w:val="40"/>
        </w:rPr>
        <w:t xml:space="preserve"> Figures</w:t>
      </w:r>
    </w:p>
    <w:p w14:paraId="42505EF3" w14:textId="77777777" w:rsidR="00D87D8F" w:rsidRPr="00EE45D7" w:rsidRDefault="00D87D8F" w:rsidP="00D87D8F"/>
    <w:p w14:paraId="64E1BA93" w14:textId="30F44F7D" w:rsidR="00081EDD" w:rsidRDefault="00081EDD" w:rsidP="00081EDD">
      <w:pPr>
        <w:pStyle w:val="Heading2"/>
      </w:pPr>
      <w:r w:rsidRPr="00EE45D7">
        <w:rPr>
          <w:noProof/>
        </w:rPr>
        <mc:AlternateContent>
          <mc:Choice Requires="wpg">
            <w:drawing>
              <wp:anchor distT="0" distB="0" distL="114300" distR="114300" simplePos="0" relativeHeight="251659264" behindDoc="0" locked="0" layoutInCell="1" allowOverlap="1" wp14:anchorId="644163E3" wp14:editId="3BA1E5B7">
                <wp:simplePos x="0" y="0"/>
                <wp:positionH relativeFrom="margin">
                  <wp:align>left</wp:align>
                </wp:positionH>
                <wp:positionV relativeFrom="paragraph">
                  <wp:posOffset>346710</wp:posOffset>
                </wp:positionV>
                <wp:extent cx="6324601" cy="2920367"/>
                <wp:effectExtent l="0" t="0" r="0" b="0"/>
                <wp:wrapNone/>
                <wp:docPr id="31" name="Group 7"/>
                <wp:cNvGraphicFramePr/>
                <a:graphic xmlns:a="http://schemas.openxmlformats.org/drawingml/2006/main">
                  <a:graphicData uri="http://schemas.microsoft.com/office/word/2010/wordprocessingGroup">
                    <wpg:wgp>
                      <wpg:cNvGrpSpPr/>
                      <wpg:grpSpPr>
                        <a:xfrm>
                          <a:off x="0" y="0"/>
                          <a:ext cx="6324601" cy="2920367"/>
                          <a:chOff x="179743" y="0"/>
                          <a:chExt cx="6324890" cy="2920508"/>
                        </a:xfrm>
                      </wpg:grpSpPr>
                      <wps:wsp>
                        <wps:cNvPr id="32" name="TextBox 3"/>
                        <wps:cNvSpPr txBox="1"/>
                        <wps:spPr>
                          <a:xfrm>
                            <a:off x="179743" y="487258"/>
                            <a:ext cx="3017010" cy="369332"/>
                          </a:xfrm>
                          <a:prstGeom prst="rect">
                            <a:avLst/>
                          </a:prstGeom>
                          <a:noFill/>
                        </wps:spPr>
                        <wps:bodyPr wrap="square" rtlCol="0">
                          <a:spAutoFit/>
                        </wps:bodyPr>
                      </wps:wsp>
                      <wps:wsp>
                        <wps:cNvPr id="33" name="TextBox 5"/>
                        <wps:cNvSpPr txBox="1"/>
                        <wps:spPr>
                          <a:xfrm>
                            <a:off x="2764923" y="1334318"/>
                            <a:ext cx="2290713" cy="369332"/>
                          </a:xfrm>
                          <a:prstGeom prst="rect">
                            <a:avLst/>
                          </a:prstGeom>
                          <a:noFill/>
                        </wps:spPr>
                        <wps:bodyPr wrap="square" rtlCol="0">
                          <a:spAutoFit/>
                        </wps:bodyPr>
                      </wps:wsp>
                      <wps:wsp>
                        <wps:cNvPr id="34" name="TextBox 6"/>
                        <wps:cNvSpPr txBox="1"/>
                        <wps:spPr>
                          <a:xfrm>
                            <a:off x="179743" y="2430835"/>
                            <a:ext cx="2912026" cy="369332"/>
                          </a:xfrm>
                          <a:prstGeom prst="rect">
                            <a:avLst/>
                          </a:prstGeom>
                          <a:noFill/>
                        </wps:spPr>
                        <wps:bodyPr wrap="square" rtlCol="0">
                          <a:spAutoFit/>
                        </wps:bodyPr>
                      </wps:wsp>
                      <wps:wsp>
                        <wps:cNvPr id="35" name="Straight Arrow Connector 35"/>
                        <wps:cNvCnPr>
                          <a:cxnSpLocks/>
                        </wps:cNvCnPr>
                        <wps:spPr>
                          <a:xfrm>
                            <a:off x="1376232" y="737469"/>
                            <a:ext cx="1" cy="1062934"/>
                          </a:xfrm>
                          <a:prstGeom prst="straightConnector1">
                            <a:avLst/>
                          </a:prstGeom>
                          <a:ln w="571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6" name="Straight Arrow Connector 36"/>
                        <wps:cNvCnPr/>
                        <wps:spPr>
                          <a:xfrm>
                            <a:off x="1349185" y="1083873"/>
                            <a:ext cx="1478906" cy="0"/>
                          </a:xfrm>
                          <a:prstGeom prst="straightConnector1">
                            <a:avLst/>
                          </a:prstGeom>
                          <a:ln w="571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7" name="Rectangle 37"/>
                        <wps:cNvSpPr/>
                        <wps:spPr>
                          <a:xfrm>
                            <a:off x="432536" y="0"/>
                            <a:ext cx="6072097" cy="795020"/>
                          </a:xfrm>
                          <a:prstGeom prst="rect">
                            <a:avLst/>
                          </a:prstGeom>
                        </wps:spPr>
                        <wps:txbx>
                          <w:txbxContent>
                            <w:p w14:paraId="68D440E5" w14:textId="77777777" w:rsidR="00081EDD" w:rsidRPr="00575DAB" w:rsidRDefault="00081EDD" w:rsidP="00081EDD">
                              <w:pPr>
                                <w:rPr>
                                  <w:sz w:val="18"/>
                                  <w:szCs w:val="18"/>
                                </w:rPr>
                              </w:pPr>
                              <w:r w:rsidRPr="00575DAB">
                                <w:rPr>
                                  <w:rFonts w:hAnsi="Calibri"/>
                                  <w:color w:val="000000" w:themeColor="text1"/>
                                  <w:kern w:val="24"/>
                                  <w:sz w:val="24"/>
                                  <w:szCs w:val="24"/>
                                </w:rPr>
                                <w:t xml:space="preserve">Protocol-eligible patients with tumors tested with FoundationOne, FoundationOne Dx, or HemeComplete </w:t>
                              </w:r>
                              <w:r w:rsidRPr="00181909">
                                <w:rPr>
                                  <w:rFonts w:hAnsi="Calibri"/>
                                  <w:kern w:val="24"/>
                                  <w:sz w:val="24"/>
                                  <w:szCs w:val="24"/>
                                </w:rPr>
                                <w:t xml:space="preserve">Tests </w:t>
                              </w:r>
                              <w:r w:rsidRPr="00575DAB">
                                <w:rPr>
                                  <w:rFonts w:hAnsi="Calibri"/>
                                  <w:color w:val="000000" w:themeColor="text1"/>
                                  <w:kern w:val="24"/>
                                  <w:sz w:val="24"/>
                                  <w:szCs w:val="24"/>
                                </w:rPr>
                                <w:t>with two TMB estimates on different samples collected at different times, but tumors of same histology (n=203 patients, 406 TMBs) *</w:t>
                              </w:r>
                              <w:r>
                                <w:rPr>
                                  <w:rFonts w:hAnsi="Calibri"/>
                                  <w:color w:val="000000" w:themeColor="text1"/>
                                  <w:kern w:val="24"/>
                                  <w:sz w:val="24"/>
                                  <w:szCs w:val="24"/>
                                </w:rPr>
                                <w:t xml:space="preserve">.  </w:t>
                              </w:r>
                            </w:p>
                          </w:txbxContent>
                        </wps:txbx>
                        <wps:bodyPr wrap="square">
                          <a:spAutoFit/>
                        </wps:bodyPr>
                      </wps:wsp>
                      <wps:wsp>
                        <wps:cNvPr id="38" name="Rectangle 38"/>
                        <wps:cNvSpPr/>
                        <wps:spPr>
                          <a:xfrm>
                            <a:off x="2895555" y="870825"/>
                            <a:ext cx="2812544" cy="594389"/>
                          </a:xfrm>
                          <a:prstGeom prst="rect">
                            <a:avLst/>
                          </a:prstGeom>
                        </wps:spPr>
                        <wps:txbx>
                          <w:txbxContent>
                            <w:p w14:paraId="3EE8D306" w14:textId="77777777" w:rsidR="00081EDD" w:rsidRPr="00575DAB" w:rsidRDefault="00081EDD" w:rsidP="00081EDD">
                              <w:pPr>
                                <w:rPr>
                                  <w:sz w:val="24"/>
                                  <w:szCs w:val="24"/>
                                </w:rPr>
                              </w:pPr>
                              <w:r w:rsidRPr="00575DAB">
                                <w:rPr>
                                  <w:rFonts w:hAnsi="Calibri"/>
                                  <w:color w:val="000000" w:themeColor="text1"/>
                                  <w:kern w:val="24"/>
                                  <w:sz w:val="24"/>
                                  <w:szCs w:val="24"/>
                                </w:rPr>
                                <w:t>Patient with invalid/unclear diagnosis information (n=1 patient, 2 TMBs)</w:t>
                              </w:r>
                            </w:p>
                          </w:txbxContent>
                        </wps:txbx>
                        <wps:bodyPr wrap="square">
                          <a:spAutoFit/>
                        </wps:bodyPr>
                      </wps:wsp>
                      <wps:wsp>
                        <wps:cNvPr id="39" name="Rectangle 39"/>
                        <wps:cNvSpPr/>
                        <wps:spPr>
                          <a:xfrm>
                            <a:off x="456939" y="1792719"/>
                            <a:ext cx="3171012" cy="594389"/>
                          </a:xfrm>
                          <a:prstGeom prst="rect">
                            <a:avLst/>
                          </a:prstGeom>
                        </wps:spPr>
                        <wps:txbx>
                          <w:txbxContent>
                            <w:p w14:paraId="307FACB6" w14:textId="77777777" w:rsidR="00081EDD" w:rsidRPr="00575DAB" w:rsidRDefault="00081EDD" w:rsidP="00081EDD">
                              <w:pPr>
                                <w:rPr>
                                  <w:sz w:val="24"/>
                                  <w:szCs w:val="24"/>
                                </w:rPr>
                              </w:pPr>
                              <w:r w:rsidRPr="00575DAB">
                                <w:rPr>
                                  <w:rFonts w:hAnsi="Calibri"/>
                                  <w:color w:val="000000" w:themeColor="text1"/>
                                  <w:kern w:val="24"/>
                                  <w:sz w:val="24"/>
                                  <w:szCs w:val="24"/>
                                </w:rPr>
                                <w:t>Patients with valid/clear diagnosis information (n=202 patients, 404 TMBs)</w:t>
                              </w:r>
                            </w:p>
                          </w:txbxContent>
                        </wps:txbx>
                        <wps:bodyPr wrap="square">
                          <a:spAutoFit/>
                        </wps:bodyPr>
                      </wps:wsp>
                      <wps:wsp>
                        <wps:cNvPr id="40" name="Rectangle 40"/>
                        <wps:cNvSpPr/>
                        <wps:spPr>
                          <a:xfrm>
                            <a:off x="439361" y="2326119"/>
                            <a:ext cx="5989068" cy="594389"/>
                          </a:xfrm>
                          <a:prstGeom prst="rect">
                            <a:avLst/>
                          </a:prstGeom>
                        </wps:spPr>
                        <wps:txbx>
                          <w:txbxContent>
                            <w:p w14:paraId="16EC5F70" w14:textId="77777777" w:rsidR="00081EDD" w:rsidRPr="00575DAB" w:rsidRDefault="00081EDD" w:rsidP="00081EDD">
                              <w:pPr>
                                <w:rPr>
                                  <w:sz w:val="24"/>
                                  <w:szCs w:val="24"/>
                                </w:rPr>
                              </w:pPr>
                              <w:r w:rsidRPr="00575DAB">
                                <w:rPr>
                                  <w:rFonts w:hAnsi="Calibri"/>
                                  <w:color w:val="000000" w:themeColor="text1"/>
                                  <w:kern w:val="24"/>
                                  <w:sz w:val="24"/>
                                  <w:szCs w:val="24"/>
                                </w:rPr>
                                <w:t>* If patients had more than two biopsies for TMB, we only considered those from the earliest and latest dated collection times.</w:t>
                              </w:r>
                            </w:p>
                          </w:txbxContent>
                        </wps:txbx>
                        <wps:bodyPr wrap="square">
                          <a:spAutoFit/>
                        </wps:bodyPr>
                      </wps:w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44163E3" id="Group 7" o:spid="_x0000_s1026" style="position:absolute;margin-left:0;margin-top:27.3pt;width:498pt;height:229.95pt;z-index:251659264;mso-position-horizontal:left;mso-position-horizontal-relative:margin;mso-width-relative:margin;mso-height-relative:margin" coordorigin="1797" coordsize="63248,292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">
                <v:shapetype id="_x0000_t202" coordsize="21600,21600" o:spt="202" path="m,l,21600r21600,l21600,xe">
                  <v:stroke joinstyle="miter"/>
                  <v:path gradientshapeok="t" o:connecttype="rect"/>
                </v:shapetype>
                <v:shape id="TextBox 3" o:spid="_x0000_s1027" type="#_x0000_t202" style="position:absolute;left:1797;top:4872;width:30170;height:3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" filled="f" stroked="f">
                  <v:textbox style="mso-fit-shape-to-text:t"/>
                </v:shape>
                <v:shape id="TextBox 5" o:spid="_x0000_s1028" type="#_x0000_t202" style="position:absolute;left:27649;top:13343;width:22907;height:3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" filled="f" stroked="f">
                  <v:textbox style="mso-fit-shape-to-text:t"/>
                </v:shape>
                <v:shape id="TextBox 6" o:spid="_x0000_s1029" type="#_x0000_t202" style="position:absolute;left:1797;top:24308;width:29120;height:3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" filled="f" stroked="f">
                  <v:textbox style="mso-fit-shape-to-text:t"/>
                </v:shape>
                <v:shapetype id="_x0000_t32" coordsize="21600,21600" o:spt="32" o:oned="t" path="m,l21600,21600e" filled="f">
                  <v:path arrowok="t" fillok="f" o:connecttype="none"/>
                  <o:lock v:ext="edit" shapetype="t"/>
                </v:shapetype>
                <v:shape id="Straight Arrow Connector 35" o:spid="_x0000_s1030" type="#_x0000_t32" style="position:absolute;left:13762;top:7374;width:0;height:1063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" strokecolor="black [3213]" strokeweight="4.5pt">
                  <v:stroke endarrow="block" joinstyle="miter"/>
                  <o:lock v:ext="edit" shapetype="f"/>
                </v:shape>
                <v:shape id="Straight Arrow Connector 36" o:spid="_x0000_s1031" type="#_x0000_t32" style="position:absolute;left:13491;top:10838;width:1478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" strokecolor="black [3213]" strokeweight="4.5pt">
                  <v:stroke endarrow="block" joinstyle="miter"/>
                </v:shape>
                <v:rect id="Rectangle 37" o:spid="_x0000_s1032" style="position:absolute;left:4325;width:60721;height:79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" filled="f" stroked="f">
                  <v:textbox style="mso-fit-shape-to-text:t">
                    <w:txbxContent>
                      <w:p w14:paraId="68D440E5" w14:textId="77777777" w:rsidR="00081EDD" w:rsidRPr="00575DAB" w:rsidRDefault="00081EDD" w:rsidP="00081EDD">
                        <w:pPr>
                          <w:rPr>
                            <w:sz w:val="18"/>
                            <w:szCs w:val="18"/>
                          </w:rPr>
                        </w:pPr>
                        <w:r w:rsidRPr="00575DAB">
                          <w:rPr>
                            <w:rFonts w:hAnsi="Calibri"/>
                            <w:color w:val="000000" w:themeColor="text1"/>
                            <w:kern w:val="24"/>
                            <w:sz w:val="24"/>
                            <w:szCs w:val="24"/>
                          </w:rPr>
                          <w:t xml:space="preserve">Protocol-eligible patients with tumors tested with FoundationOne, FoundationOne Dx, or HemeComplete </w:t>
                        </w:r>
                        <w:r w:rsidRPr="00181909">
                          <w:rPr>
                            <w:rFonts w:hAnsi="Calibri"/>
                            <w:kern w:val="24"/>
                            <w:sz w:val="24"/>
                            <w:szCs w:val="24"/>
                          </w:rPr>
                          <w:t xml:space="preserve">Tests </w:t>
                        </w:r>
                        <w:r w:rsidRPr="00575DAB">
                          <w:rPr>
                            <w:rFonts w:hAnsi="Calibri"/>
                            <w:color w:val="000000" w:themeColor="text1"/>
                            <w:kern w:val="24"/>
                            <w:sz w:val="24"/>
                            <w:szCs w:val="24"/>
                          </w:rPr>
                          <w:t>with two TMB estimates on different samples collected at different times, but tumors of same histology (n=203 patients, 406 TMBs) *</w:t>
                        </w:r>
                        <w:r>
                          <w:rPr>
                            <w:rFonts w:hAnsi="Calibri"/>
                            <w:color w:val="000000" w:themeColor="text1"/>
                            <w:kern w:val="24"/>
                            <w:sz w:val="24"/>
                            <w:szCs w:val="24"/>
                          </w:rPr>
                          <w:t xml:space="preserve">.  </w:t>
                        </w:r>
                      </w:p>
                    </w:txbxContent>
                  </v:textbox>
                </v:rect>
                <v:rect id="Rectangle 38" o:spid="_x0000_s1033" style="position:absolute;left:28955;top:8708;width:28125;height:59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" filled="f" stroked="f">
                  <v:textbox style="mso-fit-shape-to-text:t">
                    <w:txbxContent>
                      <w:p w14:paraId="3EE8D306" w14:textId="77777777" w:rsidR="00081EDD" w:rsidRPr="00575DAB" w:rsidRDefault="00081EDD" w:rsidP="00081EDD">
                        <w:pPr>
                          <w:rPr>
                            <w:sz w:val="24"/>
                            <w:szCs w:val="24"/>
                          </w:rPr>
                        </w:pPr>
                        <w:r w:rsidRPr="00575DAB">
                          <w:rPr>
                            <w:rFonts w:hAnsi="Calibri"/>
                            <w:color w:val="000000" w:themeColor="text1"/>
                            <w:kern w:val="24"/>
                            <w:sz w:val="24"/>
                            <w:szCs w:val="24"/>
                          </w:rPr>
                          <w:t>Patient with invalid/unclear diagnosis information (n=1 patient, 2 TMBs)</w:t>
                        </w:r>
                      </w:p>
                    </w:txbxContent>
                  </v:textbox>
                </v:rect>
                <v:rect id="Rectangle 39" o:spid="_x0000_s1034" style="position:absolute;left:4569;top:17927;width:31710;height:59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" filled="f" stroked="f">
                  <v:textbox style="mso-fit-shape-to-text:t">
                    <w:txbxContent>
                      <w:p w14:paraId="307FACB6" w14:textId="77777777" w:rsidR="00081EDD" w:rsidRPr="00575DAB" w:rsidRDefault="00081EDD" w:rsidP="00081EDD">
                        <w:pPr>
                          <w:rPr>
                            <w:sz w:val="24"/>
                            <w:szCs w:val="24"/>
                          </w:rPr>
                        </w:pPr>
                        <w:r w:rsidRPr="00575DAB">
                          <w:rPr>
                            <w:rFonts w:hAnsi="Calibri"/>
                            <w:color w:val="000000" w:themeColor="text1"/>
                            <w:kern w:val="24"/>
                            <w:sz w:val="24"/>
                            <w:szCs w:val="24"/>
                          </w:rPr>
                          <w:t>Patients with valid/clear diagnosis information (n=202 patients, 404 TMBs)</w:t>
                        </w:r>
                      </w:p>
                    </w:txbxContent>
                  </v:textbox>
                </v:rect>
                <v:rect id="Rectangle 40" o:spid="_x0000_s1035" style="position:absolute;left:4393;top:23261;width:59891;height:59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" filled="f" stroked="f">
                  <v:textbox style="mso-fit-shape-to-text:t">
                    <w:txbxContent>
                      <w:p w14:paraId="16EC5F70" w14:textId="77777777" w:rsidR="00081EDD" w:rsidRPr="00575DAB" w:rsidRDefault="00081EDD" w:rsidP="00081EDD">
                        <w:pPr>
                          <w:rPr>
                            <w:sz w:val="24"/>
                            <w:szCs w:val="24"/>
                          </w:rPr>
                        </w:pPr>
                        <w:r w:rsidRPr="00575DAB">
                          <w:rPr>
                            <w:rFonts w:hAnsi="Calibri"/>
                            <w:color w:val="000000" w:themeColor="text1"/>
                            <w:kern w:val="24"/>
                            <w:sz w:val="24"/>
                            <w:szCs w:val="24"/>
                          </w:rPr>
                          <w:t>* If patients had more than two biopsies for TMB, we only considered those from the earliest and latest dated collection times.</w:t>
                        </w:r>
                      </w:p>
                    </w:txbxContent>
                  </v:textbox>
                </v:rect>
                <w10:wrap anchorx="margin"/>
              </v:group>
            </w:pict>
          </mc:Fallback>
        </mc:AlternateContent>
      </w:r>
    </w:p>
    <w:p w14:paraId="30989CAF" w14:textId="7AF424A0" w:rsidR="004C640B" w:rsidRDefault="004C640B" w:rsidP="004C640B"/>
    <w:p w14:paraId="032E147A" w14:textId="19D433A9" w:rsidR="004C640B" w:rsidRDefault="004C640B" w:rsidP="004C640B"/>
    <w:p w14:paraId="7CCE9BBB" w14:textId="1D3954C4" w:rsidR="004C640B" w:rsidRDefault="004C640B" w:rsidP="004C640B"/>
    <w:p w14:paraId="3B75922F" w14:textId="2875EAA5" w:rsidR="004C640B" w:rsidRDefault="004C640B" w:rsidP="004C640B"/>
    <w:p w14:paraId="4EB7800D" w14:textId="70B850D4" w:rsidR="004C640B" w:rsidRDefault="004C640B" w:rsidP="004C640B"/>
    <w:p w14:paraId="6A01DA9C" w14:textId="642C8DC7" w:rsidR="004C640B" w:rsidRDefault="004C640B" w:rsidP="004C640B"/>
    <w:p w14:paraId="1C47F5D8" w14:textId="0FAF1E30" w:rsidR="004C640B" w:rsidRDefault="004C640B" w:rsidP="004C640B"/>
    <w:p w14:paraId="4C25CC30" w14:textId="6117227B" w:rsidR="004C640B" w:rsidRDefault="004C640B" w:rsidP="004C640B"/>
    <w:p w14:paraId="4F92A8BE" w14:textId="4860559E" w:rsidR="004C640B" w:rsidRDefault="004C640B" w:rsidP="004C640B"/>
    <w:p w14:paraId="32C16B03" w14:textId="4133190C" w:rsidR="004C640B" w:rsidRDefault="004C640B" w:rsidP="004C640B"/>
    <w:p w14:paraId="6054BBB9" w14:textId="2DB2844C" w:rsidR="004C640B" w:rsidRDefault="004C640B" w:rsidP="004C640B"/>
    <w:p w14:paraId="6AE53845" w14:textId="195CB8FF" w:rsidR="001141F8" w:rsidRDefault="001141F8" w:rsidP="00DA68FD">
      <w:r w:rsidRPr="001141F8">
        <w:rPr>
          <w:rFonts w:ascii="Arial" w:hAnsi="Arial" w:cs="Arial"/>
          <w:b/>
          <w:sz w:val="24"/>
          <w:szCs w:val="24"/>
        </w:rPr>
        <w:t xml:space="preserve">Figure S1: </w:t>
      </w:r>
      <w:r w:rsidRPr="001141F8">
        <w:rPr>
          <w:rFonts w:ascii="Arial" w:hAnsi="Arial" w:cs="Arial"/>
          <w:b/>
          <w:sz w:val="24"/>
          <w:szCs w:val="24"/>
        </w:rPr>
        <w:t>CONSORT Diagram for UCSD clinically curated cohort</w:t>
      </w:r>
      <w:r>
        <w:rPr>
          <w:rFonts w:ascii="Arial" w:hAnsi="Arial" w:cs="Arial"/>
          <w:b/>
          <w:sz w:val="24"/>
          <w:szCs w:val="24"/>
        </w:rPr>
        <w:t>.</w:t>
      </w:r>
      <w:r>
        <w:t xml:space="preserve"> </w:t>
      </w:r>
    </w:p>
    <w:p w14:paraId="7F1DA673" w14:textId="61B153B5" w:rsidR="00DA68FD" w:rsidRDefault="00DA68FD" w:rsidP="00DA68FD">
      <w:r>
        <w:t xml:space="preserve">203 patients enrolled in the PREDICT study with at least 2 Tumor Mutational Burden data points, as assessed by Foundation Medicine NGS testing, were identified in the UCSD Moores Cancer database.  Of these patients, one was excluded for having invalid, non-informative diagnosis information, leaving 202 patients and 404 numerical TMB data points total.  This data is available in </w:t>
      </w:r>
      <w:r w:rsidRPr="00DA68FD">
        <w:rPr>
          <w:b/>
          <w:bCs/>
        </w:rPr>
        <w:t>Additional File 2: Table S1</w:t>
      </w:r>
      <w:r>
        <w:t>.</w:t>
      </w:r>
    </w:p>
    <w:p w14:paraId="53188BEB" w14:textId="77777777" w:rsidR="004C640B" w:rsidRPr="004C640B" w:rsidRDefault="004C640B" w:rsidP="004C640B"/>
    <w:p w14:paraId="0AC0AE28" w14:textId="54526078" w:rsidR="004C640B" w:rsidRPr="004C640B" w:rsidRDefault="00081EDD" w:rsidP="00081EDD">
      <w:r w:rsidRPr="00EE45D7">
        <w:br w:type="page"/>
      </w:r>
    </w:p>
    <w:p w14:paraId="36858602" w14:textId="60467F44" w:rsidR="001141F8" w:rsidRPr="00EE45D7" w:rsidRDefault="00081EDD" w:rsidP="001141F8">
      <w:pPr>
        <w:pStyle w:val="Heading2"/>
      </w:pPr>
      <w:r w:rsidRPr="00EE45D7">
        <w:rPr>
          <w:noProof/>
        </w:rPr>
        <w:lastRenderedPageBreak/>
        <w:drawing>
          <wp:anchor distT="0" distB="0" distL="114300" distR="114300" simplePos="0" relativeHeight="251660288" behindDoc="0" locked="0" layoutInCell="1" allowOverlap="1" wp14:anchorId="4CF666AF" wp14:editId="58AB83D4">
            <wp:simplePos x="0" y="0"/>
            <wp:positionH relativeFrom="margin">
              <wp:posOffset>963740</wp:posOffset>
            </wp:positionH>
            <wp:positionV relativeFrom="paragraph">
              <wp:posOffset>0</wp:posOffset>
            </wp:positionV>
            <wp:extent cx="4055935" cy="8928100"/>
            <wp:effectExtent l="0" t="0" r="0" b="6350"/>
            <wp:wrapTopAndBottom/>
            <wp:docPr id="5" name="Picture 5"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chart&#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059623" cy="8936219"/>
                    </a:xfrm>
                    <a:prstGeom prst="rect">
                      <a:avLst/>
                    </a:prstGeom>
                    <a:noFill/>
                  </pic:spPr>
                </pic:pic>
              </a:graphicData>
            </a:graphic>
            <wp14:sizeRelH relativeFrom="margin">
              <wp14:pctWidth>0</wp14:pctWidth>
            </wp14:sizeRelH>
            <wp14:sizeRelV relativeFrom="margin">
              <wp14:pctHeight>0</wp14:pctHeight>
            </wp14:sizeRelV>
          </wp:anchor>
        </w:drawing>
      </w:r>
      <w:r w:rsidRPr="00EE45D7">
        <w:br w:type="page"/>
      </w:r>
      <w:r w:rsidR="001141F8" w:rsidRPr="00EE45D7">
        <w:lastRenderedPageBreak/>
        <w:t>Figure S2: Additional correlation analysis between earlier and later TMB for UCSD clinically curated cohort</w:t>
      </w:r>
    </w:p>
    <w:p w14:paraId="7420C4BA" w14:textId="3B72CE1F" w:rsidR="00DA68FD" w:rsidRPr="00EE45D7" w:rsidRDefault="00DA68FD" w:rsidP="00DA68FD">
      <w:pPr>
        <w:rPr>
          <w:rFonts w:ascii="Arial" w:hAnsi="Arial" w:cs="Arial"/>
          <w:sz w:val="24"/>
          <w:szCs w:val="24"/>
        </w:rPr>
      </w:pPr>
      <w:r w:rsidRPr="00EE45D7">
        <w:rPr>
          <w:rFonts w:ascii="Arial" w:hAnsi="Arial" w:cs="Arial"/>
          <w:sz w:val="24"/>
          <w:szCs w:val="24"/>
        </w:rPr>
        <w:t xml:space="preserve">Both these sub-analyses of the TMB correlation data in Figure 2A indicate that outliers had a limited effect on the correlation between earlier and later biopsies. </w:t>
      </w:r>
    </w:p>
    <w:p w14:paraId="2827FEF2" w14:textId="77777777" w:rsidR="00DA68FD" w:rsidRPr="00EE45D7" w:rsidRDefault="00DA68FD" w:rsidP="00DA68FD">
      <w:pPr>
        <w:rPr>
          <w:rFonts w:ascii="Arial" w:hAnsi="Arial" w:cs="Arial"/>
          <w:sz w:val="24"/>
          <w:szCs w:val="24"/>
        </w:rPr>
      </w:pPr>
      <w:r w:rsidRPr="00EE45D7">
        <w:rPr>
          <w:rFonts w:ascii="Arial" w:hAnsi="Arial" w:cs="Arial"/>
          <w:sz w:val="24"/>
          <w:szCs w:val="24"/>
        </w:rPr>
        <w:t>A. The correlation between the TMB of the earlier and later biopsies whose TMB were both between 0 – 20 Mutations/Mb was weaker than in the full data set with R</w:t>
      </w:r>
      <w:r w:rsidRPr="00EE45D7">
        <w:rPr>
          <w:rFonts w:ascii="Arial" w:hAnsi="Arial" w:cs="Arial"/>
          <w:sz w:val="24"/>
          <w:szCs w:val="24"/>
          <w:vertAlign w:val="superscript"/>
        </w:rPr>
        <w:t>2</w:t>
      </w:r>
      <w:r w:rsidRPr="00EE45D7">
        <w:rPr>
          <w:rFonts w:ascii="Arial" w:hAnsi="Arial" w:cs="Arial"/>
          <w:sz w:val="24"/>
          <w:szCs w:val="24"/>
        </w:rPr>
        <w:t xml:space="preserve"> = 0.3074 although the slope was still significantly different from zero (p  &lt; 0.0001).</w:t>
      </w:r>
    </w:p>
    <w:p w14:paraId="216C48A2" w14:textId="77777777" w:rsidR="00DA68FD" w:rsidRPr="00EE45D7" w:rsidRDefault="00DA68FD" w:rsidP="00DA68FD">
      <w:pPr>
        <w:rPr>
          <w:rFonts w:ascii="Arial" w:hAnsi="Arial" w:cs="Arial"/>
          <w:sz w:val="24"/>
          <w:szCs w:val="24"/>
        </w:rPr>
      </w:pPr>
      <w:r w:rsidRPr="00EE45D7">
        <w:rPr>
          <w:rFonts w:ascii="Arial" w:hAnsi="Arial" w:cs="Arial"/>
          <w:sz w:val="24"/>
          <w:szCs w:val="24"/>
        </w:rPr>
        <w:t>B.  Logarithmically transforming the earlier and later TMB values in order to moderate the influence of outliers also results in a slightly weaker correlation (R</w:t>
      </w:r>
      <w:r w:rsidRPr="00EE45D7">
        <w:rPr>
          <w:rFonts w:ascii="Arial" w:hAnsi="Arial" w:cs="Arial"/>
          <w:sz w:val="24"/>
          <w:szCs w:val="24"/>
          <w:vertAlign w:val="superscript"/>
        </w:rPr>
        <w:t>2</w:t>
      </w:r>
      <w:r w:rsidRPr="00EE45D7">
        <w:rPr>
          <w:rFonts w:ascii="Arial" w:hAnsi="Arial" w:cs="Arial"/>
          <w:sz w:val="24"/>
          <w:szCs w:val="24"/>
        </w:rPr>
        <w:t xml:space="preserve"> = 0.4059).  The slope of the line of best fit was also remained significantly different from zero (p &lt; 0.0001). </w:t>
      </w:r>
    </w:p>
    <w:p w14:paraId="198A9271" w14:textId="0B8D2BBF" w:rsidR="00081EDD" w:rsidRPr="00EE45D7" w:rsidRDefault="00DA68FD" w:rsidP="00081EDD">
      <w:r>
        <w:br w:type="page"/>
      </w:r>
    </w:p>
    <w:p w14:paraId="33F8C14A" w14:textId="7AD09900" w:rsidR="001141F8" w:rsidRPr="00EE45D7" w:rsidRDefault="00081EDD" w:rsidP="001141F8">
      <w:pPr>
        <w:pStyle w:val="Heading2"/>
      </w:pPr>
      <w:r w:rsidRPr="00EE45D7">
        <w:rPr>
          <w:noProof/>
        </w:rPr>
        <w:lastRenderedPageBreak/>
        <w:drawing>
          <wp:anchor distT="0" distB="0" distL="114300" distR="114300" simplePos="0" relativeHeight="251661312" behindDoc="0" locked="0" layoutInCell="1" allowOverlap="1" wp14:anchorId="388DF288" wp14:editId="389E1330">
            <wp:simplePos x="0" y="0"/>
            <wp:positionH relativeFrom="column">
              <wp:posOffset>-454025</wp:posOffset>
            </wp:positionH>
            <wp:positionV relativeFrom="paragraph">
              <wp:posOffset>-914400</wp:posOffset>
            </wp:positionV>
            <wp:extent cx="6181725" cy="9070340"/>
            <wp:effectExtent l="0" t="0" r="9525" b="0"/>
            <wp:wrapSquare wrapText="bothSides"/>
            <wp:docPr id="3" name="Picture 3"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scatter chart&#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81725" cy="90703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45D7">
        <w:t xml:space="preserve"> </w:t>
      </w:r>
      <w:r w:rsidRPr="00EE45D7">
        <w:br w:type="page"/>
      </w:r>
      <w:r w:rsidR="001141F8" w:rsidRPr="00EE45D7">
        <w:lastRenderedPageBreak/>
        <w:t>Figure S3:</w:t>
      </w:r>
      <w:r w:rsidR="001141F8" w:rsidRPr="00B95AC0">
        <w:t xml:space="preserve"> Linear Regression Analysis of Paired Biopsies in the Foundation Medicine Cohort</w:t>
      </w:r>
    </w:p>
    <w:p w14:paraId="22E2510D" w14:textId="77777777" w:rsidR="00DA68FD" w:rsidRPr="00EE45D7" w:rsidRDefault="00DA68FD" w:rsidP="00DA68FD">
      <w:pPr>
        <w:rPr>
          <w:rFonts w:ascii="Arial" w:hAnsi="Arial" w:cs="Arial"/>
          <w:sz w:val="24"/>
          <w:szCs w:val="24"/>
        </w:rPr>
      </w:pPr>
      <w:r w:rsidRPr="00EE45D7">
        <w:rPr>
          <w:rFonts w:ascii="Arial" w:hAnsi="Arial" w:cs="Arial"/>
          <w:sz w:val="24"/>
          <w:szCs w:val="24"/>
        </w:rPr>
        <w:t xml:space="preserve">Linear regression analysis of first and last TMB and TMB difference vs time shows no change between biopsies.   </w:t>
      </w:r>
    </w:p>
    <w:p w14:paraId="5F4C2362" w14:textId="77777777" w:rsidR="00DA68FD" w:rsidRPr="00EE45D7" w:rsidRDefault="00DA68FD" w:rsidP="00DA68FD">
      <w:pPr>
        <w:rPr>
          <w:rFonts w:ascii="Arial" w:hAnsi="Arial" w:cs="Arial"/>
          <w:sz w:val="24"/>
          <w:szCs w:val="24"/>
        </w:rPr>
      </w:pPr>
      <w:r w:rsidRPr="00EE45D7">
        <w:rPr>
          <w:rFonts w:ascii="Arial" w:hAnsi="Arial" w:cs="Arial"/>
          <w:sz w:val="24"/>
          <w:szCs w:val="24"/>
        </w:rPr>
        <w:t>A. In the 9 diagnosis groups of the Foundation Medicine data set, detailed in Figure 1, TMB change was not well-correlated with time between biopsy (all R</w:t>
      </w:r>
      <w:r w:rsidRPr="00EE45D7">
        <w:rPr>
          <w:rFonts w:ascii="Arial" w:hAnsi="Arial" w:cs="Arial"/>
          <w:sz w:val="24"/>
          <w:szCs w:val="24"/>
          <w:vertAlign w:val="superscript"/>
        </w:rPr>
        <w:t>2</w:t>
      </w:r>
      <w:r w:rsidRPr="00EE45D7">
        <w:rPr>
          <w:rFonts w:ascii="Arial" w:hAnsi="Arial" w:cs="Arial"/>
          <w:sz w:val="24"/>
          <w:szCs w:val="24"/>
        </w:rPr>
        <w:t xml:space="preserve"> &lt; 0.1).  Although the deviation of the line of best fit’s slope was significant in breast, colorectal, esophagus, glioma, melanoma, and ovarian cancers (p &lt; 0.05), the slope was relatively small on the order of magnitude of 0.001 (thousandths) Mutations/Mb/day.  </w:t>
      </w:r>
    </w:p>
    <w:p w14:paraId="06F64145" w14:textId="77777777" w:rsidR="00DA68FD" w:rsidRPr="00EE45D7" w:rsidRDefault="00DA68FD" w:rsidP="00DA68FD">
      <w:pPr>
        <w:rPr>
          <w:rFonts w:ascii="Arial" w:hAnsi="Arial" w:cs="Arial"/>
          <w:sz w:val="24"/>
          <w:szCs w:val="24"/>
        </w:rPr>
      </w:pPr>
      <w:r w:rsidRPr="00EE45D7">
        <w:rPr>
          <w:rFonts w:ascii="Arial" w:hAnsi="Arial" w:cs="Arial"/>
          <w:sz w:val="24"/>
          <w:szCs w:val="24"/>
        </w:rPr>
        <w:t>B. When the TMB change of all samples in the Foundation Medicine data set were plotted against days between biopsies, the R</w:t>
      </w:r>
      <w:r w:rsidRPr="00EE45D7">
        <w:rPr>
          <w:rFonts w:ascii="Arial" w:hAnsi="Arial" w:cs="Arial"/>
          <w:sz w:val="24"/>
          <w:szCs w:val="24"/>
          <w:vertAlign w:val="superscript"/>
        </w:rPr>
        <w:t>2</w:t>
      </w:r>
      <w:r w:rsidRPr="00EE45D7">
        <w:rPr>
          <w:rFonts w:ascii="Arial" w:hAnsi="Arial" w:cs="Arial"/>
          <w:sz w:val="24"/>
          <w:szCs w:val="24"/>
        </w:rPr>
        <w:t xml:space="preserve"> remained low at 0.0017, indicating a poor correlation.</w:t>
      </w:r>
    </w:p>
    <w:p w14:paraId="30329F4D" w14:textId="77777777" w:rsidR="00DA68FD" w:rsidRPr="00EE45D7" w:rsidRDefault="00DA68FD" w:rsidP="00DA68FD">
      <w:pPr>
        <w:rPr>
          <w:rFonts w:ascii="Arial" w:hAnsi="Arial" w:cs="Arial"/>
          <w:sz w:val="24"/>
          <w:szCs w:val="24"/>
        </w:rPr>
      </w:pPr>
      <w:r w:rsidRPr="00EE45D7">
        <w:rPr>
          <w:rFonts w:ascii="Arial" w:hAnsi="Arial" w:cs="Arial"/>
          <w:sz w:val="24"/>
          <w:szCs w:val="24"/>
        </w:rPr>
        <w:t>C. The TMB values of the earlier and later biopsies were well correlated with each other in the Foundation Medicine data set when each histological group was analyzed separately.  In all cases, the slope of the linear regression line was approximately 1 and significantly different from zero (all p &lt; 1 x 10</w:t>
      </w:r>
      <w:r w:rsidRPr="00EE45D7">
        <w:rPr>
          <w:rFonts w:ascii="Arial" w:hAnsi="Arial" w:cs="Arial"/>
          <w:sz w:val="24"/>
          <w:szCs w:val="24"/>
          <w:vertAlign w:val="superscript"/>
        </w:rPr>
        <w:t>-4</w:t>
      </w:r>
      <w:r w:rsidRPr="00EE45D7">
        <w:rPr>
          <w:rFonts w:ascii="Arial" w:hAnsi="Arial" w:cs="Arial"/>
          <w:sz w:val="24"/>
          <w:szCs w:val="24"/>
        </w:rPr>
        <w:t>).</w:t>
      </w:r>
    </w:p>
    <w:p w14:paraId="21161F65" w14:textId="77777777" w:rsidR="00DA68FD" w:rsidRPr="00EE45D7" w:rsidRDefault="00DA68FD" w:rsidP="00DA68FD">
      <w:pPr>
        <w:rPr>
          <w:rFonts w:ascii="Arial" w:hAnsi="Arial" w:cs="Arial"/>
          <w:sz w:val="24"/>
          <w:szCs w:val="24"/>
        </w:rPr>
      </w:pPr>
      <w:r w:rsidRPr="00EE45D7">
        <w:rPr>
          <w:rFonts w:ascii="Arial" w:hAnsi="Arial" w:cs="Arial"/>
          <w:sz w:val="24"/>
          <w:szCs w:val="24"/>
        </w:rPr>
        <w:t xml:space="preserve">D. This correlation between first and last biopsy TMB remained when all Foundation Medicine samples were pooled together.  </w:t>
      </w:r>
    </w:p>
    <w:p w14:paraId="68BF3809" w14:textId="77777777" w:rsidR="00DA68FD" w:rsidRPr="00EE45D7" w:rsidRDefault="00DA68FD" w:rsidP="00DA68FD">
      <w:pPr>
        <w:rPr>
          <w:rFonts w:ascii="Arial" w:hAnsi="Arial" w:cs="Arial"/>
          <w:sz w:val="24"/>
          <w:szCs w:val="24"/>
        </w:rPr>
      </w:pPr>
      <w:r w:rsidRPr="00EE45D7">
        <w:rPr>
          <w:rFonts w:ascii="Arial" w:hAnsi="Arial" w:cs="Arial"/>
          <w:sz w:val="24"/>
          <w:szCs w:val="24"/>
        </w:rPr>
        <w:t>E. Taking the natural logarithm of the first and last TMB values preserves the correlation when each diagnosis group is analyzed separately, indicating that outliers have a limited effect on the linear regression.</w:t>
      </w:r>
    </w:p>
    <w:p w14:paraId="0AD5A304" w14:textId="77777777" w:rsidR="00DA68FD" w:rsidRPr="00EE45D7" w:rsidRDefault="00DA68FD" w:rsidP="00DA68FD">
      <w:pPr>
        <w:rPr>
          <w:rFonts w:ascii="Arial" w:hAnsi="Arial" w:cs="Arial"/>
          <w:sz w:val="24"/>
          <w:szCs w:val="24"/>
        </w:rPr>
      </w:pPr>
      <w:r w:rsidRPr="00EE45D7">
        <w:rPr>
          <w:rFonts w:ascii="Arial" w:hAnsi="Arial" w:cs="Arial"/>
          <w:sz w:val="24"/>
          <w:szCs w:val="24"/>
        </w:rPr>
        <w:t>F. In the full Foundation Medicine data set, the logarithmic transforms of the TMB values remain correlated (R</w:t>
      </w:r>
      <w:r w:rsidRPr="00EE45D7">
        <w:rPr>
          <w:rFonts w:ascii="Arial" w:hAnsi="Arial" w:cs="Arial"/>
          <w:sz w:val="24"/>
          <w:szCs w:val="24"/>
          <w:vertAlign w:val="superscript"/>
        </w:rPr>
        <w:t>2</w:t>
      </w:r>
      <w:r w:rsidRPr="00EE45D7">
        <w:rPr>
          <w:rFonts w:ascii="Arial" w:hAnsi="Arial" w:cs="Arial"/>
          <w:sz w:val="24"/>
          <w:szCs w:val="24"/>
        </w:rPr>
        <w:t xml:space="preserve"> = 0.4889) with one another.</w:t>
      </w:r>
    </w:p>
    <w:p w14:paraId="2E71DC41" w14:textId="40DB7997" w:rsidR="00DA68FD" w:rsidRDefault="00DA68FD">
      <w:r>
        <w:br w:type="page"/>
      </w:r>
    </w:p>
    <w:p w14:paraId="63F43819" w14:textId="77777777" w:rsidR="00081EDD" w:rsidRPr="00EE45D7" w:rsidRDefault="00081EDD" w:rsidP="00081EDD"/>
    <w:p w14:paraId="74670F26" w14:textId="17ABAD3C" w:rsidR="00081EDD" w:rsidRPr="002165E6" w:rsidRDefault="00081EDD" w:rsidP="00081EDD">
      <w:pPr>
        <w:rPr>
          <w:rFonts w:ascii="Arial" w:hAnsi="Arial" w:cs="Arial"/>
          <w:sz w:val="24"/>
          <w:szCs w:val="24"/>
        </w:rPr>
      </w:pPr>
      <w:r w:rsidRPr="00EE45D7">
        <w:rPr>
          <w:rFonts w:ascii="Arial" w:hAnsi="Arial" w:cs="Arial"/>
          <w:noProof/>
          <w:sz w:val="24"/>
          <w:szCs w:val="24"/>
        </w:rPr>
        <w:drawing>
          <wp:anchor distT="0" distB="0" distL="114300" distR="114300" simplePos="0" relativeHeight="251662336" behindDoc="0" locked="0" layoutInCell="1" allowOverlap="1" wp14:anchorId="2352F2BA" wp14:editId="40369EB0">
            <wp:simplePos x="0" y="0"/>
            <wp:positionH relativeFrom="column">
              <wp:posOffset>-767639</wp:posOffset>
            </wp:positionH>
            <wp:positionV relativeFrom="paragraph">
              <wp:posOffset>1046454</wp:posOffset>
            </wp:positionV>
            <wp:extent cx="7607414" cy="4250131"/>
            <wp:effectExtent l="0" t="0" r="0" b="0"/>
            <wp:wrapSquare wrapText="bothSides"/>
            <wp:docPr id="6" name="Picture 6"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 scatter chart&#10;&#10;Description automatically generated"/>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r="4557"/>
                    <a:stretch/>
                  </pic:blipFill>
                  <pic:spPr bwMode="auto">
                    <a:xfrm>
                      <a:off x="0" y="0"/>
                      <a:ext cx="7607414" cy="425013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41A6E" w:rsidRPr="00341A6E">
        <w:t xml:space="preserve"> </w:t>
      </w:r>
    </w:p>
    <w:p w14:paraId="30BD2BAD" w14:textId="77777777" w:rsidR="00081EDD" w:rsidRDefault="00081EDD" w:rsidP="00081EDD"/>
    <w:p w14:paraId="4EED1315" w14:textId="30218EFF" w:rsidR="00EF20EE" w:rsidRDefault="00EF20EE"/>
    <w:p w14:paraId="127788F5" w14:textId="0ECDDAF3" w:rsidR="00DA68FD" w:rsidRDefault="00DA68FD"/>
    <w:p w14:paraId="506924C5" w14:textId="77777777" w:rsidR="001141F8" w:rsidRPr="00EE45D7" w:rsidRDefault="001141F8" w:rsidP="001141F8">
      <w:pPr>
        <w:pStyle w:val="Heading2"/>
      </w:pPr>
      <w:r w:rsidRPr="00EE45D7">
        <w:t xml:space="preserve">Figure S4: </w:t>
      </w:r>
      <w:r w:rsidRPr="00341A6E">
        <w:t>Difference in TMB from paired biopsies in Foundation Medicine Cohort</w:t>
      </w:r>
    </w:p>
    <w:p w14:paraId="20B2D6EB" w14:textId="07EBB2D1" w:rsidR="00DA68FD" w:rsidRDefault="00DA68FD">
      <w:r w:rsidRPr="00341A6E">
        <w:rPr>
          <w:rFonts w:ascii="Arial" w:hAnsi="Arial" w:cs="Arial"/>
          <w:noProof/>
          <w:sz w:val="24"/>
          <w:szCs w:val="24"/>
        </w:rPr>
        <w:t xml:space="preserve">The difference in TMB in paired samples </w:t>
      </w:r>
      <w:r w:rsidRPr="00EE45D7">
        <w:rPr>
          <w:rFonts w:ascii="Arial" w:hAnsi="Arial" w:cs="Arial"/>
          <w:sz w:val="24"/>
          <w:szCs w:val="24"/>
        </w:rPr>
        <w:t xml:space="preserve">from the Foundation Medicine cohort in </w:t>
      </w:r>
      <w:r w:rsidRPr="00EE45D7">
        <w:rPr>
          <w:rFonts w:ascii="Arial" w:hAnsi="Arial" w:cs="Arial"/>
          <w:b/>
          <w:bCs/>
          <w:sz w:val="24"/>
          <w:szCs w:val="24"/>
        </w:rPr>
        <w:t>Figure 1</w:t>
      </w:r>
      <w:r w:rsidRPr="00EE45D7">
        <w:rPr>
          <w:rFonts w:ascii="Arial" w:hAnsi="Arial" w:cs="Arial"/>
          <w:sz w:val="24"/>
          <w:szCs w:val="24"/>
        </w:rPr>
        <w:t>, across all elapsed time interval catego</w:t>
      </w:r>
      <w:bookmarkStart w:id="0" w:name="_GoBack"/>
      <w:bookmarkEnd w:id="0"/>
      <w:r w:rsidRPr="00EE45D7">
        <w:rPr>
          <w:rFonts w:ascii="Arial" w:hAnsi="Arial" w:cs="Arial"/>
          <w:sz w:val="24"/>
          <w:szCs w:val="24"/>
        </w:rPr>
        <w:t>ries (≤ 365 days, 366 – 1095 days, &gt; 1095 days), are shown.  The fact that all the data points, regardless of time “bin”, appear to be superimposed on one another illustrates how TMB does not tend to change with time.</w:t>
      </w:r>
    </w:p>
    <w:sectPr w:rsidR="00DA68F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4B69D4" w14:textId="77777777" w:rsidR="006464E1" w:rsidRDefault="006464E1" w:rsidP="00AF3F47">
      <w:pPr>
        <w:spacing w:after="0" w:line="240" w:lineRule="auto"/>
      </w:pPr>
      <w:r>
        <w:separator/>
      </w:r>
    </w:p>
  </w:endnote>
  <w:endnote w:type="continuationSeparator" w:id="0">
    <w:p w14:paraId="4F8F1CE4" w14:textId="77777777" w:rsidR="006464E1" w:rsidRDefault="006464E1" w:rsidP="00AF3F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9A98A7" w14:textId="77777777" w:rsidR="006464E1" w:rsidRDefault="006464E1" w:rsidP="00AF3F47">
      <w:pPr>
        <w:spacing w:after="0" w:line="240" w:lineRule="auto"/>
      </w:pPr>
      <w:r>
        <w:separator/>
      </w:r>
    </w:p>
  </w:footnote>
  <w:footnote w:type="continuationSeparator" w:id="0">
    <w:p w14:paraId="58B5EE23" w14:textId="77777777" w:rsidR="006464E1" w:rsidRDefault="006464E1" w:rsidP="00AF3F4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1EDD"/>
    <w:rsid w:val="00081EDD"/>
    <w:rsid w:val="00085F53"/>
    <w:rsid w:val="001141F8"/>
    <w:rsid w:val="002F0D0B"/>
    <w:rsid w:val="00341A6E"/>
    <w:rsid w:val="00457337"/>
    <w:rsid w:val="004C640B"/>
    <w:rsid w:val="006464E1"/>
    <w:rsid w:val="00712C0F"/>
    <w:rsid w:val="00A636D5"/>
    <w:rsid w:val="00AF3F47"/>
    <w:rsid w:val="00B95AC0"/>
    <w:rsid w:val="00D87D8F"/>
    <w:rsid w:val="00DA68FD"/>
    <w:rsid w:val="00EE45D7"/>
    <w:rsid w:val="00EF20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382CA6"/>
  <w15:chartTrackingRefBased/>
  <w15:docId w15:val="{4B8E1E0A-2BA8-450A-8070-642FB3F708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8FD"/>
  </w:style>
  <w:style w:type="paragraph" w:styleId="Heading1">
    <w:name w:val="heading 1"/>
    <w:basedOn w:val="Normal"/>
    <w:next w:val="Normal"/>
    <w:link w:val="Heading1Char"/>
    <w:uiPriority w:val="9"/>
    <w:qFormat/>
    <w:rsid w:val="00081EDD"/>
    <w:pPr>
      <w:keepNext/>
      <w:keepLines/>
      <w:spacing w:before="240" w:after="0"/>
      <w:outlineLvl w:val="0"/>
    </w:pPr>
    <w:rPr>
      <w:rFonts w:ascii="Arial" w:eastAsiaTheme="majorEastAsia" w:hAnsi="Arial" w:cstheme="majorBidi"/>
      <w:b/>
      <w:sz w:val="24"/>
      <w:szCs w:val="32"/>
    </w:rPr>
  </w:style>
  <w:style w:type="paragraph" w:styleId="Heading2">
    <w:name w:val="heading 2"/>
    <w:basedOn w:val="Normal"/>
    <w:next w:val="Normal"/>
    <w:link w:val="Heading2Char"/>
    <w:uiPriority w:val="9"/>
    <w:unhideWhenUsed/>
    <w:qFormat/>
    <w:rsid w:val="00081EDD"/>
    <w:pPr>
      <w:keepNext/>
      <w:keepLines/>
      <w:spacing w:before="40" w:after="0"/>
      <w:outlineLvl w:val="1"/>
    </w:pPr>
    <w:rPr>
      <w:rFonts w:ascii="Arial" w:eastAsiaTheme="majorEastAsia" w:hAnsi="Arial" w:cstheme="majorBidi"/>
      <w:b/>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1EDD"/>
    <w:rPr>
      <w:rFonts w:ascii="Arial" w:eastAsiaTheme="majorEastAsia" w:hAnsi="Arial" w:cstheme="majorBidi"/>
      <w:b/>
      <w:sz w:val="24"/>
      <w:szCs w:val="32"/>
    </w:rPr>
  </w:style>
  <w:style w:type="character" w:customStyle="1" w:styleId="Heading2Char">
    <w:name w:val="Heading 2 Char"/>
    <w:basedOn w:val="DefaultParagraphFont"/>
    <w:link w:val="Heading2"/>
    <w:uiPriority w:val="9"/>
    <w:rsid w:val="00081EDD"/>
    <w:rPr>
      <w:rFonts w:ascii="Arial" w:eastAsiaTheme="majorEastAsia" w:hAnsi="Arial" w:cstheme="majorBidi"/>
      <w:b/>
      <w:sz w:val="24"/>
      <w:szCs w:val="26"/>
    </w:rPr>
  </w:style>
  <w:style w:type="paragraph" w:styleId="Header">
    <w:name w:val="header"/>
    <w:basedOn w:val="Normal"/>
    <w:link w:val="HeaderChar"/>
    <w:uiPriority w:val="99"/>
    <w:unhideWhenUsed/>
    <w:rsid w:val="00AF3F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3F47"/>
  </w:style>
  <w:style w:type="paragraph" w:styleId="Footer">
    <w:name w:val="footer"/>
    <w:basedOn w:val="Normal"/>
    <w:link w:val="FooterChar"/>
    <w:uiPriority w:val="99"/>
    <w:unhideWhenUsed/>
    <w:rsid w:val="00AF3F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3F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393274-5B06-4F73-A851-5D7984DA8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6</Pages>
  <Words>502</Words>
  <Characters>2864</Characters>
  <Application>Microsoft Office Word</Application>
  <DocSecurity>0</DocSecurity>
  <Lines>23</Lines>
  <Paragraphs>6</Paragraphs>
  <ScaleCrop>false</ScaleCrop>
  <Company/>
  <LinksUpToDate>false</LinksUpToDate>
  <CharactersWithSpaces>3360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computer</dc:creator>
  <cp:keywords/>
  <dc:description/>
  <cp:lastModifiedBy>Gerrit John-Schuster</cp:lastModifiedBy>
  <cp:revision>11</cp:revision>
  <dcterms:created xsi:type="dcterms:W3CDTF">2021-08-16T22:17:00Z</dcterms:created>
  <dcterms:modified xsi:type="dcterms:W3CDTF">2021-09-28T22:09:00Z</dcterms:modified>
</cp:coreProperties>
</file>