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D79A9" w14:textId="1FFA8FB6" w:rsidR="00BD086B" w:rsidRPr="00BD086B" w:rsidRDefault="00BD086B" w:rsidP="00BD086B">
      <w:pPr>
        <w:jc w:val="center"/>
        <w:rPr>
          <w:rFonts w:asciiTheme="minorBidi" w:hAnsiTheme="minorBidi"/>
          <w:b/>
          <w:bCs/>
          <w:u w:val="single"/>
        </w:rPr>
      </w:pPr>
      <w:r w:rsidRPr="00BD086B">
        <w:rPr>
          <w:rFonts w:asciiTheme="minorBidi" w:hAnsiTheme="minorBidi"/>
          <w:b/>
          <w:bCs/>
          <w:u w:val="single"/>
        </w:rPr>
        <w:t>Additional file 1: Methods</w:t>
      </w:r>
    </w:p>
    <w:p w14:paraId="4784EDF1" w14:textId="09275B12" w:rsidR="00BD086B" w:rsidRPr="003E68CE" w:rsidRDefault="00BD086B" w:rsidP="00BD086B">
      <w:pPr>
        <w:rPr>
          <w:rFonts w:asciiTheme="minorBidi" w:hAnsiTheme="minorBidi"/>
          <w:u w:val="single"/>
        </w:rPr>
      </w:pPr>
      <w:r w:rsidRPr="003E68CE">
        <w:rPr>
          <w:rFonts w:asciiTheme="minorBidi" w:hAnsiTheme="minorBidi"/>
          <w:u w:val="single"/>
        </w:rPr>
        <w:t>Exclusion criteria</w:t>
      </w:r>
    </w:p>
    <w:p w14:paraId="51A909DF" w14:textId="77777777" w:rsidR="00BD086B" w:rsidRPr="003E68CE" w:rsidRDefault="00BD086B" w:rsidP="00BD086B">
      <w:pPr>
        <w:rPr>
          <w:rFonts w:asciiTheme="minorBidi" w:hAnsiTheme="minorBidi"/>
        </w:rPr>
      </w:pPr>
      <w:r w:rsidRPr="003E68CE">
        <w:rPr>
          <w:rFonts w:asciiTheme="minorBidi" w:hAnsiTheme="minorBidi"/>
        </w:rPr>
        <w:t>Exclusion criteria were an inability to partake in physical activity,  serum creatinine level</w:t>
      </w:r>
      <w:r w:rsidRPr="003E68CE">
        <w:rPr>
          <w:rFonts w:asciiTheme="minorBidi" w:hAnsiTheme="minorBidi"/>
        </w:rPr>
        <w:sym w:font="Symbol" w:char="F0B3"/>
      </w:r>
      <w:r w:rsidRPr="003E68CE">
        <w:rPr>
          <w:rFonts w:asciiTheme="minorBidi" w:hAnsiTheme="minorBidi"/>
        </w:rPr>
        <w:t>2mg/dL, disturbed liver function, a major illness that might require hospitalization, pregnancy or lactation for women, presence of active cancer or undergoing chemotherapy either at present or in the prior three years, participation in another trial, chronic treatment with warfarin (given its interaction with vitamin K), and being implanted with a pacemaker or platinum implant (due to inability to undergo magnetic resonance imaging included in the study design).</w:t>
      </w:r>
    </w:p>
    <w:p w14:paraId="5CEC8940" w14:textId="77777777" w:rsidR="00BD086B" w:rsidRPr="003E68CE" w:rsidRDefault="00BD086B" w:rsidP="00BD086B">
      <w:pPr>
        <w:rPr>
          <w:rFonts w:asciiTheme="minorBidi" w:hAnsiTheme="minorBidi"/>
        </w:rPr>
      </w:pPr>
    </w:p>
    <w:p w14:paraId="795A42E6" w14:textId="77777777" w:rsidR="00BD086B" w:rsidRPr="003E68CE" w:rsidRDefault="00BD086B" w:rsidP="00BD086B">
      <w:pPr>
        <w:rPr>
          <w:rFonts w:asciiTheme="minorBidi" w:hAnsiTheme="minorBidi"/>
          <w:u w:val="single"/>
        </w:rPr>
      </w:pPr>
      <w:r w:rsidRPr="003E68CE">
        <w:rPr>
          <w:rFonts w:asciiTheme="minorBidi" w:hAnsiTheme="minorBidi"/>
          <w:u w:val="single"/>
        </w:rPr>
        <w:t>Physical activity protocol</w:t>
      </w:r>
    </w:p>
    <w:p w14:paraId="16C56BEA" w14:textId="77777777" w:rsidR="00BD086B" w:rsidRPr="003E68CE" w:rsidRDefault="00BD086B" w:rsidP="00BD086B">
      <w:pPr>
        <w:rPr>
          <w:rFonts w:asciiTheme="minorBidi" w:hAnsiTheme="minorBidi"/>
        </w:rPr>
      </w:pPr>
      <w:r w:rsidRPr="003E68CE">
        <w:rPr>
          <w:rFonts w:asciiTheme="minorBidi" w:hAnsiTheme="minorBidi"/>
        </w:rPr>
        <w:t xml:space="preserve">The aerobic effort increased gradually, starting with 20 minutes of aerobic training at 65% maximum heart rate, and increased to 45-60 minutes of aerobic training at 80% of maximum heart rate. The full workout program included 45-60 minutes of aerobic training 3-4 times/week; resistance training starting with one set of weights corresponding to 60% of the maximum weight, eventually reached the use of two sets of weights corresponding to 80% of the maximum weight. The resistance training included leg extensions, leg curls, squats, lateral pull-downs, push-ups, shoulder presses, elbow flexions, triceps extensions, and bent leg sit-ups. </w:t>
      </w:r>
    </w:p>
    <w:p w14:paraId="2EC9BB50" w14:textId="77777777" w:rsidR="00BD086B" w:rsidRPr="003E68CE" w:rsidRDefault="00BD086B" w:rsidP="00BD086B">
      <w:pPr>
        <w:rPr>
          <w:rFonts w:asciiTheme="minorBidi" w:hAnsiTheme="minorBidi"/>
        </w:rPr>
      </w:pPr>
    </w:p>
    <w:p w14:paraId="0C23B499" w14:textId="77777777" w:rsidR="00BD086B" w:rsidRPr="003E68CE" w:rsidRDefault="00BD086B" w:rsidP="00BD086B">
      <w:pPr>
        <w:rPr>
          <w:rFonts w:asciiTheme="minorBidi" w:hAnsiTheme="minorBidi"/>
          <w:u w:val="single"/>
        </w:rPr>
      </w:pPr>
      <w:r w:rsidRPr="003E68CE">
        <w:rPr>
          <w:rFonts w:asciiTheme="minorBidi" w:hAnsiTheme="minorBidi"/>
          <w:u w:val="single"/>
        </w:rPr>
        <w:t xml:space="preserve">Lifestyle sessions and motivation techniques </w:t>
      </w:r>
    </w:p>
    <w:p w14:paraId="50D3FE77" w14:textId="77777777" w:rsidR="00BD086B" w:rsidRPr="003E68CE" w:rsidRDefault="00BD086B" w:rsidP="00BD086B">
      <w:pPr>
        <w:rPr>
          <w:rFonts w:asciiTheme="minorBidi" w:hAnsiTheme="minorBidi"/>
        </w:rPr>
      </w:pPr>
      <w:r w:rsidRPr="003E68CE">
        <w:rPr>
          <w:rFonts w:asciiTheme="minorBidi" w:hAnsiTheme="minorBidi"/>
        </w:rPr>
        <w:t>The lifestyle interventions included 90-minute nutritional and physical activity sessions in the workplace with multidisciplinary guidance (physicians, clinical dietitians, and fitness instructors). These sessions were held every week during the first month, once a month, over the following five months. All the lifestyle educational programs were provided at the same intensity to all three groups. To keep the participants motivated, text messages with relevant information for each assigned intervention group were sent on fixed time intervals. In addition, a website listing all nutritional and physical activity information needed by the participants to continue with the intervention was accessible to the participants according to their intervention group.</w:t>
      </w:r>
    </w:p>
    <w:p w14:paraId="6FD5ED80" w14:textId="77777777" w:rsidR="00BD086B" w:rsidRPr="003E68CE" w:rsidRDefault="00BD086B" w:rsidP="00BD086B">
      <w:pPr>
        <w:rPr>
          <w:rFonts w:asciiTheme="minorBidi" w:hAnsiTheme="minorBidi"/>
        </w:rPr>
      </w:pPr>
    </w:p>
    <w:p w14:paraId="7D053245" w14:textId="77777777" w:rsidR="00BD086B" w:rsidRPr="003E68CE" w:rsidRDefault="00BD086B" w:rsidP="00BD086B">
      <w:pPr>
        <w:rPr>
          <w:rFonts w:asciiTheme="minorBidi" w:hAnsiTheme="minorBidi"/>
          <w:u w:val="single"/>
        </w:rPr>
      </w:pPr>
      <w:r w:rsidRPr="003E68CE">
        <w:rPr>
          <w:rFonts w:asciiTheme="minorBidi" w:hAnsiTheme="minorBidi"/>
          <w:u w:val="single"/>
        </w:rPr>
        <w:t>Blood sample analysis</w:t>
      </w:r>
    </w:p>
    <w:p w14:paraId="4B667B20" w14:textId="77777777" w:rsidR="00BD086B" w:rsidRPr="003E68CE" w:rsidRDefault="00BD086B" w:rsidP="00BD086B">
      <w:pPr>
        <w:rPr>
          <w:rFonts w:asciiTheme="minorBidi" w:hAnsiTheme="minorBidi"/>
        </w:rPr>
      </w:pPr>
      <w:r w:rsidRPr="003E68CE">
        <w:rPr>
          <w:rFonts w:asciiTheme="minorBidi" w:hAnsiTheme="minorBidi"/>
        </w:rPr>
        <w:t>Serum total cholesterol (</w:t>
      </w:r>
      <w:proofErr w:type="spellStart"/>
      <w:proofErr w:type="gramStart"/>
      <w:r w:rsidRPr="003E68CE">
        <w:rPr>
          <w:rFonts w:asciiTheme="minorBidi" w:hAnsiTheme="minorBidi"/>
        </w:rPr>
        <w:t>TC;Coefficient</w:t>
      </w:r>
      <w:proofErr w:type="gramEnd"/>
      <w:r w:rsidRPr="003E68CE">
        <w:rPr>
          <w:rFonts w:asciiTheme="minorBidi" w:hAnsiTheme="minorBidi"/>
        </w:rPr>
        <w:t>-of-variation</w:t>
      </w:r>
      <w:proofErr w:type="spellEnd"/>
      <w:r w:rsidRPr="003E68CE">
        <w:rPr>
          <w:rFonts w:asciiTheme="minorBidi" w:hAnsiTheme="minorBidi"/>
        </w:rPr>
        <w:t xml:space="preserve"> (CV), 1.3%), HDL-c, low-density-lipoprotein-cholesterol (LDL-c), and TG (CV, 2.1%) were determined enzymatically with a Cobas-6000 automatic analyzer (Roche). Plasma levels of high-sensitivity C-reactive protein (</w:t>
      </w:r>
      <w:proofErr w:type="spellStart"/>
      <w:r w:rsidRPr="003E68CE">
        <w:rPr>
          <w:rFonts w:asciiTheme="minorBidi" w:hAnsiTheme="minorBidi"/>
        </w:rPr>
        <w:t>hsCRP</w:t>
      </w:r>
      <w:proofErr w:type="spellEnd"/>
      <w:r w:rsidRPr="003E68CE">
        <w:rPr>
          <w:rFonts w:asciiTheme="minorBidi" w:hAnsiTheme="minorBidi"/>
        </w:rPr>
        <w:t>) were measured by ELISA (</w:t>
      </w:r>
      <w:proofErr w:type="spellStart"/>
      <w:proofErr w:type="gramStart"/>
      <w:r w:rsidRPr="003E68CE">
        <w:rPr>
          <w:rFonts w:asciiTheme="minorBidi" w:hAnsiTheme="minorBidi"/>
        </w:rPr>
        <w:t>DiaMed;CV</w:t>
      </w:r>
      <w:proofErr w:type="spellEnd"/>
      <w:proofErr w:type="gramEnd"/>
      <w:r w:rsidRPr="003E68CE">
        <w:rPr>
          <w:rFonts w:asciiTheme="minorBidi" w:hAnsiTheme="minorBidi"/>
        </w:rPr>
        <w:t>, 1.9%). Plasma glucose levels were measured by Roche GLUC3 (hexokinase method). Plasma insulin levels were measured with an enzyme immunometric assay (</w:t>
      </w:r>
      <w:proofErr w:type="spellStart"/>
      <w:r w:rsidRPr="003E68CE">
        <w:rPr>
          <w:rFonts w:asciiTheme="minorBidi" w:hAnsiTheme="minorBidi"/>
        </w:rPr>
        <w:t>Immulite</w:t>
      </w:r>
      <w:proofErr w:type="spellEnd"/>
      <w:r w:rsidRPr="003E68CE">
        <w:rPr>
          <w:rFonts w:asciiTheme="minorBidi" w:hAnsiTheme="minorBidi"/>
        </w:rPr>
        <w:t xml:space="preserve"> automated analyzer, Diagnostic Products; CV, 2.5%). The homeostatic model of insulin resistance (HOMA IR) was calculated as follows: insulin(</w:t>
      </w:r>
      <w:proofErr w:type="spellStart"/>
      <w:r w:rsidRPr="003E68CE">
        <w:rPr>
          <w:rFonts w:asciiTheme="minorBidi" w:hAnsiTheme="minorBidi"/>
        </w:rPr>
        <w:t>μIU</w:t>
      </w:r>
      <w:proofErr w:type="spellEnd"/>
      <w:r w:rsidRPr="003E68CE">
        <w:rPr>
          <w:rFonts w:asciiTheme="minorBidi" w:hAnsiTheme="minorBidi"/>
        </w:rPr>
        <w:t>/</w:t>
      </w:r>
      <w:proofErr w:type="gramStart"/>
      <w:r w:rsidRPr="003E68CE">
        <w:rPr>
          <w:rFonts w:asciiTheme="minorBidi" w:hAnsiTheme="minorBidi"/>
        </w:rPr>
        <w:t>ml)×</w:t>
      </w:r>
      <w:proofErr w:type="gramEnd"/>
      <w:r w:rsidRPr="003E68CE">
        <w:rPr>
          <w:rFonts w:asciiTheme="minorBidi" w:hAnsiTheme="minorBidi"/>
        </w:rPr>
        <w:t xml:space="preserve">glucose(mg/dl)/405[19]. All biochemical analyses were performed at the University of Leipzig, Germany. </w:t>
      </w:r>
    </w:p>
    <w:p w14:paraId="1EF4A2F7" w14:textId="77777777" w:rsidR="00390C6D" w:rsidRDefault="00390C6D" w:rsidP="00BD086B">
      <w:pPr>
        <w:rPr>
          <w:rFonts w:asciiTheme="minorBidi" w:hAnsiTheme="minorBidi"/>
          <w:u w:val="single"/>
        </w:rPr>
      </w:pPr>
    </w:p>
    <w:p w14:paraId="358E506B" w14:textId="60184AA6" w:rsidR="00BD086B" w:rsidRPr="003E68CE" w:rsidRDefault="00BD086B" w:rsidP="00BD086B">
      <w:pPr>
        <w:rPr>
          <w:rFonts w:asciiTheme="minorBidi" w:hAnsiTheme="minorBidi"/>
          <w:u w:val="single"/>
        </w:rPr>
      </w:pPr>
      <w:r w:rsidRPr="003E68CE">
        <w:rPr>
          <w:rFonts w:asciiTheme="minorBidi" w:hAnsiTheme="minorBidi"/>
          <w:u w:val="single"/>
        </w:rPr>
        <w:t>16s rRNA sequencing pipeline</w:t>
      </w:r>
    </w:p>
    <w:p w14:paraId="2FAFF1E3" w14:textId="77777777" w:rsidR="00BD086B" w:rsidRPr="003E68CE" w:rsidRDefault="00BD086B" w:rsidP="00BD086B">
      <w:pPr>
        <w:rPr>
          <w:rFonts w:asciiTheme="minorBidi" w:hAnsiTheme="minorBidi"/>
        </w:rPr>
      </w:pPr>
      <w:r w:rsidRPr="003E68CE">
        <w:rPr>
          <w:rFonts w:asciiTheme="minorBidi" w:hAnsiTheme="minorBidi"/>
        </w:rPr>
        <w:t>DNA Extraction:</w:t>
      </w:r>
    </w:p>
    <w:p w14:paraId="0BDF6337" w14:textId="77777777" w:rsidR="00BD086B" w:rsidRPr="003E68CE" w:rsidRDefault="00BD086B" w:rsidP="00BD086B">
      <w:pPr>
        <w:rPr>
          <w:rFonts w:asciiTheme="minorBidi" w:hAnsiTheme="minorBidi"/>
        </w:rPr>
      </w:pPr>
      <w:r w:rsidRPr="003E68CE">
        <w:rPr>
          <w:rFonts w:asciiTheme="minorBidi" w:hAnsiTheme="minorBidi"/>
        </w:rPr>
        <w:lastRenderedPageBreak/>
        <w:t xml:space="preserve">Fecal microbiota DNA was extracted using </w:t>
      </w:r>
      <w:proofErr w:type="spellStart"/>
      <w:r w:rsidRPr="003E68CE">
        <w:rPr>
          <w:rFonts w:asciiTheme="minorBidi" w:hAnsiTheme="minorBidi"/>
        </w:rPr>
        <w:t>QIAamp</w:t>
      </w:r>
      <w:proofErr w:type="spellEnd"/>
      <w:r w:rsidRPr="003E68CE">
        <w:rPr>
          <w:rFonts w:asciiTheme="minorBidi" w:hAnsiTheme="minorBidi"/>
        </w:rPr>
        <w:t xml:space="preserve"> </w:t>
      </w:r>
      <w:proofErr w:type="spellStart"/>
      <w:r w:rsidRPr="003E68CE">
        <w:rPr>
          <w:rFonts w:asciiTheme="minorBidi" w:hAnsiTheme="minorBidi"/>
        </w:rPr>
        <w:t>PowerFecal</w:t>
      </w:r>
      <w:proofErr w:type="spellEnd"/>
      <w:r w:rsidRPr="003E68CE">
        <w:rPr>
          <w:rFonts w:asciiTheme="minorBidi" w:hAnsiTheme="minorBidi"/>
        </w:rPr>
        <w:t xml:space="preserve"> DNA Kit (Qiagen) and a FastPrep-24™bead beater (MP Biomedicals). DNA quantity and quality was assessed spectrophotometrically by </w:t>
      </w:r>
      <w:proofErr w:type="spellStart"/>
      <w:r w:rsidRPr="003E68CE">
        <w:rPr>
          <w:rFonts w:asciiTheme="minorBidi" w:hAnsiTheme="minorBidi"/>
        </w:rPr>
        <w:t>NanoDrop</w:t>
      </w:r>
      <w:proofErr w:type="spellEnd"/>
      <w:r w:rsidRPr="003E68CE">
        <w:rPr>
          <w:rFonts w:asciiTheme="minorBidi" w:hAnsiTheme="minorBidi"/>
        </w:rPr>
        <w:t>™ (</w:t>
      </w:r>
      <w:proofErr w:type="spellStart"/>
      <w:r w:rsidRPr="003E68CE">
        <w:rPr>
          <w:rFonts w:asciiTheme="minorBidi" w:hAnsiTheme="minorBidi"/>
        </w:rPr>
        <w:t>ThermoFisher</w:t>
      </w:r>
      <w:proofErr w:type="spellEnd"/>
      <w:r w:rsidRPr="003E68CE">
        <w:rPr>
          <w:rFonts w:asciiTheme="minorBidi" w:hAnsiTheme="minorBidi"/>
        </w:rPr>
        <w:t xml:space="preserve"> Scientific).</w:t>
      </w:r>
    </w:p>
    <w:p w14:paraId="13EDEEFA" w14:textId="77777777" w:rsidR="00BD086B" w:rsidRPr="003E68CE" w:rsidRDefault="00BD086B" w:rsidP="00BD086B">
      <w:pPr>
        <w:rPr>
          <w:rFonts w:asciiTheme="minorBidi" w:hAnsiTheme="minorBidi"/>
        </w:rPr>
      </w:pPr>
      <w:r w:rsidRPr="003E68CE">
        <w:rPr>
          <w:rFonts w:asciiTheme="minorBidi" w:hAnsiTheme="minorBidi"/>
        </w:rPr>
        <w:t>Library Preparation &amp; Sequencing:</w:t>
      </w:r>
    </w:p>
    <w:p w14:paraId="29F5B6ED" w14:textId="77777777" w:rsidR="00BD086B" w:rsidRPr="003E68CE" w:rsidRDefault="00BD086B" w:rsidP="00BD086B">
      <w:pPr>
        <w:rPr>
          <w:rFonts w:asciiTheme="minorBidi" w:hAnsiTheme="minorBidi"/>
        </w:rPr>
      </w:pPr>
      <w:r w:rsidRPr="003E68CE">
        <w:rPr>
          <w:rFonts w:asciiTheme="minorBidi" w:hAnsiTheme="minorBidi"/>
        </w:rPr>
        <w:t xml:space="preserve">For 16S rRNA sequencing amplification of total genomic </w:t>
      </w:r>
      <w:proofErr w:type="spellStart"/>
      <w:r w:rsidRPr="003E68CE">
        <w:rPr>
          <w:rFonts w:asciiTheme="minorBidi" w:hAnsiTheme="minorBidi"/>
        </w:rPr>
        <w:t>faecal</w:t>
      </w:r>
      <w:proofErr w:type="spellEnd"/>
      <w:r w:rsidRPr="003E68CE">
        <w:rPr>
          <w:rFonts w:asciiTheme="minorBidi" w:hAnsiTheme="minorBidi"/>
        </w:rPr>
        <w:t xml:space="preserve"> DNA was carried out using the specific bacterial primer set 341F (5’ CCTACGGGNGGCWGCAG 3’) and 806R (5’ GACTACNVGGGTWTCTAATCC 3’) with overhang Illumina adapters, targeting a ~460-bp fragment of the 16S rRNA variable region V3-V4.</w:t>
      </w:r>
      <w:r w:rsidRPr="003E68CE">
        <w:rPr>
          <w:rFonts w:asciiTheme="minorBidi" w:hAnsiTheme="minorBidi"/>
        </w:rPr>
        <w:fldChar w:fldCharType="begin" w:fldLock="1"/>
      </w:r>
      <w:r w:rsidRPr="003E68CE">
        <w:rPr>
          <w:rFonts w:asciiTheme="minorBidi" w:hAnsiTheme="minorBidi"/>
        </w:rPr>
        <w:instrText>ADDIN CSL_CITATION {"citationItems":[{"id":"ITEM-1","itemData":{"DOI":"10.1093/nar/gkq873","ISSN":"0305-1048","PMID":"20880993","abstract":"High-throughput molecular technologies can profile microbial communities at high resolution even in complex environments like the intestinal microbiota. Recent improvements in next-generation sequencing technologies allow for even finer resolution. We compared phylogenetic profiling of both longer (454 Titanium) sequence reads with shorter, but more numerous, paired-end reads (Illumina). For both approaches, we targeted six tandem combinations of 16S rRNA gene variable regions, in microbial DNA extracted from a human faecal sample, in order to investigate their limitations and potentials. In silico evaluations predicted that the V3/V4 and V4/V5 regions would provide the highest classification accuracies for both technologies. However, experimental sequencing of the V3/V4 region revealed significant amplification bias compared to the other regions, emphasising the necessity for experimental validation of primer pairs. The latest developments of 454 and Illumina technologies offered higher resolution compared to their previous versions, and showed relative consistency with each other. However, the majority of the Illumina reads could not be classified down to genus level due to their shorter length and higher error rates beyond 60 nt. Nonetheless, with improved quality and longer reads, the far greater coverage of Illumina promises unparalleled insights into highly diverse and complex environments such as the human gut.","author":[{"dropping-particle":"","family":"Claesson","given":"Marcus J.","non-dropping-particle":"","parse-names":false,"suffix":""},{"dropping-particle":"","family":"Wang","given":"Qiong","non-dropping-particle":"","parse-names":false,"suffix":""},{"dropping-particle":"","family":"O'Sullivan","given":"Orla","non-dropping-particle":"","parse-names":false,"suffix":""},{"dropping-particle":"","family":"Greene-Diniz","given":"Rachel","non-dropping-particle":"","parse-names":false,"suffix":""},{"dropping-particle":"","family":"Cole","given":"James R.","non-dropping-particle":"","parse-names":false,"suffix":""},{"dropping-particle":"","family":"Ross","given":"R. Paul","non-dropping-particle":"","parse-names":false,"suffix":""},{"dropping-particle":"","family":"O'Toole","given":"Paul W.","non-dropping-particle":"","parse-names":false,"suffix":""}],"container-title":"Nucleic Acids Research","id":"ITEM-1","issue":"22","issued":{"date-parts":[["2010","12","1"]]},"page":"e200-e200","title":"Comparison of two next-generation sequencing technologies for resolving highly complex microbiota composition using tandem variable 16S rRNA gene regions","type":"article-journal","volume":"38"},"uris":["http://www.mendeley.com/documents/?uuid=ecfccefa-dc5d-4b3d-8680-8bb7ddd1aaba"]},{"id":"ITEM-2","itemData":{"DOI":"10.1053/j.gastro.2017.06.010","ISSN":"1528-0012","PMID":"28625832","abstract":"BACKGROUND &amp; AIMS Dietary restriction of fermentable carbohydrates (a low FODMAP diet) has been reported to reduce symptoms in some patients with irritable bowel syndrome (IBS). We performed a randomized, placebo-controlled study to determine its effects on symptoms and the fecal microbiota in patients with IBS. METHODS We performed a 2×2 factorial trial of 104 patients with IBS (18-65 years old), based on the Rome III criteria, at 2 hospitals in the United Kingdom. Patients were randomly assigned (blinded) to groups given counselling to follow a sham diet or diet low in FODMAPs for 4 weeks, along with a placebo or multistrain probiotic formulation, resulting in 4 groups (27 receiving sham diet/placebo, 26 receiving sham diet/probiotic, 24 receiving low FODMAP diet /placebo, and 27 receiving low FODMAP diet/probiotic). The sham diet restricted a similar number of staple and non-staple foods as the low FODMAP diet; the diets had similar degrees of difficulty to follow. Dietary counselling was given to patients in all groups and data on foods eaten and compliance were collected. The incidence and severity of 15 gastrointestinal symptoms and overall symptoms were measured daily for 7 days before the study period; along with stool frequency and consistency. At baseline, global and individual symptoms were measured, along with generic and disease-specific health-related quality of life, using standard scoring systems. All data were collected again at 4 weeks, and patients answered questions about adequate symptom relief. Fecal samples were collected at baseline and after 4 weeks and analyzed by quantitative PCR and 16S rRNA sequencing. The co-primary endpoints were adequate relief of symptoms and stool Bifidobacterium species abundance at 4 weeks. RESULTS There was no significant interaction between the interventions in adequate relief of symptoms (P = .52) or Bifidobacterium species (P = .68). In the intention-to-treat analysis, a higher proportion of patients in the low FODMAP diet had adequate symptom relief (57%) than in the sham diet group (38%), although the difference was not statistically significant (P = .051). In the per-protocol analysis, a significantly higher proportion of patients on the low FODMAP diet had adequate symptom relief (61%) than in the sham diet group (39%) (P = .042). Total mean IBS-Severity Scoring System score was significantly lower for patients on the low FODMAP diet (173 ± 95) than the sham diet (224 ± 89) (P = .001), but not…","author":[{"dropping-particle":"","family":"Staudacher","given":"Heidi Maria","non-dropping-particle":"","parse-names":false,"suffix":""},{"dropping-particle":"","family":"Lomer","given":"Miranda C E","non-dropping-particle":"","parse-names":false,"suffix":""},{"dropping-particle":"","family":"Farquharson","given":"Freda M","non-dropping-particle":"","parse-names":false,"suffix":""},{"dropping-particle":"","family":"Louis","given":"Petra","non-dropping-particle":"","parse-names":false,"suffix":""},{"dropping-particle":"","family":"Fava","given":"Francesca","non-dropping-particle":"","parse-names":false,"suffix":""},{"dropping-particle":"","family":"Franciosi","given":"Elena","non-dropping-particle":"","parse-names":false,"suffix":""},{"dropping-particle":"","family":"Scholz","given":"Matthias","non-dropping-particle":"","parse-names":false,"suffix":""},{"dropping-particle":"","family":"Tuohy","given":"Kieran M","non-dropping-particle":"","parse-names":false,"suffix":""},{"dropping-particle":"","family":"Lindsay","given":"James O","non-dropping-particle":"","parse-names":false,"suffix":""},{"dropping-particle":"","family":"Irving","given":"Peter M","non-dropping-particle":"","parse-names":false,"suffix":""},{"dropping-particle":"","family":"Whelan","given":"Kevin","non-dropping-particle":"","parse-names":false,"suffix":""}],"container-title":"Gastroenterology","id":"ITEM-2","issue":"4","issued":{"date-parts":[["2017","10"]]},"page":"936-947","title":"A Diet Low in FODMAPs Reduces Symptoms in Patients With Irritable Bowel Syndrome and A Probiotic Restores Bifidobacterium Species: A Randomized Controlled Trial.","type":"article-journal","volume":"153"},"uris":["http://www.mendeley.com/documents/?uuid=7ddda2c2-c833-3beb-8aa1-54c94fedd52d"]}],"mendeley":{"formattedCitation":"&lt;sup&gt;2,3&lt;/sup&gt;","plainTextFormattedCitation":"2,3","previouslyFormattedCitation":"&lt;sup&gt;1,2&lt;/sup&gt;"},"properties":{"noteIndex":0},"schema":"https://github.com/citation-style-language/schema/raw/master/csl-citation.json"}</w:instrText>
      </w:r>
      <w:r w:rsidRPr="003E68CE">
        <w:rPr>
          <w:rFonts w:asciiTheme="minorBidi" w:hAnsiTheme="minorBidi"/>
        </w:rPr>
        <w:fldChar w:fldCharType="separate"/>
      </w:r>
      <w:r w:rsidRPr="003E68CE">
        <w:rPr>
          <w:rFonts w:asciiTheme="minorBidi" w:hAnsiTheme="minorBidi"/>
          <w:vertAlign w:val="superscript"/>
        </w:rPr>
        <w:t>2,3</w:t>
      </w:r>
      <w:r w:rsidRPr="003E68CE">
        <w:rPr>
          <w:rFonts w:asciiTheme="minorBidi" w:hAnsiTheme="minorBidi"/>
        </w:rPr>
        <w:fldChar w:fldCharType="end"/>
      </w:r>
    </w:p>
    <w:p w14:paraId="52776E39" w14:textId="77777777" w:rsidR="00BD086B" w:rsidRPr="003E68CE" w:rsidRDefault="00BD086B" w:rsidP="00BD086B">
      <w:pPr>
        <w:rPr>
          <w:rFonts w:asciiTheme="minorBidi" w:hAnsiTheme="minorBidi"/>
        </w:rPr>
      </w:pPr>
      <w:r w:rsidRPr="003E68CE">
        <w:rPr>
          <w:rFonts w:asciiTheme="minorBidi" w:hAnsiTheme="minorBidi"/>
        </w:rPr>
        <w:t xml:space="preserve">PCR amplification of each sample was carried out using 25 µl reactions with 0.2 µM of each primer and 12.5 ng template </w:t>
      </w:r>
      <w:proofErr w:type="gramStart"/>
      <w:r w:rsidRPr="003E68CE">
        <w:rPr>
          <w:rFonts w:asciiTheme="minorBidi" w:hAnsiTheme="minorBidi"/>
        </w:rPr>
        <w:t>DNA, and</w:t>
      </w:r>
      <w:proofErr w:type="gramEnd"/>
      <w:r w:rsidRPr="003E68CE">
        <w:rPr>
          <w:rFonts w:asciiTheme="minorBidi" w:hAnsiTheme="minorBidi"/>
        </w:rPr>
        <w:t xml:space="preserve"> employing KAPA HiFi </w:t>
      </w:r>
      <w:proofErr w:type="spellStart"/>
      <w:r w:rsidRPr="003E68CE">
        <w:rPr>
          <w:rFonts w:asciiTheme="minorBidi" w:hAnsiTheme="minorBidi"/>
        </w:rPr>
        <w:t>HotStart</w:t>
      </w:r>
      <w:proofErr w:type="spellEnd"/>
      <w:r w:rsidRPr="003E68CE">
        <w:rPr>
          <w:rFonts w:asciiTheme="minorBidi" w:hAnsiTheme="minorBidi"/>
        </w:rPr>
        <w:t xml:space="preserve"> </w:t>
      </w:r>
      <w:proofErr w:type="spellStart"/>
      <w:r w:rsidRPr="003E68CE">
        <w:rPr>
          <w:rFonts w:asciiTheme="minorBidi" w:hAnsiTheme="minorBidi"/>
        </w:rPr>
        <w:t>ReadyMix</w:t>
      </w:r>
      <w:proofErr w:type="spellEnd"/>
      <w:r w:rsidRPr="003E68CE">
        <w:rPr>
          <w:rFonts w:asciiTheme="minorBidi" w:hAnsiTheme="minorBidi"/>
        </w:rPr>
        <w:t xml:space="preserve">. PCR amplification was carried out using a </w:t>
      </w:r>
      <w:proofErr w:type="spellStart"/>
      <w:r w:rsidRPr="003E68CE">
        <w:rPr>
          <w:rFonts w:asciiTheme="minorBidi" w:hAnsiTheme="minorBidi"/>
        </w:rPr>
        <w:t>GeneAmp</w:t>
      </w:r>
      <w:proofErr w:type="spellEnd"/>
      <w:r w:rsidRPr="003E68CE">
        <w:rPr>
          <w:rFonts w:asciiTheme="minorBidi" w:hAnsiTheme="minorBidi"/>
        </w:rPr>
        <w:t xml:space="preserve"> PCR System 9700 (Thermo Fisher Scientific) with the following steps: one cycle at 94°C for 5 minutes, 30 </w:t>
      </w:r>
      <w:proofErr w:type="gramStart"/>
      <w:r w:rsidRPr="003E68CE">
        <w:rPr>
          <w:rFonts w:asciiTheme="minorBidi" w:hAnsiTheme="minorBidi"/>
        </w:rPr>
        <w:t>cycles  at</w:t>
      </w:r>
      <w:proofErr w:type="gramEnd"/>
      <w:r w:rsidRPr="003E68CE">
        <w:rPr>
          <w:rFonts w:asciiTheme="minorBidi" w:hAnsiTheme="minorBidi"/>
        </w:rPr>
        <w:t xml:space="preserve"> 95°C for 30 seconds, 55°C for 30 seconds,  72°C for 30 seconds and one final elongation step at 72°C for 5 minutes. The PCR products were checked on 1.5% agarose gel and cleaned from free primers and primer dimer using the </w:t>
      </w:r>
      <w:proofErr w:type="spellStart"/>
      <w:r w:rsidRPr="003E68CE">
        <w:rPr>
          <w:rFonts w:asciiTheme="minorBidi" w:hAnsiTheme="minorBidi"/>
        </w:rPr>
        <w:t>Agencourt</w:t>
      </w:r>
      <w:proofErr w:type="spellEnd"/>
      <w:r w:rsidRPr="003E68CE">
        <w:rPr>
          <w:rFonts w:asciiTheme="minorBidi" w:hAnsiTheme="minorBidi"/>
        </w:rPr>
        <w:t xml:space="preserve"> </w:t>
      </w:r>
      <w:proofErr w:type="spellStart"/>
      <w:r w:rsidRPr="003E68CE">
        <w:rPr>
          <w:rFonts w:asciiTheme="minorBidi" w:hAnsiTheme="minorBidi"/>
        </w:rPr>
        <w:t>AMPure</w:t>
      </w:r>
      <w:proofErr w:type="spellEnd"/>
      <w:r w:rsidRPr="003E68CE">
        <w:rPr>
          <w:rFonts w:asciiTheme="minorBidi" w:hAnsiTheme="minorBidi"/>
        </w:rPr>
        <w:t xml:space="preserve"> XP system (Beckman Coulter, Brea, CA, USA) following the manufacturer’s instructions. Subsequently dual indices and Illumina sequencing adapters </w:t>
      </w:r>
      <w:proofErr w:type="spellStart"/>
      <w:r w:rsidRPr="003E68CE">
        <w:rPr>
          <w:rFonts w:asciiTheme="minorBidi" w:hAnsiTheme="minorBidi"/>
        </w:rPr>
        <w:t>Nextera</w:t>
      </w:r>
      <w:proofErr w:type="spellEnd"/>
      <w:r w:rsidRPr="003E68CE">
        <w:rPr>
          <w:rFonts w:asciiTheme="minorBidi" w:hAnsiTheme="minorBidi"/>
        </w:rPr>
        <w:t xml:space="preserve"> XT Index Primer (Illumina) were attached by 7 cycles PCR (16S Metagenomic Sequencing Library Preparation, Illumina). </w:t>
      </w:r>
    </w:p>
    <w:p w14:paraId="4ACC6F87" w14:textId="77777777" w:rsidR="00BD086B" w:rsidRPr="003E68CE" w:rsidRDefault="00BD086B" w:rsidP="00BD086B">
      <w:pPr>
        <w:rPr>
          <w:rFonts w:asciiTheme="minorBidi" w:hAnsiTheme="minorBidi"/>
          <w:b/>
          <w:bCs/>
          <w:u w:val="single"/>
        </w:rPr>
      </w:pPr>
      <w:r w:rsidRPr="003E68CE">
        <w:rPr>
          <w:rFonts w:asciiTheme="minorBidi" w:hAnsiTheme="minorBidi"/>
        </w:rPr>
        <w:t xml:space="preserve">The final libraries were quantified using the Quant-IT </w:t>
      </w:r>
      <w:proofErr w:type="spellStart"/>
      <w:r w:rsidRPr="003E68CE">
        <w:rPr>
          <w:rFonts w:asciiTheme="minorBidi" w:hAnsiTheme="minorBidi"/>
        </w:rPr>
        <w:t>PicoGreen</w:t>
      </w:r>
      <w:proofErr w:type="spellEnd"/>
      <w:r w:rsidRPr="003E68CE">
        <w:rPr>
          <w:rFonts w:asciiTheme="minorBidi" w:hAnsiTheme="minorBidi"/>
        </w:rPr>
        <w:t xml:space="preserve"> dsDNA assay kit (Thermo Fisher Scientific) by the Synergy2 microplate reader (</w:t>
      </w:r>
      <w:proofErr w:type="spellStart"/>
      <w:r w:rsidRPr="003E68CE">
        <w:rPr>
          <w:rFonts w:asciiTheme="minorBidi" w:hAnsiTheme="minorBidi"/>
        </w:rPr>
        <w:t>Biotek</w:t>
      </w:r>
      <w:proofErr w:type="spellEnd"/>
      <w:r w:rsidRPr="003E68CE">
        <w:rPr>
          <w:rFonts w:asciiTheme="minorBidi" w:hAnsiTheme="minorBidi"/>
        </w:rPr>
        <w:t xml:space="preserve">), then libraries were pooled in an equimolar way and </w:t>
      </w:r>
      <w:proofErr w:type="spellStart"/>
      <w:r w:rsidRPr="003E68CE">
        <w:rPr>
          <w:rFonts w:asciiTheme="minorBidi" w:hAnsiTheme="minorBidi"/>
        </w:rPr>
        <w:t>analysed</w:t>
      </w:r>
      <w:proofErr w:type="spellEnd"/>
      <w:r w:rsidRPr="003E68CE">
        <w:rPr>
          <w:rFonts w:asciiTheme="minorBidi" w:hAnsiTheme="minorBidi"/>
        </w:rPr>
        <w:t xml:space="preserve"> on a </w:t>
      </w:r>
      <w:proofErr w:type="spellStart"/>
      <w:r w:rsidRPr="003E68CE">
        <w:rPr>
          <w:rFonts w:asciiTheme="minorBidi" w:hAnsiTheme="minorBidi"/>
        </w:rPr>
        <w:t>Typestation</w:t>
      </w:r>
      <w:proofErr w:type="spellEnd"/>
      <w:r w:rsidRPr="003E68CE">
        <w:rPr>
          <w:rFonts w:asciiTheme="minorBidi" w:hAnsiTheme="minorBidi"/>
        </w:rPr>
        <w:t xml:space="preserve"> 2200 platform (Agilent Technologies, Santa Clara, CA, USA). Barcoded </w:t>
      </w:r>
      <w:proofErr w:type="gramStart"/>
      <w:r w:rsidRPr="003E68CE">
        <w:rPr>
          <w:rFonts w:asciiTheme="minorBidi" w:hAnsiTheme="minorBidi"/>
        </w:rPr>
        <w:t>library</w:t>
      </w:r>
      <w:proofErr w:type="gramEnd"/>
      <w:r w:rsidRPr="003E68CE">
        <w:rPr>
          <w:rFonts w:asciiTheme="minorBidi" w:hAnsiTheme="minorBidi"/>
        </w:rPr>
        <w:t xml:space="preserve"> were sequenced on Illumina® </w:t>
      </w:r>
      <w:proofErr w:type="spellStart"/>
      <w:r w:rsidRPr="003E68CE">
        <w:rPr>
          <w:rFonts w:asciiTheme="minorBidi" w:hAnsiTheme="minorBidi"/>
        </w:rPr>
        <w:t>MiSeq</w:t>
      </w:r>
      <w:proofErr w:type="spellEnd"/>
      <w:r w:rsidRPr="003E68CE">
        <w:rPr>
          <w:rFonts w:asciiTheme="minorBidi" w:hAnsiTheme="minorBidi"/>
        </w:rPr>
        <w:t xml:space="preserve"> (PE300) platform (</w:t>
      </w:r>
      <w:proofErr w:type="spellStart"/>
      <w:r w:rsidRPr="003E68CE">
        <w:rPr>
          <w:rFonts w:asciiTheme="minorBidi" w:hAnsiTheme="minorBidi"/>
        </w:rPr>
        <w:t>MiSeq</w:t>
      </w:r>
      <w:proofErr w:type="spellEnd"/>
      <w:r w:rsidRPr="003E68CE">
        <w:rPr>
          <w:rFonts w:asciiTheme="minorBidi" w:hAnsiTheme="minorBidi"/>
        </w:rPr>
        <w:t xml:space="preserve"> Control Software 2.0.5 and Real-Time Analysis software 1.16.18). Sequences with expected error rate &gt;1.5% were removed from analysis.</w:t>
      </w:r>
    </w:p>
    <w:p w14:paraId="1FDF5A52" w14:textId="77777777" w:rsidR="00BD086B" w:rsidRPr="003E68CE" w:rsidRDefault="00BD086B" w:rsidP="00BD086B">
      <w:pPr>
        <w:rPr>
          <w:rFonts w:asciiTheme="minorBidi" w:hAnsiTheme="minorBidi"/>
          <w:u w:val="single"/>
        </w:rPr>
      </w:pPr>
    </w:p>
    <w:p w14:paraId="5698D22E" w14:textId="77777777" w:rsidR="00BD086B" w:rsidRPr="003E68CE" w:rsidRDefault="00BD086B" w:rsidP="00BD086B">
      <w:pPr>
        <w:rPr>
          <w:rFonts w:asciiTheme="minorBidi" w:hAnsiTheme="minorBidi"/>
          <w:u w:val="single"/>
        </w:rPr>
      </w:pPr>
      <w:r w:rsidRPr="003E68CE">
        <w:rPr>
          <w:rFonts w:asciiTheme="minorBidi" w:hAnsiTheme="minorBidi"/>
          <w:u w:val="single"/>
        </w:rPr>
        <w:t xml:space="preserve">Metagenomics analysis </w:t>
      </w:r>
      <w:proofErr w:type="spellStart"/>
      <w:r w:rsidRPr="003E68CE">
        <w:rPr>
          <w:rFonts w:asciiTheme="minorBidi" w:hAnsiTheme="minorBidi"/>
          <w:u w:val="single"/>
        </w:rPr>
        <w:t>BoosterShot</w:t>
      </w:r>
      <w:proofErr w:type="spellEnd"/>
      <w:r w:rsidRPr="003E68CE">
        <w:rPr>
          <w:rFonts w:asciiTheme="minorBidi" w:hAnsiTheme="minorBidi"/>
          <w:u w:val="single"/>
        </w:rPr>
        <w:t xml:space="preserve"> pipeline</w:t>
      </w:r>
    </w:p>
    <w:p w14:paraId="3FC4191C" w14:textId="77777777" w:rsidR="00BD086B" w:rsidRPr="003E68CE" w:rsidRDefault="00BD086B" w:rsidP="00BD086B">
      <w:pPr>
        <w:rPr>
          <w:rFonts w:asciiTheme="minorBidi" w:hAnsiTheme="minorBidi"/>
        </w:rPr>
      </w:pPr>
      <w:r w:rsidRPr="003E68CE">
        <w:rPr>
          <w:rFonts w:asciiTheme="minorBidi" w:hAnsiTheme="minorBidi"/>
        </w:rPr>
        <w:t>DNA Extraction:</w:t>
      </w:r>
    </w:p>
    <w:p w14:paraId="61041E50" w14:textId="77777777" w:rsidR="00BD086B" w:rsidRPr="003E68CE" w:rsidRDefault="00BD086B" w:rsidP="00BD086B">
      <w:pPr>
        <w:rPr>
          <w:rFonts w:asciiTheme="minorBidi" w:hAnsiTheme="minorBidi"/>
        </w:rPr>
      </w:pPr>
      <w:r w:rsidRPr="003E68CE">
        <w:rPr>
          <w:rFonts w:asciiTheme="minorBidi" w:hAnsiTheme="minorBidi"/>
        </w:rPr>
        <w:t xml:space="preserve">Samples were extracted using MO Bio </w:t>
      </w:r>
      <w:proofErr w:type="spellStart"/>
      <w:r w:rsidRPr="003E68CE">
        <w:rPr>
          <w:rFonts w:asciiTheme="minorBidi" w:hAnsiTheme="minorBidi"/>
        </w:rPr>
        <w:t>PowerFecal</w:t>
      </w:r>
      <w:proofErr w:type="spellEnd"/>
      <w:r w:rsidRPr="003E68CE">
        <w:rPr>
          <w:rFonts w:asciiTheme="minorBidi" w:hAnsiTheme="minorBidi"/>
        </w:rPr>
        <w:t xml:space="preserve"> (</w:t>
      </w:r>
      <w:hyperlink r:id="rId6" w:anchor="orderinginformation" w:history="1">
        <w:r w:rsidRPr="003E68CE">
          <w:rPr>
            <w:rStyle w:val="Hyperlink"/>
            <w:rFonts w:asciiTheme="minorBidi" w:hAnsiTheme="minorBidi"/>
          </w:rPr>
          <w:t>Qiagen</w:t>
        </w:r>
      </w:hyperlink>
      <w:r w:rsidRPr="003E68CE">
        <w:rPr>
          <w:rFonts w:asciiTheme="minorBidi" w:hAnsiTheme="minorBidi"/>
        </w:rPr>
        <w:t xml:space="preserve">) automated for high throughput on </w:t>
      </w:r>
      <w:proofErr w:type="spellStart"/>
      <w:r w:rsidRPr="003E68CE">
        <w:rPr>
          <w:rFonts w:asciiTheme="minorBidi" w:hAnsiTheme="minorBidi"/>
        </w:rPr>
        <w:t>QiaCube</w:t>
      </w:r>
      <w:proofErr w:type="spellEnd"/>
      <w:r w:rsidRPr="003E68CE">
        <w:rPr>
          <w:rFonts w:asciiTheme="minorBidi" w:hAnsiTheme="minorBidi"/>
        </w:rPr>
        <w:t xml:space="preserve"> (</w:t>
      </w:r>
      <w:hyperlink r:id="rId7" w:anchor="orderinginformation" w:history="1">
        <w:r w:rsidRPr="003E68CE">
          <w:rPr>
            <w:rStyle w:val="Hyperlink"/>
            <w:rFonts w:asciiTheme="minorBidi" w:hAnsiTheme="minorBidi"/>
          </w:rPr>
          <w:t>Qiagen</w:t>
        </w:r>
      </w:hyperlink>
      <w:r w:rsidRPr="003E68CE">
        <w:rPr>
          <w:rFonts w:asciiTheme="minorBidi" w:hAnsiTheme="minorBidi"/>
        </w:rPr>
        <w:t>), with bead beating in 0.1mm glass bead plates.</w:t>
      </w:r>
    </w:p>
    <w:p w14:paraId="760BC66A" w14:textId="77777777" w:rsidR="00BD086B" w:rsidRPr="003E68CE" w:rsidRDefault="00BD086B" w:rsidP="00BD086B">
      <w:pPr>
        <w:rPr>
          <w:rFonts w:asciiTheme="minorBidi" w:hAnsiTheme="minorBidi"/>
        </w:rPr>
      </w:pPr>
      <w:r w:rsidRPr="003E68CE">
        <w:rPr>
          <w:rFonts w:asciiTheme="minorBidi" w:hAnsiTheme="minorBidi"/>
        </w:rPr>
        <w:t>DNA Quantification:</w:t>
      </w:r>
    </w:p>
    <w:p w14:paraId="3CC7CB2A" w14:textId="77777777" w:rsidR="00BD086B" w:rsidRPr="003E68CE" w:rsidRDefault="00BD086B" w:rsidP="00BD086B">
      <w:pPr>
        <w:rPr>
          <w:rFonts w:asciiTheme="minorBidi" w:hAnsiTheme="minorBidi"/>
        </w:rPr>
      </w:pPr>
      <w:r w:rsidRPr="003E68CE">
        <w:rPr>
          <w:rFonts w:asciiTheme="minorBidi" w:hAnsiTheme="minorBidi"/>
        </w:rPr>
        <w:t xml:space="preserve">Samples were quantified with </w:t>
      </w:r>
      <w:proofErr w:type="spellStart"/>
      <w:r w:rsidRPr="003E68CE">
        <w:rPr>
          <w:rFonts w:asciiTheme="minorBidi" w:hAnsiTheme="minorBidi"/>
        </w:rPr>
        <w:t>Qiant-iT</w:t>
      </w:r>
      <w:proofErr w:type="spellEnd"/>
      <w:r w:rsidRPr="003E68CE">
        <w:rPr>
          <w:rFonts w:asciiTheme="minorBidi" w:hAnsiTheme="minorBidi"/>
        </w:rPr>
        <w:t xml:space="preserve"> </w:t>
      </w:r>
      <w:proofErr w:type="spellStart"/>
      <w:r w:rsidRPr="003E68CE">
        <w:rPr>
          <w:rFonts w:asciiTheme="minorBidi" w:hAnsiTheme="minorBidi"/>
        </w:rPr>
        <w:t>Picogreen</w:t>
      </w:r>
      <w:proofErr w:type="spellEnd"/>
      <w:r w:rsidRPr="003E68CE">
        <w:rPr>
          <w:rFonts w:asciiTheme="minorBidi" w:hAnsiTheme="minorBidi"/>
        </w:rPr>
        <w:t xml:space="preserve"> dsDNA Assay (</w:t>
      </w:r>
      <w:hyperlink r:id="rId8" w:history="1">
        <w:r w:rsidRPr="003E68CE">
          <w:rPr>
            <w:rStyle w:val="Hyperlink"/>
            <w:rFonts w:asciiTheme="minorBidi" w:hAnsiTheme="minorBidi"/>
          </w:rPr>
          <w:t>Invitrogen</w:t>
        </w:r>
      </w:hyperlink>
      <w:r w:rsidRPr="003E68CE">
        <w:rPr>
          <w:rFonts w:asciiTheme="minorBidi" w:hAnsiTheme="minorBidi"/>
        </w:rPr>
        <w:t>).</w:t>
      </w:r>
    </w:p>
    <w:p w14:paraId="57C9F16F" w14:textId="77777777" w:rsidR="00BD086B" w:rsidRPr="003E68CE" w:rsidRDefault="00BD086B" w:rsidP="00BD086B">
      <w:pPr>
        <w:rPr>
          <w:rFonts w:asciiTheme="minorBidi" w:hAnsiTheme="minorBidi"/>
        </w:rPr>
      </w:pPr>
      <w:r w:rsidRPr="003E68CE">
        <w:rPr>
          <w:rFonts w:asciiTheme="minorBidi" w:hAnsiTheme="minorBidi"/>
        </w:rPr>
        <w:t>Library Preparation &amp; Sequencing</w:t>
      </w:r>
    </w:p>
    <w:p w14:paraId="79400DBB" w14:textId="77777777" w:rsidR="00BD086B" w:rsidRPr="003E68CE" w:rsidRDefault="00BD086B" w:rsidP="00BD086B">
      <w:pPr>
        <w:rPr>
          <w:rFonts w:asciiTheme="minorBidi" w:hAnsiTheme="minorBidi"/>
        </w:rPr>
      </w:pPr>
      <w:r w:rsidRPr="003E68CE">
        <w:rPr>
          <w:rFonts w:asciiTheme="minorBidi" w:hAnsiTheme="minorBidi"/>
        </w:rPr>
        <w:t xml:space="preserve">Libraries were prepared with a procedure adapted from the </w:t>
      </w:r>
      <w:proofErr w:type="spellStart"/>
      <w:r w:rsidRPr="003E68CE">
        <w:rPr>
          <w:rFonts w:asciiTheme="minorBidi" w:hAnsiTheme="minorBidi"/>
        </w:rPr>
        <w:t>Nextera</w:t>
      </w:r>
      <w:proofErr w:type="spellEnd"/>
      <w:r w:rsidRPr="003E68CE">
        <w:rPr>
          <w:rFonts w:asciiTheme="minorBidi" w:hAnsiTheme="minorBidi"/>
        </w:rPr>
        <w:t xml:space="preserve"> Library Prep kit (</w:t>
      </w:r>
      <w:hyperlink r:id="rId9" w:history="1">
        <w:r w:rsidRPr="003E68CE">
          <w:rPr>
            <w:rStyle w:val="Hyperlink"/>
            <w:rFonts w:asciiTheme="minorBidi" w:hAnsiTheme="minorBidi"/>
          </w:rPr>
          <w:t>Illumina</w:t>
        </w:r>
      </w:hyperlink>
      <w:r w:rsidRPr="003E68CE">
        <w:rPr>
          <w:rFonts w:asciiTheme="minorBidi" w:hAnsiTheme="minorBidi"/>
        </w:rPr>
        <w:t xml:space="preserve">). Libraries were sequenced on an Illumina </w:t>
      </w:r>
      <w:proofErr w:type="spellStart"/>
      <w:r w:rsidRPr="003E68CE">
        <w:rPr>
          <w:rFonts w:asciiTheme="minorBidi" w:hAnsiTheme="minorBidi"/>
        </w:rPr>
        <w:t>NextSeq</w:t>
      </w:r>
      <w:proofErr w:type="spellEnd"/>
      <w:r w:rsidRPr="003E68CE">
        <w:rPr>
          <w:rFonts w:asciiTheme="minorBidi" w:hAnsiTheme="minorBidi"/>
        </w:rPr>
        <w:t xml:space="preserve"> using single-end 1 x 145 reads with a </w:t>
      </w:r>
      <w:proofErr w:type="spellStart"/>
      <w:r w:rsidRPr="003E68CE">
        <w:rPr>
          <w:rFonts w:asciiTheme="minorBidi" w:hAnsiTheme="minorBidi"/>
        </w:rPr>
        <w:t>NextSeq</w:t>
      </w:r>
      <w:proofErr w:type="spellEnd"/>
      <w:r w:rsidRPr="003E68CE">
        <w:rPr>
          <w:rFonts w:asciiTheme="minorBidi" w:hAnsiTheme="minorBidi"/>
        </w:rPr>
        <w:t xml:space="preserve"> 500/550 High Output v2 kit (</w:t>
      </w:r>
      <w:hyperlink r:id="rId10" w:history="1">
        <w:r w:rsidRPr="003E68CE">
          <w:rPr>
            <w:rStyle w:val="Hyperlink"/>
            <w:rFonts w:asciiTheme="minorBidi" w:hAnsiTheme="minorBidi"/>
          </w:rPr>
          <w:t>Illumina</w:t>
        </w:r>
      </w:hyperlink>
      <w:r w:rsidRPr="003E68CE">
        <w:rPr>
          <w:rFonts w:asciiTheme="minorBidi" w:hAnsiTheme="minorBidi"/>
        </w:rPr>
        <w:t xml:space="preserve">). </w:t>
      </w:r>
    </w:p>
    <w:p w14:paraId="295BBA0B" w14:textId="77777777" w:rsidR="00BD086B" w:rsidRPr="003E68CE" w:rsidRDefault="00BD086B" w:rsidP="00BD086B">
      <w:pPr>
        <w:rPr>
          <w:rFonts w:asciiTheme="minorBidi" w:hAnsiTheme="minorBidi"/>
        </w:rPr>
      </w:pPr>
      <w:r w:rsidRPr="003E68CE">
        <w:rPr>
          <w:rFonts w:asciiTheme="minorBidi" w:hAnsiTheme="minorBidi"/>
        </w:rPr>
        <w:t>Sequence Quality Control:</w:t>
      </w:r>
    </w:p>
    <w:p w14:paraId="3EFCFC42" w14:textId="77777777" w:rsidR="00BD086B" w:rsidRPr="003E68CE" w:rsidRDefault="00BD086B" w:rsidP="00BD086B">
      <w:pPr>
        <w:rPr>
          <w:rFonts w:asciiTheme="minorBidi" w:hAnsiTheme="minorBidi"/>
        </w:rPr>
      </w:pPr>
      <w:r w:rsidRPr="003E68CE">
        <w:rPr>
          <w:rFonts w:asciiTheme="minorBidi" w:hAnsiTheme="minorBidi"/>
        </w:rPr>
        <w:t xml:space="preserve">DNA sequences were filtered to remove low quality (Q-Score &lt; 20) reads, and for length (&lt; 50), and adapter sequences were trimmed using </w:t>
      </w:r>
      <w:hyperlink r:id="rId11" w:history="1">
        <w:proofErr w:type="spellStart"/>
        <w:r w:rsidRPr="003E68CE">
          <w:rPr>
            <w:rStyle w:val="Hyperlink"/>
            <w:rFonts w:asciiTheme="minorBidi" w:hAnsiTheme="minorBidi"/>
          </w:rPr>
          <w:t>cutadapt</w:t>
        </w:r>
        <w:proofErr w:type="spellEnd"/>
      </w:hyperlink>
      <w:r w:rsidRPr="003E68CE">
        <w:rPr>
          <w:rFonts w:asciiTheme="minorBidi" w:hAnsiTheme="minorBidi"/>
        </w:rPr>
        <w:t xml:space="preserve">. </w:t>
      </w:r>
      <w:proofErr w:type="spellStart"/>
      <w:r w:rsidRPr="003E68CE">
        <w:rPr>
          <w:rFonts w:asciiTheme="minorBidi" w:hAnsiTheme="minorBidi"/>
        </w:rPr>
        <w:t>Fastq</w:t>
      </w:r>
      <w:proofErr w:type="spellEnd"/>
      <w:r w:rsidRPr="003E68CE">
        <w:rPr>
          <w:rFonts w:asciiTheme="minorBidi" w:hAnsiTheme="minorBidi"/>
        </w:rPr>
        <w:t xml:space="preserve"> files were converted a single </w:t>
      </w:r>
      <w:proofErr w:type="spellStart"/>
      <w:r w:rsidRPr="003E68CE">
        <w:rPr>
          <w:rFonts w:asciiTheme="minorBidi" w:hAnsiTheme="minorBidi"/>
        </w:rPr>
        <w:t>fasta</w:t>
      </w:r>
      <w:proofErr w:type="spellEnd"/>
      <w:r w:rsidRPr="003E68CE">
        <w:rPr>
          <w:rFonts w:asciiTheme="minorBidi" w:hAnsiTheme="minorBidi"/>
        </w:rPr>
        <w:t xml:space="preserve"> using </w:t>
      </w:r>
      <w:hyperlink r:id="rId12" w:history="1">
        <w:r w:rsidRPr="003E68CE">
          <w:rPr>
            <w:rStyle w:val="Hyperlink"/>
            <w:rFonts w:asciiTheme="minorBidi" w:hAnsiTheme="minorBidi"/>
          </w:rPr>
          <w:t>shi7</w:t>
        </w:r>
      </w:hyperlink>
      <w:r w:rsidRPr="003E68CE">
        <w:rPr>
          <w:rFonts w:asciiTheme="minorBidi" w:hAnsiTheme="minorBidi"/>
        </w:rPr>
        <w:t>.</w:t>
      </w:r>
    </w:p>
    <w:p w14:paraId="0A6635AA" w14:textId="77777777" w:rsidR="00BD086B" w:rsidRPr="003E68CE" w:rsidRDefault="00BD086B" w:rsidP="00BD086B">
      <w:pPr>
        <w:rPr>
          <w:rFonts w:asciiTheme="minorBidi" w:hAnsiTheme="minorBidi"/>
        </w:rPr>
      </w:pPr>
      <w:r w:rsidRPr="003E68CE">
        <w:rPr>
          <w:rFonts w:asciiTheme="minorBidi" w:hAnsiTheme="minorBidi"/>
        </w:rPr>
        <w:t>OTU Picking:</w:t>
      </w:r>
    </w:p>
    <w:p w14:paraId="0E256B64" w14:textId="77777777" w:rsidR="00BD086B" w:rsidRPr="003E68CE" w:rsidRDefault="00BD086B" w:rsidP="00BD086B">
      <w:pPr>
        <w:rPr>
          <w:rFonts w:asciiTheme="minorBidi" w:hAnsiTheme="minorBidi"/>
          <w:iCs/>
        </w:rPr>
      </w:pPr>
      <w:r w:rsidRPr="003E68CE">
        <w:rPr>
          <w:rFonts w:asciiTheme="minorBidi" w:hAnsiTheme="minorBidi"/>
        </w:rPr>
        <w:t xml:space="preserve">DNA sequences were aligned to a curated database containing all representative genomes in </w:t>
      </w:r>
      <w:hyperlink r:id="rId13" w:history="1">
        <w:proofErr w:type="spellStart"/>
        <w:r w:rsidRPr="003E68CE">
          <w:rPr>
            <w:rStyle w:val="Hyperlink"/>
            <w:rFonts w:asciiTheme="minorBidi" w:hAnsiTheme="minorBidi"/>
          </w:rPr>
          <w:t>RefSeq</w:t>
        </w:r>
        <w:proofErr w:type="spellEnd"/>
      </w:hyperlink>
      <w:r w:rsidRPr="003E68CE">
        <w:rPr>
          <w:rFonts w:asciiTheme="minorBidi" w:hAnsiTheme="minorBidi"/>
        </w:rPr>
        <w:t xml:space="preserve"> for bacteria with additional manually curated strains. Alignments were made at 98% identity against all reference genomes. Each input sequence was </w:t>
      </w:r>
      <w:r w:rsidRPr="003E68CE">
        <w:rPr>
          <w:rFonts w:asciiTheme="minorBidi" w:hAnsiTheme="minorBidi"/>
        </w:rPr>
        <w:lastRenderedPageBreak/>
        <w:t xml:space="preserve">compared to each reference sequence in </w:t>
      </w:r>
      <w:proofErr w:type="spellStart"/>
      <w:r w:rsidRPr="003E68CE">
        <w:rPr>
          <w:rFonts w:asciiTheme="minorBidi" w:hAnsiTheme="minorBidi"/>
        </w:rPr>
        <w:t>CoreBiome’s</w:t>
      </w:r>
      <w:proofErr w:type="spellEnd"/>
      <w:r w:rsidRPr="003E68CE">
        <w:rPr>
          <w:rFonts w:asciiTheme="minorBidi" w:hAnsiTheme="minorBidi"/>
        </w:rPr>
        <w:t xml:space="preserve"> Venti database using full gapped alignment with </w:t>
      </w:r>
      <w:hyperlink r:id="rId14" w:history="1">
        <w:r w:rsidRPr="003E68CE">
          <w:rPr>
            <w:rStyle w:val="Hyperlink"/>
            <w:rFonts w:asciiTheme="minorBidi" w:hAnsiTheme="minorBidi"/>
          </w:rPr>
          <w:t>Burst</w:t>
        </w:r>
      </w:hyperlink>
      <w:r w:rsidRPr="003E68CE">
        <w:rPr>
          <w:rFonts w:asciiTheme="minorBidi" w:hAnsiTheme="minorBidi"/>
        </w:rPr>
        <w:t>. Ties were broken by minimizing the overall number of unique gene hits. For taxonomy assignment, each input sequence was assigned the lowest common ancestor that was consistent across at least 80% of all reference sequences tied for best hit. The number of counts for each taxon was then normalized to the average genome length. Species accounting for less 1X10</w:t>
      </w:r>
      <w:r w:rsidRPr="003E68CE">
        <w:rPr>
          <w:rFonts w:asciiTheme="minorBidi" w:hAnsiTheme="minorBidi"/>
          <w:vertAlign w:val="superscript"/>
        </w:rPr>
        <w:t>-6</w:t>
      </w:r>
      <w:r w:rsidRPr="003E68CE">
        <w:rPr>
          <w:rFonts w:asciiTheme="minorBidi" w:hAnsiTheme="minorBidi"/>
        </w:rPr>
        <w:t xml:space="preserve"> of all species-level markers were discarded. Samples with fewer than 1,000 sequences were also discarded. The normalized and filtered tables were used for all downstream analyses.</w:t>
      </w:r>
    </w:p>
    <w:p w14:paraId="4C958A62" w14:textId="77777777" w:rsidR="00BD086B" w:rsidRPr="003E68CE" w:rsidRDefault="00BD086B" w:rsidP="00BD086B">
      <w:pPr>
        <w:rPr>
          <w:rFonts w:asciiTheme="minorBidi" w:hAnsiTheme="minorBidi"/>
          <w:iCs/>
        </w:rPr>
      </w:pPr>
      <w:r w:rsidRPr="003E68CE">
        <w:rPr>
          <w:rFonts w:asciiTheme="minorBidi" w:hAnsiTheme="minorBidi"/>
          <w:iCs/>
        </w:rPr>
        <w:t>Functional Genome Content:</w:t>
      </w:r>
    </w:p>
    <w:p w14:paraId="1FEAAE24" w14:textId="77777777" w:rsidR="00BD086B" w:rsidRPr="003E68CE" w:rsidRDefault="00BD086B" w:rsidP="00BD086B">
      <w:pPr>
        <w:rPr>
          <w:rFonts w:asciiTheme="minorBidi" w:hAnsiTheme="minorBidi"/>
        </w:rPr>
      </w:pPr>
      <w:r w:rsidRPr="003E68CE">
        <w:rPr>
          <w:rFonts w:asciiTheme="minorBidi" w:hAnsiTheme="minorBidi"/>
        </w:rPr>
        <w:t xml:space="preserve">Functional groups were observed directly using Kyoto Encyclopedia of Genes and Genome </w:t>
      </w:r>
      <w:proofErr w:type="spellStart"/>
      <w:r w:rsidRPr="003E68CE">
        <w:rPr>
          <w:rFonts w:asciiTheme="minorBidi" w:hAnsiTheme="minorBidi"/>
        </w:rPr>
        <w:t>Orthology</w:t>
      </w:r>
      <w:proofErr w:type="spellEnd"/>
      <w:r w:rsidRPr="003E68CE">
        <w:rPr>
          <w:rFonts w:asciiTheme="minorBidi" w:hAnsiTheme="minorBidi"/>
        </w:rPr>
        <w:t xml:space="preserve"> groups (</w:t>
      </w:r>
      <w:hyperlink r:id="rId15" w:history="1">
        <w:r w:rsidRPr="003E68CE">
          <w:rPr>
            <w:rStyle w:val="Hyperlink"/>
            <w:rFonts w:asciiTheme="minorBidi" w:hAnsiTheme="minorBidi"/>
          </w:rPr>
          <w:t>KEGG KOs</w:t>
        </w:r>
      </w:hyperlink>
      <w:r w:rsidRPr="003E68CE">
        <w:rPr>
          <w:rFonts w:asciiTheme="minorBidi" w:hAnsiTheme="minorBidi"/>
        </w:rPr>
        <w:t xml:space="preserve">) by alignment against a gene database derived from the strain database used above. </w:t>
      </w:r>
    </w:p>
    <w:p w14:paraId="1D843003" w14:textId="77777777" w:rsidR="00FA0DF8" w:rsidRDefault="00FA0DF8"/>
    <w:sectPr w:rsidR="00FA0DF8">
      <w:head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050FD" w14:textId="77777777" w:rsidR="00723695" w:rsidRDefault="00723695" w:rsidP="00BD086B">
      <w:r>
        <w:separator/>
      </w:r>
    </w:p>
  </w:endnote>
  <w:endnote w:type="continuationSeparator" w:id="0">
    <w:p w14:paraId="2553277E" w14:textId="77777777" w:rsidR="00723695" w:rsidRDefault="00723695" w:rsidP="00BD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72223" w14:textId="77777777" w:rsidR="00723695" w:rsidRDefault="00723695" w:rsidP="00BD086B">
      <w:r>
        <w:separator/>
      </w:r>
    </w:p>
  </w:footnote>
  <w:footnote w:type="continuationSeparator" w:id="0">
    <w:p w14:paraId="7977FC79" w14:textId="77777777" w:rsidR="00723695" w:rsidRDefault="00723695" w:rsidP="00BD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7A29" w14:textId="77777777" w:rsidR="00BD086B" w:rsidRPr="00BD086B" w:rsidRDefault="00BD086B" w:rsidP="00BD086B">
    <w:pPr>
      <w:spacing w:line="360" w:lineRule="auto"/>
      <w:jc w:val="center"/>
      <w:rPr>
        <w:rFonts w:asciiTheme="minorBidi" w:hAnsiTheme="minorBidi"/>
        <w:color w:val="000000" w:themeColor="text1"/>
        <w:sz w:val="21"/>
        <w:szCs w:val="21"/>
      </w:rPr>
    </w:pPr>
    <w:r w:rsidRPr="00BD086B">
      <w:rPr>
        <w:rFonts w:asciiTheme="minorBidi" w:hAnsiTheme="minorBidi"/>
        <w:b/>
        <w:bCs/>
        <w:color w:val="000000" w:themeColor="text1"/>
        <w:sz w:val="22"/>
        <w:szCs w:val="22"/>
      </w:rPr>
      <w:t xml:space="preserve">The effects of the Green-Mediterranean diet on cardiometabolic health are linked to gut microbiome </w:t>
    </w:r>
    <w:proofErr w:type="gramStart"/>
    <w:r w:rsidRPr="00BD086B">
      <w:rPr>
        <w:rFonts w:asciiTheme="minorBidi" w:hAnsiTheme="minorBidi"/>
        <w:b/>
        <w:bCs/>
        <w:color w:val="000000" w:themeColor="text1"/>
        <w:sz w:val="22"/>
        <w:szCs w:val="22"/>
      </w:rPr>
      <w:t>modifications;</w:t>
    </w:r>
    <w:proofErr w:type="gramEnd"/>
    <w:r w:rsidRPr="00BD086B">
      <w:rPr>
        <w:rFonts w:asciiTheme="minorBidi" w:hAnsiTheme="minorBidi"/>
        <w:b/>
        <w:bCs/>
        <w:color w:val="000000" w:themeColor="text1"/>
        <w:sz w:val="22"/>
        <w:szCs w:val="22"/>
      </w:rPr>
      <w:t xml:space="preserve"> a </w:t>
    </w:r>
    <w:r w:rsidRPr="00BD086B">
      <w:rPr>
        <w:rFonts w:ascii="Calibri" w:hAnsi="Calibri" w:cs="Calibri"/>
        <w:b/>
        <w:bCs/>
        <w:color w:val="000000" w:themeColor="text1"/>
        <w:sz w:val="22"/>
        <w:szCs w:val="22"/>
      </w:rPr>
      <w:t>﻿</w:t>
    </w:r>
    <w:r w:rsidRPr="00BD086B">
      <w:rPr>
        <w:rFonts w:asciiTheme="minorBidi" w:hAnsiTheme="minorBidi"/>
        <w:b/>
        <w:bCs/>
        <w:color w:val="000000" w:themeColor="text1"/>
        <w:sz w:val="22"/>
        <w:szCs w:val="22"/>
      </w:rPr>
      <w:t>randomized controlled trial</w:t>
    </w:r>
  </w:p>
  <w:p w14:paraId="09B3350E" w14:textId="77777777" w:rsidR="00BD086B" w:rsidRPr="00BD086B" w:rsidRDefault="00BD086B">
    <w:pPr>
      <w:pStyle w:val="Header"/>
      <w:rPr>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86B"/>
    <w:rsid w:val="00390C6D"/>
    <w:rsid w:val="00467296"/>
    <w:rsid w:val="00723695"/>
    <w:rsid w:val="00BD086B"/>
    <w:rsid w:val="00EC399A"/>
    <w:rsid w:val="00FA0DF8"/>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4:docId w14:val="7964CC36"/>
  <w15:chartTrackingRefBased/>
  <w15:docId w15:val="{4F54752B-B660-0648-84D1-DCAD152B8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L"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86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86B"/>
    <w:rPr>
      <w:color w:val="0563C1" w:themeColor="hyperlink"/>
      <w:u w:val="single"/>
    </w:rPr>
  </w:style>
  <w:style w:type="paragraph" w:styleId="Header">
    <w:name w:val="header"/>
    <w:basedOn w:val="Normal"/>
    <w:link w:val="HeaderChar"/>
    <w:uiPriority w:val="99"/>
    <w:unhideWhenUsed/>
    <w:rsid w:val="00BD086B"/>
    <w:pPr>
      <w:tabs>
        <w:tab w:val="center" w:pos="4680"/>
        <w:tab w:val="right" w:pos="9360"/>
      </w:tabs>
    </w:pPr>
  </w:style>
  <w:style w:type="character" w:customStyle="1" w:styleId="HeaderChar">
    <w:name w:val="Header Char"/>
    <w:basedOn w:val="DefaultParagraphFont"/>
    <w:link w:val="Header"/>
    <w:uiPriority w:val="99"/>
    <w:rsid w:val="00BD086B"/>
    <w:rPr>
      <w:lang w:val="en-US"/>
    </w:rPr>
  </w:style>
  <w:style w:type="paragraph" w:styleId="Footer">
    <w:name w:val="footer"/>
    <w:basedOn w:val="Normal"/>
    <w:link w:val="FooterChar"/>
    <w:uiPriority w:val="99"/>
    <w:unhideWhenUsed/>
    <w:rsid w:val="00BD086B"/>
    <w:pPr>
      <w:tabs>
        <w:tab w:val="center" w:pos="4680"/>
        <w:tab w:val="right" w:pos="9360"/>
      </w:tabs>
    </w:pPr>
  </w:style>
  <w:style w:type="character" w:customStyle="1" w:styleId="FooterChar">
    <w:name w:val="Footer Char"/>
    <w:basedOn w:val="DefaultParagraphFont"/>
    <w:link w:val="Footer"/>
    <w:uiPriority w:val="99"/>
    <w:rsid w:val="00BD08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rmofisher.com/order/catalog/product/P7589" TargetMode="External"/><Relationship Id="rId13" Type="http://schemas.openxmlformats.org/officeDocument/2006/relationships/hyperlink" Target="https://www.ncbi.nlm.nih.gov/refseq"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qiagen.com/us/shop/automated-solutions/sample-preparation/qiacube/" TargetMode="External"/><Relationship Id="rId12" Type="http://schemas.openxmlformats.org/officeDocument/2006/relationships/hyperlink" Target="https://github.com/knights-lab/shi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qiagen.com/us/shop/sample-technologies/dna/genomic-dna/qiaamp-powerfecal-dna-kit/?cmpid=COECM_MOBIO_Branded_1707_SEA_PowerFecal__&amp;kwid=+power%20+fecal&amp;gclid=EAIaIQobChMIkuCfoo2s3gIVQbXACh1YZATFEAAYASAAEgIgu_D_BwE&amp;clear=true" TargetMode="External"/><Relationship Id="rId11" Type="http://schemas.openxmlformats.org/officeDocument/2006/relationships/hyperlink" Target="http://cutadapt.readthedocs.io/en/stable/guide.html" TargetMode="External"/><Relationship Id="rId5" Type="http://schemas.openxmlformats.org/officeDocument/2006/relationships/endnotes" Target="endnotes.xml"/><Relationship Id="rId15" Type="http://schemas.openxmlformats.org/officeDocument/2006/relationships/hyperlink" Target="https://www.genome.jp/kegg/" TargetMode="External"/><Relationship Id="rId10" Type="http://schemas.openxmlformats.org/officeDocument/2006/relationships/hyperlink" Target="https://www.illumina.com/products/by-type/sequencing-kits/cluster-gen-sequencing-reagents/nextseq-series-kits-v2.html" TargetMode="External"/><Relationship Id="rId4" Type="http://schemas.openxmlformats.org/officeDocument/2006/relationships/footnotes" Target="footnotes.xml"/><Relationship Id="rId9" Type="http://schemas.openxmlformats.org/officeDocument/2006/relationships/hyperlink" Target="https://www.illumina.com/products/by-type/sequencing-kits/library-prep-kits/nextera-dna.html" TargetMode="External"/><Relationship Id="rId14" Type="http://schemas.openxmlformats.org/officeDocument/2006/relationships/hyperlink" Target="https://github.com/knights-lab/BUR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2266</Words>
  <Characters>12918</Characters>
  <Application>Microsoft Office Word</Application>
  <DocSecurity>0</DocSecurity>
  <Lines>107</Lines>
  <Paragraphs>30</Paragraphs>
  <ScaleCrop>false</ScaleCrop>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ehud rinott</dc:creator>
  <cp:keywords/>
  <dc:description/>
  <cp:lastModifiedBy>ehud rinott</cp:lastModifiedBy>
  <cp:revision>2</cp:revision>
  <dcterms:created xsi:type="dcterms:W3CDTF">2021-12-04T15:38:00Z</dcterms:created>
  <dcterms:modified xsi:type="dcterms:W3CDTF">2021-12-04T16:03:00Z</dcterms:modified>
</cp:coreProperties>
</file>