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8"/>
          <w:szCs w:val="28"/>
          <w:rtl w:val="0"/>
        </w:rPr>
        <w:t xml:space="preserve">Clinical implementation of RNA sequencing for Mendelian disease diagnostic</w:t>
      </w:r>
      <w:r w:rsidDel="00000000" w:rsidR="00000000" w:rsidRPr="00000000">
        <w:rPr>
          <w:rFonts w:ascii="Times New Roman" w:cs="Times New Roman" w:eastAsia="Times New Roman" w:hAnsi="Times New Roman"/>
          <w:b w:val="1"/>
          <w:sz w:val="28"/>
          <w:szCs w:val="28"/>
          <w:rtl w:val="0"/>
        </w:rPr>
        <w:t xml:space="preserve">s</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pageBreakBefore w:val="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Additional file 2</w:t>
      </w:r>
    </w:p>
    <w:p w:rsidR="00000000" w:rsidDel="00000000" w:rsidP="00000000" w:rsidRDefault="00000000" w:rsidRPr="00000000" w14:paraId="00000004">
      <w:pPr>
        <w:pageBreakBefore w:val="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5">
      <w:pPr>
        <w:pageBreakBefore w:val="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6">
      <w:pPr>
        <w:pageBreakBefore w:val="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5886450" cy="3340100"/>
            <wp:effectExtent b="0" l="0" r="0" t="0"/>
            <wp:docPr id="8" name="image4.png"/>
            <a:graphic>
              <a:graphicData uri="http://schemas.openxmlformats.org/drawingml/2006/picture">
                <pic:pic>
                  <pic:nvPicPr>
                    <pic:cNvPr id="0" name="image4.png"/>
                    <pic:cNvPicPr preferRelativeResize="0"/>
                  </pic:nvPicPr>
                  <pic:blipFill>
                    <a:blip r:embed="rId6"/>
                    <a:srcRect b="0" l="961" r="0" t="0"/>
                    <a:stretch>
                      <a:fillRect/>
                    </a:stretch>
                  </pic:blipFill>
                  <pic:spPr>
                    <a:xfrm>
                      <a:off x="0" y="0"/>
                      <a:ext cx="588645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pageBreakBefore w:val="0"/>
        <w:jc w:val="both"/>
        <w:rPr>
          <w:sz w:val="16"/>
          <w:szCs w:val="16"/>
        </w:rPr>
      </w:pPr>
      <w:r w:rsidDel="00000000" w:rsidR="00000000" w:rsidRPr="00000000">
        <w:rPr>
          <w:rFonts w:ascii="Times New Roman" w:cs="Times New Roman" w:eastAsia="Times New Roman" w:hAnsi="Times New Roman"/>
          <w:b w:val="1"/>
          <w:sz w:val="24"/>
          <w:szCs w:val="24"/>
          <w:rtl w:val="0"/>
        </w:rPr>
        <w:t xml:space="preserve">Fig. S</w:t>
      </w: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b w:val="1"/>
          <w:sz w:val="24"/>
          <w:szCs w:val="24"/>
          <w:rtl w:val="0"/>
        </w:rPr>
        <w:t xml:space="preserve">: Overview of the study. </w:t>
      </w:r>
      <w:r w:rsidDel="00000000" w:rsidR="00000000" w:rsidRPr="00000000">
        <w:rPr>
          <w:rFonts w:ascii="Times New Roman" w:cs="Times New Roman" w:eastAsia="Times New Roman" w:hAnsi="Times New Roman"/>
          <w:sz w:val="24"/>
          <w:szCs w:val="24"/>
          <w:rtl w:val="0"/>
        </w:rPr>
        <w:t xml:space="preserve">A total of</w:t>
      </w:r>
      <w:r w:rsidDel="00000000" w:rsidR="00000000" w:rsidRPr="00000000">
        <w:rPr>
          <w:rFonts w:ascii="Times New Roman" w:cs="Times New Roman" w:eastAsia="Times New Roman" w:hAnsi="Times New Roman"/>
          <w:sz w:val="24"/>
          <w:szCs w:val="24"/>
          <w:rtl w:val="0"/>
        </w:rPr>
        <w:t xml:space="preserve"> 303 patients have undergone WES analysis beforehand, which was inconclusive for 197. Systematic detection of aberrant events and consequent analysis led to genetic diagnosis in </w:t>
      </w:r>
      <w:r w:rsidDel="00000000" w:rsidR="00000000" w:rsidRPr="00000000">
        <w:rPr>
          <w:rFonts w:ascii="Times New Roman" w:cs="Times New Roman" w:eastAsia="Times New Roman" w:hAnsi="Times New Roman"/>
          <w:sz w:val="24"/>
          <w:szCs w:val="24"/>
          <w:rtl w:val="0"/>
        </w:rPr>
        <w:t xml:space="preserve">32 (16%</w:t>
      </w:r>
      <w:r w:rsidDel="00000000" w:rsidR="00000000" w:rsidRPr="00000000">
        <w:rPr>
          <w:rFonts w:ascii="Times New Roman" w:cs="Times New Roman" w:eastAsia="Times New Roman" w:hAnsi="Times New Roman"/>
          <w:sz w:val="24"/>
          <w:szCs w:val="24"/>
          <w:rtl w:val="0"/>
        </w:rPr>
        <w:t xml:space="preserve"> of the WES-undiagnosed cases) by establishing a genotype-phenotype association, and pinpoint a candidate gene in </w:t>
      </w:r>
      <w:r w:rsidDel="00000000" w:rsidR="00000000" w:rsidRPr="00000000">
        <w:rPr>
          <w:rFonts w:ascii="Times New Roman" w:cs="Times New Roman" w:eastAsia="Times New Roman" w:hAnsi="Times New Roman"/>
          <w:sz w:val="24"/>
          <w:szCs w:val="24"/>
          <w:rtl w:val="0"/>
        </w:rPr>
        <w:t xml:space="preserve">11 (5%</w:t>
      </w:r>
      <w:r w:rsidDel="00000000" w:rsidR="00000000" w:rsidRPr="00000000">
        <w:rPr>
          <w:rFonts w:ascii="Times New Roman" w:cs="Times New Roman" w:eastAsia="Times New Roman" w:hAnsi="Times New Roman"/>
          <w:sz w:val="24"/>
          <w:szCs w:val="24"/>
          <w:rtl w:val="0"/>
        </w:rPr>
        <w:t xml:space="preserve"> of the WES-undiagnosed cases), suggesting the discovery of novel disease-genes and more complex pathomechanisms (right). A transcript defect was also detected in </w:t>
      </w:r>
      <w:r w:rsidDel="00000000" w:rsidR="00000000" w:rsidRPr="00000000">
        <w:rPr>
          <w:rFonts w:ascii="Times New Roman" w:cs="Times New Roman" w:eastAsia="Times New Roman" w:hAnsi="Times New Roman"/>
          <w:sz w:val="24"/>
          <w:szCs w:val="24"/>
          <w:rtl w:val="0"/>
        </w:rPr>
        <w:t xml:space="preserve">27 out of 32 (84%</w:t>
      </w:r>
      <w:r w:rsidDel="00000000" w:rsidR="00000000" w:rsidRPr="00000000">
        <w:rPr>
          <w:rFonts w:ascii="Times New Roman" w:cs="Times New Roman" w:eastAsia="Times New Roman" w:hAnsi="Times New Roman"/>
          <w:sz w:val="24"/>
          <w:szCs w:val="24"/>
          <w:rtl w:val="0"/>
        </w:rPr>
        <w:t xml:space="preserve">) of the WES-diagnosed cases carrying pathogenic protein-truncating variants (left). PTV: protein-truncating variant.</w:t>
      </w:r>
      <w:r w:rsidDel="00000000" w:rsidR="00000000" w:rsidRPr="00000000">
        <w:br w:type="page"/>
      </w:r>
      <w:r w:rsidDel="00000000" w:rsidR="00000000" w:rsidRPr="00000000">
        <w:rPr>
          <w:rtl w:val="0"/>
        </w:rPr>
      </w:r>
    </w:p>
    <w:p w:rsidR="00000000" w:rsidDel="00000000" w:rsidP="00000000" w:rsidRDefault="00000000" w:rsidRPr="00000000" w14:paraId="00000009">
      <w:pPr>
        <w:pageBreakBefore w:val="0"/>
        <w:jc w:val="center"/>
        <w:rPr>
          <w:b w:val="1"/>
        </w:rPr>
      </w:pPr>
      <w:r w:rsidDel="00000000" w:rsidR="00000000" w:rsidRPr="00000000">
        <w:rPr/>
        <w:drawing>
          <wp:inline distB="114300" distT="114300" distL="114300" distR="114300">
            <wp:extent cx="5376863" cy="5376863"/>
            <wp:effectExtent b="0" l="0" r="0" t="0"/>
            <wp:docPr id="11"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5376863" cy="5376863"/>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pageBreakBefore w:val="0"/>
        <w:jc w:val="both"/>
        <w:rPr/>
      </w:pPr>
      <w:r w:rsidDel="00000000" w:rsidR="00000000" w:rsidRPr="00000000">
        <w:rPr>
          <w:rFonts w:ascii="Times New Roman" w:cs="Times New Roman" w:eastAsia="Times New Roman" w:hAnsi="Times New Roman"/>
          <w:b w:val="1"/>
          <w:sz w:val="24"/>
          <w:szCs w:val="24"/>
          <w:rtl w:val="0"/>
        </w:rPr>
        <w:t xml:space="preserve">Fig. S</w:t>
      </w:r>
      <w:r w:rsidDel="00000000" w:rsidR="00000000" w:rsidRPr="00000000">
        <w:rPr>
          <w:rFonts w:ascii="Times New Roman" w:cs="Times New Roman" w:eastAsia="Times New Roman" w:hAnsi="Times New Roman"/>
          <w:b w:val="1"/>
          <w:sz w:val="24"/>
          <w:szCs w:val="24"/>
          <w:rtl w:val="0"/>
        </w:rPr>
        <w:t xml:space="preserve">2: Quality control. (A)</w:t>
      </w:r>
      <w:r w:rsidDel="00000000" w:rsidR="00000000" w:rsidRPr="00000000">
        <w:rPr>
          <w:rFonts w:ascii="Times New Roman" w:cs="Times New Roman" w:eastAsia="Times New Roman" w:hAnsi="Times New Roman"/>
          <w:sz w:val="24"/>
          <w:szCs w:val="24"/>
          <w:rtl w:val="0"/>
        </w:rPr>
        <w:t xml:space="preserve"> Distribution of the total sequencing depth per sample ranging from 50 – 165 million reads.</w:t>
      </w:r>
      <w:r w:rsidDel="00000000" w:rsidR="00000000" w:rsidRPr="00000000">
        <w:rPr>
          <w:rFonts w:ascii="Times New Roman" w:cs="Times New Roman" w:eastAsia="Times New Roman" w:hAnsi="Times New Roman"/>
          <w:sz w:val="24"/>
          <w:szCs w:val="24"/>
          <w:rtl w:val="0"/>
        </w:rPr>
        <w:t xml:space="preserve"> The dashed line represents the median at 90 million. </w:t>
      </w: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Distribution of the high quality exonic ratio per sample, defined as the high quality exonic reads divided by the total high quality reads (exonic + intronic + intergenic).</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Number of expressed genes cumulative across all the samples from the non strand-specific and the strand-specific cohorts. Colors represent the genes expressed on each sample (red), the union of all detected genes (blue), the intersection of expressed genes (green), and the genes that passed the minimum FPKM filter as a group (violet).</w:t>
      </w:r>
      <w:r w:rsidDel="00000000" w:rsidR="00000000" w:rsidRPr="00000000">
        <w:br w:type="page"/>
      </w:r>
      <w:r w:rsidDel="00000000" w:rsidR="00000000" w:rsidRPr="00000000">
        <w:rPr>
          <w:rtl w:val="0"/>
        </w:rPr>
      </w:r>
    </w:p>
    <w:p w:rsidR="00000000" w:rsidDel="00000000" w:rsidP="00000000" w:rsidRDefault="00000000" w:rsidRPr="00000000" w14:paraId="0000000B">
      <w:pPr>
        <w:pageBreakBefore w:val="0"/>
        <w:jc w:val="left"/>
        <w:rPr/>
      </w:pPr>
      <w:r w:rsidDel="00000000" w:rsidR="00000000" w:rsidRPr="00000000">
        <w:rPr>
          <w:rtl w:val="0"/>
        </w:rPr>
      </w:r>
    </w:p>
    <w:p w:rsidR="00000000" w:rsidDel="00000000" w:rsidP="00000000" w:rsidRDefault="00000000" w:rsidRPr="00000000" w14:paraId="0000000C">
      <w:pPr>
        <w:pageBreakBefore w:val="0"/>
        <w:jc w:val="center"/>
        <w:rPr/>
      </w:pPr>
      <w:r w:rsidDel="00000000" w:rsidR="00000000" w:rsidRPr="00000000">
        <w:rPr/>
        <w:drawing>
          <wp:inline distB="114300" distT="114300" distL="114300" distR="114300">
            <wp:extent cx="4900613" cy="4900613"/>
            <wp:effectExtent b="0" l="0" r="0" t="0"/>
            <wp:docPr id="1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4900613" cy="4900613"/>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S</w:t>
      </w:r>
      <w:r w:rsidDel="00000000" w:rsidR="00000000" w:rsidRPr="00000000">
        <w:rPr>
          <w:rFonts w:ascii="Times New Roman" w:cs="Times New Roman" w:eastAsia="Times New Roman" w:hAnsi="Times New Roman"/>
          <w:b w:val="1"/>
          <w:sz w:val="24"/>
          <w:szCs w:val="24"/>
          <w:rtl w:val="0"/>
        </w:rPr>
        <w:t xml:space="preserve">3. DNA-RNA sample matching.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Distribution of the proportion</w:t>
      </w:r>
      <w:r w:rsidDel="00000000" w:rsidR="00000000" w:rsidRPr="00000000">
        <w:rPr>
          <w:rFonts w:ascii="Times New Roman" w:cs="Times New Roman" w:eastAsia="Times New Roman" w:hAnsi="Times New Roman"/>
          <w:sz w:val="24"/>
          <w:szCs w:val="24"/>
          <w:rtl w:val="0"/>
        </w:rPr>
        <w:t xml:space="preserve"> of matching DNA-RNA variants when comparing all sample</w:t>
      </w:r>
      <w:r w:rsidDel="00000000" w:rsidR="00000000" w:rsidRPr="00000000">
        <w:rPr>
          <w:rFonts w:ascii="Times New Roman" w:cs="Times New Roman" w:eastAsia="Times New Roman" w:hAnsi="Times New Roman"/>
          <w:sz w:val="24"/>
          <w:szCs w:val="24"/>
          <w:rtl w:val="0"/>
        </w:rPr>
        <w:t xml:space="preserve"> combinations, stratified by the DNA-RNA sample pairs that were originally annotated to match, to not match, and that were fixed after applying the matching algorithm from DROP (n=10). A cutoff of 0.7 distinctly separated the matching with the non-matching pairs.</w:t>
      </w:r>
    </w:p>
    <w:p w:rsidR="00000000" w:rsidDel="00000000" w:rsidP="00000000" w:rsidRDefault="00000000" w:rsidRPr="00000000" w14:paraId="0000000E">
      <w:pPr>
        <w:pageBreakBefore w:val="0"/>
        <w:jc w:val="center"/>
        <w:rPr/>
      </w:pPr>
      <w:r w:rsidDel="00000000" w:rsidR="00000000" w:rsidRPr="00000000">
        <w:rPr/>
        <w:drawing>
          <wp:inline distB="114300" distT="114300" distL="114300" distR="114300">
            <wp:extent cx="5943600" cy="5283200"/>
            <wp:effectExtent b="0" l="0" r="0" t="0"/>
            <wp:docPr id="5" name="image13.png"/>
            <a:graphic>
              <a:graphicData uri="http://schemas.openxmlformats.org/drawingml/2006/picture">
                <pic:pic>
                  <pic:nvPicPr>
                    <pic:cNvPr id="0" name="image13.png"/>
                    <pic:cNvPicPr preferRelativeResize="0"/>
                  </pic:nvPicPr>
                  <pic:blipFill>
                    <a:blip r:embed="rId9"/>
                    <a:srcRect b="0" l="0" r="0" t="0"/>
                    <a:stretch>
                      <a:fillRect/>
                    </a:stretch>
                  </pic:blipFill>
                  <pic:spPr>
                    <a:xfrm>
                      <a:off x="0" y="0"/>
                      <a:ext cx="5943600" cy="52832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S</w:t>
      </w:r>
      <w:r w:rsidDel="00000000" w:rsidR="00000000" w:rsidRPr="00000000">
        <w:rPr>
          <w:rFonts w:ascii="Times New Roman" w:cs="Times New Roman" w:eastAsia="Times New Roman" w:hAnsi="Times New Roman"/>
          <w:b w:val="1"/>
          <w:sz w:val="24"/>
          <w:szCs w:val="24"/>
          <w:rtl w:val="0"/>
        </w:rPr>
        <w:t xml:space="preserve">4. Aberrant events per sample. (A)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Distribution of the number of aberrant protein-coding genes (union of aberrant expression, aberrant splicing, and MAE). Genes harboring many aberrations are counted only once. The dashed line represents the median at 25. </w:t>
      </w: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Same as (A) but for genes known to cause Mendelian diseases (OMIM genes). The dashed line represents the median at 8. These correspond to the genes of clinical relevance. </w:t>
      </w:r>
      <w:r w:rsidDel="00000000" w:rsidR="00000000" w:rsidRPr="00000000">
        <w:rPr>
          <w:rFonts w:ascii="Times New Roman" w:cs="Times New Roman" w:eastAsia="Times New Roman" w:hAnsi="Times New Roman"/>
          <w:b w:val="1"/>
          <w:sz w:val="24"/>
          <w:szCs w:val="24"/>
          <w:rtl w:val="0"/>
        </w:rPr>
        <w:t xml:space="preserve">(C)</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Causative and candidate RNA-seq aberrant events detected by our pipeline across the 26 WES-diagnosed cases with a protein-truncating variant and defect in RNA-seq (Supplementary figure 1), the 32 RNA-seq diagnosed cases, and the 12 RNA-seq candidates cases. AE: aberrant expression, AS: aberrant splicing, MAE: mono-allelic expression.</w:t>
      </w:r>
    </w:p>
    <w:p w:rsidR="00000000" w:rsidDel="00000000" w:rsidP="00000000" w:rsidRDefault="00000000" w:rsidRPr="00000000" w14:paraId="00000010">
      <w:pPr>
        <w:pageBreakBefore w:val="0"/>
        <w:jc w:val="both"/>
        <w:rPr/>
      </w:pPr>
      <w:r w:rsidDel="00000000" w:rsidR="00000000" w:rsidRPr="00000000">
        <w:br w:type="page"/>
      </w:r>
      <w:r w:rsidDel="00000000" w:rsidR="00000000" w:rsidRPr="00000000">
        <w:rPr>
          <w:rtl w:val="0"/>
        </w:rPr>
      </w:r>
    </w:p>
    <w:p w:rsidR="00000000" w:rsidDel="00000000" w:rsidP="00000000" w:rsidRDefault="00000000" w:rsidRPr="00000000" w14:paraId="00000011">
      <w:pPr>
        <w:pageBreakBefore w:val="0"/>
        <w:jc w:val="both"/>
        <w:rPr/>
      </w:pPr>
      <w:r w:rsidDel="00000000" w:rsidR="00000000" w:rsidRPr="00000000">
        <w:rPr/>
        <w:drawing>
          <wp:inline distB="114300" distT="114300" distL="114300" distR="114300">
            <wp:extent cx="5943600" cy="2641600"/>
            <wp:effectExtent b="0" l="0" r="0" t="0"/>
            <wp:docPr id="9"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9436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S5: Rare variants among expression outliers.</w:t>
      </w:r>
      <w:r w:rsidDel="00000000" w:rsidR="00000000" w:rsidRPr="00000000">
        <w:rPr>
          <w:rFonts w:ascii="Times New Roman" w:cs="Times New Roman" w:eastAsia="Times New Roman" w:hAnsi="Times New Roman"/>
          <w:sz w:val="24"/>
          <w:szCs w:val="24"/>
          <w:rtl w:val="0"/>
        </w:rPr>
        <w:t xml:space="preserve"> Proportion of genes per sample with a WES rare variant among underexpression outliers, non-outliers, and overexpression outliers, for all rare variants and stratified by variant classes from the Variant Effect Predictor (VEP). Error bars represent 95% confidence intervals of a binomial test.</w:t>
      </w:r>
      <w:r w:rsidDel="00000000" w:rsidR="00000000" w:rsidRPr="00000000">
        <w:br w:type="page"/>
      </w:r>
      <w:r w:rsidDel="00000000" w:rsidR="00000000" w:rsidRPr="00000000">
        <w:rPr>
          <w:rtl w:val="0"/>
        </w:rPr>
      </w:r>
    </w:p>
    <w:p w:rsidR="00000000" w:rsidDel="00000000" w:rsidP="00000000" w:rsidRDefault="00000000" w:rsidRPr="00000000" w14:paraId="0000001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424363" cy="3021711"/>
            <wp:effectExtent b="0" l="0" r="0" t="0"/>
            <wp:docPr id="2"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4424363" cy="3021711"/>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S6: Power analysis of overexpression outliers. </w:t>
      </w:r>
      <w:r w:rsidDel="00000000" w:rsidR="00000000" w:rsidRPr="00000000">
        <w:rPr>
          <w:rFonts w:ascii="Times New Roman" w:cs="Times New Roman" w:eastAsia="Times New Roman" w:hAnsi="Times New Roman"/>
          <w:sz w:val="24"/>
          <w:szCs w:val="24"/>
          <w:rtl w:val="0"/>
        </w:rPr>
        <w:t xml:space="preserve">Fraction of r</w:t>
      </w:r>
      <w:r w:rsidDel="00000000" w:rsidR="00000000" w:rsidRPr="00000000">
        <w:rPr>
          <w:rFonts w:ascii="Times New Roman" w:cs="Times New Roman" w:eastAsia="Times New Roman" w:hAnsi="Times New Roman"/>
          <w:sz w:val="24"/>
          <w:szCs w:val="24"/>
          <w:rtl w:val="0"/>
        </w:rPr>
        <w:t xml:space="preserve">ecalled overexpression outliers simulated with different fold changes (depicted in shades of blue) per mean gene expression (measured in raw read counts). Recall was computed in 50-wide intervals and dots are depicted in the center of the intervals.</w:t>
      </w:r>
      <w:r w:rsidDel="00000000" w:rsidR="00000000" w:rsidRPr="00000000">
        <w:br w:type="page"/>
      </w:r>
      <w:r w:rsidDel="00000000" w:rsidR="00000000" w:rsidRPr="00000000">
        <w:rPr>
          <w:rtl w:val="0"/>
        </w:rPr>
      </w:r>
    </w:p>
    <w:p w:rsidR="00000000" w:rsidDel="00000000" w:rsidP="00000000" w:rsidRDefault="00000000" w:rsidRPr="00000000" w14:paraId="00000017">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005388" cy="5053749"/>
            <wp:effectExtent b="0" l="0" r="0" t="0"/>
            <wp:docPr id="14"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005388" cy="5053749"/>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S</w:t>
      </w:r>
      <w:r w:rsidDel="00000000" w:rsidR="00000000" w:rsidRPr="00000000">
        <w:rPr>
          <w:rFonts w:ascii="Times New Roman" w:cs="Times New Roman" w:eastAsia="Times New Roman" w:hAnsi="Times New Roman"/>
          <w:b w:val="1"/>
          <w:sz w:val="24"/>
          <w:szCs w:val="24"/>
          <w:rtl w:val="0"/>
        </w:rPr>
        <w:t xml:space="preserve">7: </w:t>
      </w:r>
      <w:r w:rsidDel="00000000" w:rsidR="00000000" w:rsidRPr="00000000">
        <w:rPr>
          <w:rFonts w:ascii="Times New Roman" w:cs="Times New Roman" w:eastAsia="Times New Roman" w:hAnsi="Times New Roman"/>
          <w:b w:val="1"/>
          <w:sz w:val="24"/>
          <w:szCs w:val="24"/>
          <w:rtl w:val="0"/>
        </w:rPr>
        <w:t xml:space="preserve">Power analysis of underexpression outliers with respect to biological coefficient of variation.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Recalled outliers simulated with different fold changes (depicted in shades of blue) per biological coefficient of variation (BCV). Recall was computed in 0.01-wide intervals and dots are depicted in the center of the intervals. OUTRIDER loses power in detecting underexpression outliers with half reduction in genes with BCV &gt; 0.12 (dashed vertical line). </w:t>
      </w: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Proportion of genes at a given BCV or lower, colored by different gene classes. Genes with mean read counts &lt; 450 were removed.</w:t>
      </w:r>
      <w:r w:rsidDel="00000000" w:rsidR="00000000" w:rsidRPr="00000000">
        <w:br w:type="page"/>
      </w:r>
      <w:r w:rsidDel="00000000" w:rsidR="00000000" w:rsidRPr="00000000">
        <w:rPr>
          <w:rtl w:val="0"/>
        </w:rPr>
      </w:r>
    </w:p>
    <w:p w:rsidR="00000000" w:rsidDel="00000000" w:rsidP="00000000" w:rsidRDefault="00000000" w:rsidRPr="00000000" w14:paraId="00000019">
      <w:pPr>
        <w:pageBreakBefore w:val="0"/>
        <w:jc w:val="both"/>
        <w:rPr/>
      </w:pPr>
      <w:r w:rsidDel="00000000" w:rsidR="00000000" w:rsidRPr="00000000">
        <w:rPr>
          <w:rtl w:val="0"/>
        </w:rPr>
      </w:r>
    </w:p>
    <w:p w:rsidR="00000000" w:rsidDel="00000000" w:rsidP="00000000" w:rsidRDefault="00000000" w:rsidRPr="00000000" w14:paraId="0000001A">
      <w:pPr>
        <w:pageBreakBefore w:val="0"/>
        <w:jc w:val="both"/>
        <w:rPr/>
      </w:pPr>
      <w:r w:rsidDel="00000000" w:rsidR="00000000" w:rsidRPr="00000000">
        <w:rPr>
          <w:rtl w:val="0"/>
        </w:rPr>
      </w:r>
    </w:p>
    <w:p w:rsidR="00000000" w:rsidDel="00000000" w:rsidP="00000000" w:rsidRDefault="00000000" w:rsidRPr="00000000" w14:paraId="0000001B">
      <w:pPr>
        <w:pageBreakBefore w:val="0"/>
        <w:jc w:val="center"/>
        <w:rPr/>
      </w:pPr>
      <w:r w:rsidDel="00000000" w:rsidR="00000000" w:rsidRPr="00000000">
        <w:rPr/>
        <w:drawing>
          <wp:inline distB="114300" distT="114300" distL="114300" distR="114300">
            <wp:extent cx="5943600" cy="2222500"/>
            <wp:effectExtent b="0" l="0" r="0" t="0"/>
            <wp:docPr id="3"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943600" cy="22225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S8: Cases with many mtDNA expression outliers.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Gene-level significance (-log</w:t>
      </w:r>
      <w:r w:rsidDel="00000000" w:rsidR="00000000" w:rsidRPr="00000000">
        <w:rPr>
          <w:rFonts w:ascii="Times New Roman" w:cs="Times New Roman" w:eastAsia="Times New Roman" w:hAnsi="Times New Roman"/>
          <w:sz w:val="24"/>
          <w:szCs w:val="24"/>
          <w:vertAlign w:val="subscript"/>
          <w:rtl w:val="0"/>
        </w:rPr>
        <w:t xml:space="preserve">10</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y-axis) versus Z-score of sample 72478, with 11 mtDNA genes labeled among the 15 underexpression outliers (red dots). The disease causal gene, </w:t>
      </w:r>
      <w:r w:rsidDel="00000000" w:rsidR="00000000" w:rsidRPr="00000000">
        <w:rPr>
          <w:rFonts w:ascii="Times New Roman" w:cs="Times New Roman" w:eastAsia="Times New Roman" w:hAnsi="Times New Roman"/>
          <w:i w:val="1"/>
          <w:sz w:val="24"/>
          <w:szCs w:val="24"/>
          <w:rtl w:val="0"/>
        </w:rPr>
        <w:t xml:space="preserve">LRPPRC</w:t>
      </w:r>
      <w:r w:rsidDel="00000000" w:rsidR="00000000" w:rsidRPr="00000000">
        <w:rPr>
          <w:rFonts w:ascii="Times New Roman" w:cs="Times New Roman" w:eastAsia="Times New Roman" w:hAnsi="Times New Roman"/>
          <w:sz w:val="24"/>
          <w:szCs w:val="24"/>
          <w:rtl w:val="0"/>
        </w:rPr>
        <w:t xml:space="preserve">, is involved in the post-transcriptional regulation of mitochondrial gene expression, thus explaining the high number of aberrant mtDNA genes.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Same as (A), but for sample R80346, with 10 mtDNA genes and the disease causal </w:t>
      </w:r>
      <w:r w:rsidDel="00000000" w:rsidR="00000000" w:rsidRPr="00000000">
        <w:rPr>
          <w:rFonts w:ascii="Times New Roman" w:cs="Times New Roman" w:eastAsia="Times New Roman" w:hAnsi="Times New Roman"/>
          <w:i w:val="1"/>
          <w:sz w:val="24"/>
          <w:szCs w:val="24"/>
          <w:rtl w:val="0"/>
        </w:rPr>
        <w:t xml:space="preserve">LIG3</w:t>
      </w:r>
      <w:r w:rsidDel="00000000" w:rsidR="00000000" w:rsidRPr="00000000">
        <w:rPr>
          <w:rFonts w:ascii="Times New Roman" w:cs="Times New Roman" w:eastAsia="Times New Roman" w:hAnsi="Times New Roman"/>
          <w:sz w:val="24"/>
          <w:szCs w:val="24"/>
          <w:rtl w:val="0"/>
        </w:rPr>
        <w:t xml:space="preserve"> among the underexpression outliers. LIG3 is known to be essential for mitochondrial DNA integrity.</w:t>
      </w:r>
      <w:r w:rsidDel="00000000" w:rsidR="00000000" w:rsidRPr="00000000">
        <w:br w:type="page"/>
      </w:r>
      <w:r w:rsidDel="00000000" w:rsidR="00000000" w:rsidRPr="00000000">
        <w:rPr>
          <w:rtl w:val="0"/>
        </w:rPr>
      </w:r>
    </w:p>
    <w:p w:rsidR="00000000" w:rsidDel="00000000" w:rsidP="00000000" w:rsidRDefault="00000000" w:rsidRPr="00000000" w14:paraId="0000001D">
      <w:pPr>
        <w:pageBreakBefore w:val="0"/>
        <w:jc w:val="both"/>
        <w:rPr/>
      </w:pPr>
      <w:r w:rsidDel="00000000" w:rsidR="00000000" w:rsidRPr="00000000">
        <w:rPr/>
        <w:drawing>
          <wp:inline distB="114300" distT="114300" distL="114300" distR="114300">
            <wp:extent cx="5943600" cy="2374900"/>
            <wp:effectExtent b="0" l="0" r="0" t="0"/>
            <wp:docPr id="6" name="image14.png"/>
            <a:graphic>
              <a:graphicData uri="http://schemas.openxmlformats.org/drawingml/2006/picture">
                <pic:pic>
                  <pic:nvPicPr>
                    <pic:cNvPr id="0" name="image14.png"/>
                    <pic:cNvPicPr preferRelativeResize="0"/>
                  </pic:nvPicPr>
                  <pic:blipFill>
                    <a:blip r:embed="rId14"/>
                    <a:srcRect b="0" l="0" r="0" t="0"/>
                    <a:stretch>
                      <a:fillRect/>
                    </a:stretch>
                  </pic:blipFill>
                  <pic:spPr>
                    <a:xfrm>
                      <a:off x="0" y="0"/>
                      <a:ext cx="594360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S9: Rare variants among splicing outliers.</w:t>
      </w:r>
      <w:r w:rsidDel="00000000" w:rsidR="00000000" w:rsidRPr="00000000">
        <w:rPr>
          <w:rFonts w:ascii="Times New Roman" w:cs="Times New Roman" w:eastAsia="Times New Roman" w:hAnsi="Times New Roman"/>
          <w:sz w:val="24"/>
          <w:szCs w:val="24"/>
          <w:rtl w:val="0"/>
        </w:rPr>
        <w:t xml:space="preserve"> Proportion of genes per sample with a WES rare variant among the splicing outliers (purple) and the non-outliers (gray), for all rare variants and stratified by VEP classes. Error bars represent 95% confidence intervals of a binomial test.</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pageBreakBefore w:val="0"/>
        <w:jc w:val="both"/>
        <w:rPr/>
      </w:pPr>
      <w:r w:rsidDel="00000000" w:rsidR="00000000" w:rsidRPr="00000000">
        <w:rPr>
          <w:rtl w:val="0"/>
        </w:rPr>
      </w:r>
    </w:p>
    <w:p w:rsidR="00000000" w:rsidDel="00000000" w:rsidP="00000000" w:rsidRDefault="00000000" w:rsidRPr="00000000" w14:paraId="00000022">
      <w:pPr>
        <w:pageBreakBefore w:val="0"/>
        <w:jc w:val="both"/>
        <w:rPr/>
      </w:pPr>
      <w:r w:rsidDel="00000000" w:rsidR="00000000" w:rsidRPr="00000000">
        <w:rPr/>
        <w:drawing>
          <wp:inline distB="114300" distT="114300" distL="114300" distR="114300">
            <wp:extent cx="5943600" cy="3187700"/>
            <wp:effectExtent b="0" l="0" r="0" t="0"/>
            <wp:docPr id="4"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943600" cy="31877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S10: Splicing prediction algorithms evaluation.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Proportion of recalled variants using the default cutoffs of each method (MMSplice: absolut delta logit psi &gt; 1.24, SpliceAI: delta score &gt; 0.5) stratified by the genomic position of the variant. (</w:t>
      </w: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Number of variants per sample (n=23 WGS) tested (median MMSplice=870 and SpliceAI=14,191) and found significant (median MMSplice=15 and SpliceAI=12) by each method.</w:t>
      </w:r>
      <w:r w:rsidDel="00000000" w:rsidR="00000000" w:rsidRPr="00000000">
        <w:br w:type="page"/>
      </w: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pageBreakBefore w:val="0"/>
        <w:jc w:val="both"/>
        <w:rPr/>
      </w:pPr>
      <w:r w:rsidDel="00000000" w:rsidR="00000000" w:rsidRPr="00000000">
        <w:rPr>
          <w:rtl w:val="0"/>
        </w:rPr>
      </w:r>
    </w:p>
    <w:p w:rsidR="00000000" w:rsidDel="00000000" w:rsidP="00000000" w:rsidRDefault="00000000" w:rsidRPr="00000000" w14:paraId="00000026">
      <w:pPr>
        <w:pageBreakBefore w:val="0"/>
        <w:jc w:val="center"/>
        <w:rPr/>
      </w:pPr>
      <w:r w:rsidDel="00000000" w:rsidR="00000000" w:rsidRPr="00000000">
        <w:rPr/>
        <w:drawing>
          <wp:inline distB="114300" distT="114300" distL="114300" distR="114300">
            <wp:extent cx="3695700" cy="3343275"/>
            <wp:effectExtent b="0" l="0" r="0" t="0"/>
            <wp:docPr id="1" name="image1.png"/>
            <a:graphic>
              <a:graphicData uri="http://schemas.openxmlformats.org/drawingml/2006/picture">
                <pic:pic>
                  <pic:nvPicPr>
                    <pic:cNvPr id="0" name="image1.png"/>
                    <pic:cNvPicPr preferRelativeResize="0"/>
                  </pic:nvPicPr>
                  <pic:blipFill>
                    <a:blip r:embed="rId16"/>
                    <a:srcRect b="0" l="18108" r="19711" t="0"/>
                    <a:stretch>
                      <a:fillRect/>
                    </a:stretch>
                  </pic:blipFill>
                  <pic:spPr>
                    <a:xfrm>
                      <a:off x="0" y="0"/>
                      <a:ext cx="3695700" cy="3343275"/>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S11: Complex pattern of aberrant splicing. </w:t>
      </w:r>
      <w:r w:rsidDel="00000000" w:rsidR="00000000" w:rsidRPr="00000000">
        <w:rPr>
          <w:rFonts w:ascii="Times New Roman" w:cs="Times New Roman" w:eastAsia="Times New Roman" w:hAnsi="Times New Roman"/>
          <w:sz w:val="24"/>
          <w:szCs w:val="24"/>
          <w:rtl w:val="0"/>
        </w:rPr>
        <w:t xml:space="preserve">Schematic depiction of the complex pattern of aberrant splicing of </w:t>
      </w:r>
      <w:r w:rsidDel="00000000" w:rsidR="00000000" w:rsidRPr="00000000">
        <w:rPr>
          <w:rFonts w:ascii="Times New Roman" w:cs="Times New Roman" w:eastAsia="Times New Roman" w:hAnsi="Times New Roman"/>
          <w:i w:val="1"/>
          <w:sz w:val="24"/>
          <w:szCs w:val="24"/>
          <w:rtl w:val="0"/>
        </w:rPr>
        <w:t xml:space="preserve">MRPL44</w:t>
      </w:r>
      <w:r w:rsidDel="00000000" w:rsidR="00000000" w:rsidRPr="00000000">
        <w:rPr>
          <w:rFonts w:ascii="Times New Roman" w:cs="Times New Roman" w:eastAsia="Times New Roman" w:hAnsi="Times New Roman"/>
          <w:sz w:val="24"/>
          <w:szCs w:val="24"/>
          <w:rtl w:val="0"/>
        </w:rPr>
        <w:t xml:space="preserve"> in sample R44456 due to a homozygous splice region variant (c.179+3A&gt;G). The percentage of detected transcript isoform is shown next to it.</w:t>
      </w:r>
    </w:p>
    <w:p w:rsidR="00000000" w:rsidDel="00000000" w:rsidP="00000000" w:rsidRDefault="00000000" w:rsidRPr="00000000" w14:paraId="00000028">
      <w:pPr>
        <w:pageBreakBefore w:val="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9">
      <w:pPr>
        <w:pageBreakBefore w:val="0"/>
        <w:jc w:val="center"/>
        <w:rPr/>
      </w:pPr>
      <w:r w:rsidDel="00000000" w:rsidR="00000000" w:rsidRPr="00000000">
        <w:rPr/>
        <w:drawing>
          <wp:inline distB="114300" distT="114300" distL="114300" distR="114300">
            <wp:extent cx="5310188" cy="5310188"/>
            <wp:effectExtent b="0" l="0" r="0" t="0"/>
            <wp:docPr id="7"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5310188" cy="5310188"/>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S12: A</w:t>
      </w:r>
      <w:r w:rsidDel="00000000" w:rsidR="00000000" w:rsidRPr="00000000">
        <w:rPr>
          <w:rFonts w:ascii="Times New Roman" w:cs="Times New Roman" w:eastAsia="Times New Roman" w:hAnsi="Times New Roman"/>
          <w:b w:val="1"/>
          <w:sz w:val="24"/>
          <w:szCs w:val="24"/>
          <w:rtl w:val="0"/>
        </w:rPr>
        <w:t xml:space="preserve">nalysis</w:t>
      </w:r>
      <w:r w:rsidDel="00000000" w:rsidR="00000000" w:rsidRPr="00000000">
        <w:rPr>
          <w:rFonts w:ascii="Times New Roman" w:cs="Times New Roman" w:eastAsia="Times New Roman" w:hAnsi="Times New Roman"/>
          <w:b w:val="1"/>
          <w:sz w:val="24"/>
          <w:szCs w:val="24"/>
          <w:rtl w:val="0"/>
        </w:rPr>
        <w:t xml:space="preserve"> of variants called by RNA-seq.</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Average precision (true positives / all positives) vs. average recall (false positives / (false positives + true positives)) of variants detected by RNA-seq in comparison to variants detected by WGS in 210 samples from suprapubic skin from GTEx. The average is taken across samples. Colors indicate all variants called by RNA-seq, the ones that passed the GATK filters (PF), the ones that were not in a masked region (NM), and the combination of both filtering strategies (Materials and Methods). Data points are labeled by the minimum number of </w:t>
      </w:r>
      <w:r w:rsidDel="00000000" w:rsidR="00000000" w:rsidRPr="00000000">
        <w:rPr>
          <w:rFonts w:ascii="Times New Roman" w:cs="Times New Roman" w:eastAsia="Times New Roman" w:hAnsi="Times New Roman"/>
          <w:sz w:val="24"/>
          <w:szCs w:val="24"/>
          <w:rtl w:val="0"/>
        </w:rPr>
        <w:t xml:space="preserve">reads</w:t>
      </w:r>
      <w:r w:rsidDel="00000000" w:rsidR="00000000" w:rsidRPr="00000000">
        <w:rPr>
          <w:rFonts w:ascii="Times New Roman" w:cs="Times New Roman" w:eastAsia="Times New Roman" w:hAnsi="Times New Roman"/>
          <w:sz w:val="24"/>
          <w:szCs w:val="24"/>
          <w:rtl w:val="0"/>
        </w:rPr>
        <w:t xml:space="preserve"> required to support the alternative allele. </w:t>
      </w:r>
      <w:r w:rsidDel="00000000" w:rsidR="00000000" w:rsidRPr="00000000">
        <w:rPr>
          <w:rFonts w:ascii="Times New Roman" w:cs="Times New Roman" w:eastAsia="Times New Roman" w:hAnsi="Times New Roman"/>
          <w:sz w:val="24"/>
          <w:szCs w:val="24"/>
          <w:rtl w:val="0"/>
        </w:rPr>
        <w:t xml:space="preserve">This analysis led us to apply the GATK filters and to consider variants not in masked regions and with a minimum alternative allele count of 3, where we see for both homozygous and heterozygous variants a strong precision drop.</w:t>
      </w:r>
      <w:r w:rsidDel="00000000" w:rsidR="00000000" w:rsidRPr="00000000">
        <w:rPr>
          <w:rFonts w:ascii="Times New Roman" w:cs="Times New Roman" w:eastAsia="Times New Roman" w:hAnsi="Times New Roman"/>
          <w:sz w:val="24"/>
          <w:szCs w:val="24"/>
          <w:rtl w:val="0"/>
        </w:rPr>
        <w:t xml:space="preserve"> More stringent restrictions to variant coverage further improve the average precision, which comes at the cost of the recall. </w:t>
      </w: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Distribution of the variants called by WES or RNA-seq (y-axis) in total and stratified by variant classes (x-axis) per sample.</w:t>
      </w:r>
    </w:p>
    <w:p w:rsidR="00000000" w:rsidDel="00000000" w:rsidP="00000000" w:rsidRDefault="00000000" w:rsidRPr="00000000" w14:paraId="0000002B">
      <w:pPr>
        <w:pageBreakBefore w:val="0"/>
        <w:jc w:val="center"/>
        <w:rPr/>
      </w:pPr>
      <w:r w:rsidDel="00000000" w:rsidR="00000000" w:rsidRPr="00000000">
        <w:rPr/>
        <w:drawing>
          <wp:inline distB="114300" distT="114300" distL="114300" distR="114300">
            <wp:extent cx="5719763" cy="4610829"/>
            <wp:effectExtent b="0" l="0" r="0" t="0"/>
            <wp:docPr id="13" name="image11.png"/>
            <a:graphic>
              <a:graphicData uri="http://schemas.openxmlformats.org/drawingml/2006/picture">
                <pic:pic>
                  <pic:nvPicPr>
                    <pic:cNvPr id="0" name="image11.png"/>
                    <pic:cNvPicPr preferRelativeResize="0"/>
                  </pic:nvPicPr>
                  <pic:blipFill>
                    <a:blip r:embed="rId18"/>
                    <a:srcRect b="3085" l="19641" r="12818" t="0"/>
                    <a:stretch>
                      <a:fillRect/>
                    </a:stretch>
                  </pic:blipFill>
                  <pic:spPr>
                    <a:xfrm>
                      <a:off x="0" y="0"/>
                      <a:ext cx="5719763" cy="4610829"/>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ageBreakBefore w:val="0"/>
        <w:jc w:val="both"/>
        <w:rPr/>
      </w:pPr>
      <w:r w:rsidDel="00000000" w:rsidR="00000000" w:rsidRPr="00000000">
        <w:rPr>
          <w:rFonts w:ascii="Times New Roman" w:cs="Times New Roman" w:eastAsia="Times New Roman" w:hAnsi="Times New Roman"/>
          <w:b w:val="1"/>
          <w:sz w:val="24"/>
          <w:szCs w:val="24"/>
          <w:rtl w:val="0"/>
        </w:rPr>
        <w:t xml:space="preserve">Fig. S13: Rare variants leading to outliers.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Proportion of homozygous WES rare variants stratified by VEP class in genes that are aberrantly expressed. ‘Not NMD’ corresponds to stop or frameshift variants that are predicted to escape NMD due to being in either the last exon of the gene or in a position that is not expressed in fibroblasts (also in panel D). Error bars represent 95% confidence intervals of a binomial test (also in panels B and D). </w:t>
      </w: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Proportion of WES rare variants (both heterozygous and homozygous) stratified by VEP class in genes with an aberrantly spliced junction. </w:t>
      </w:r>
      <w:r w:rsidDel="00000000" w:rsidR="00000000" w:rsidRPr="00000000">
        <w:rPr>
          <w:rFonts w:ascii="Times New Roman" w:cs="Times New Roman" w:eastAsia="Times New Roman" w:hAnsi="Times New Roman"/>
          <w:b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Sashimi plot presenting normal splicing on the gene </w:t>
      </w:r>
      <w:r w:rsidDel="00000000" w:rsidR="00000000" w:rsidRPr="00000000">
        <w:rPr>
          <w:rFonts w:ascii="Times New Roman" w:cs="Times New Roman" w:eastAsia="Times New Roman" w:hAnsi="Times New Roman"/>
          <w:i w:val="1"/>
          <w:sz w:val="24"/>
          <w:szCs w:val="24"/>
          <w:rtl w:val="0"/>
        </w:rPr>
        <w:t xml:space="preserve">BUB1 </w:t>
      </w:r>
      <w:r w:rsidDel="00000000" w:rsidR="00000000" w:rsidRPr="00000000">
        <w:rPr>
          <w:rFonts w:ascii="Times New Roman" w:cs="Times New Roman" w:eastAsia="Times New Roman" w:hAnsi="Times New Roman"/>
          <w:sz w:val="24"/>
          <w:szCs w:val="24"/>
          <w:rtl w:val="0"/>
        </w:rPr>
        <w:t xml:space="preserve">in spite of a homozygous variant in the direct splice-site (shown in red) of a candidate sample.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Proportion of rare heterozygous WES SNVs that are mono-allelically expressed towards either the reference or alternative allele, stratified by VEP class.</w:t>
      </w:r>
      <w:r w:rsidDel="00000000" w:rsidR="00000000" w:rsidRPr="00000000">
        <w:br w:type="page"/>
      </w:r>
      <w:r w:rsidDel="00000000" w:rsidR="00000000" w:rsidRPr="00000000">
        <w:rPr>
          <w:rtl w:val="0"/>
        </w:rPr>
      </w:r>
    </w:p>
    <w:p w:rsidR="00000000" w:rsidDel="00000000" w:rsidP="00000000" w:rsidRDefault="00000000" w:rsidRPr="00000000" w14:paraId="0000002D">
      <w:pPr>
        <w:pageBreakBefore w:val="0"/>
        <w:jc w:val="center"/>
        <w:rPr/>
      </w:pPr>
      <w:r w:rsidDel="00000000" w:rsidR="00000000" w:rsidRPr="00000000">
        <w:rPr>
          <w:rtl w:val="0"/>
        </w:rPr>
      </w:r>
    </w:p>
    <w:p w:rsidR="00000000" w:rsidDel="00000000" w:rsidP="00000000" w:rsidRDefault="00000000" w:rsidRPr="00000000" w14:paraId="0000002E">
      <w:pPr>
        <w:pageBreakBefore w:val="0"/>
        <w:jc w:val="center"/>
        <w:rPr/>
      </w:pPr>
      <w:r w:rsidDel="00000000" w:rsidR="00000000" w:rsidRPr="00000000">
        <w:rPr/>
        <w:drawing>
          <wp:inline distB="114300" distT="114300" distL="114300" distR="114300">
            <wp:extent cx="5029200" cy="3906690"/>
            <wp:effectExtent b="0" l="0" r="0" t="0"/>
            <wp:docPr id="10"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5029200" cy="390669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S</w:t>
      </w:r>
      <w:r w:rsidDel="00000000" w:rsidR="00000000" w:rsidRPr="00000000">
        <w:rPr>
          <w:rFonts w:ascii="Times New Roman" w:cs="Times New Roman" w:eastAsia="Times New Roman" w:hAnsi="Times New Roman"/>
          <w:b w:val="1"/>
          <w:sz w:val="24"/>
          <w:szCs w:val="24"/>
          <w:rtl w:val="0"/>
        </w:rPr>
        <w:t xml:space="preserve">14:</w:t>
      </w:r>
      <w:r w:rsidDel="00000000" w:rsidR="00000000" w:rsidRPr="00000000">
        <w:rPr>
          <w:rFonts w:ascii="Times New Roman" w:cs="Times New Roman" w:eastAsia="Times New Roman" w:hAnsi="Times New Roman"/>
          <w:b w:val="1"/>
          <w:sz w:val="24"/>
          <w:szCs w:val="24"/>
          <w:rtl w:val="0"/>
        </w:rPr>
        <w:t xml:space="preserve"> Diagnostic rate across different cohorts. </w:t>
      </w:r>
      <w:r w:rsidDel="00000000" w:rsidR="00000000" w:rsidRPr="00000000">
        <w:rPr>
          <w:rFonts w:ascii="Times New Roman" w:cs="Times New Roman" w:eastAsia="Times New Roman" w:hAnsi="Times New Roman"/>
          <w:sz w:val="24"/>
          <w:szCs w:val="24"/>
          <w:rtl w:val="0"/>
        </w:rPr>
        <w:t xml:space="preserve">Diagnostic rate (solved cases / cohort size) vs. cohort size, defined as the number of cases that were unsolved after either WES, WGS, or panel sequencing, across five published cohorts (Cummings et al. (2017), Kremer et al. (2017), Frésard et al. (2019), Gonorazky et al. (2019), Murdock et al. (2021)) and this study. Error bars stretch a 95% confidence interval of a binomial test. A diagnostic rate exceeding 30%, such as in Cummings et al. and Gonorazky et al., could be reached by more stringent inclusion of patients with either variants of uncertain significance in splice regions or unsolved cases where phenotype is a strong predictor of genotype.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9.png"/><Relationship Id="rId13" Type="http://schemas.openxmlformats.org/officeDocument/2006/relationships/image" Target="media/image6.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png"/><Relationship Id="rId15" Type="http://schemas.openxmlformats.org/officeDocument/2006/relationships/image" Target="media/image2.png"/><Relationship Id="rId14" Type="http://schemas.openxmlformats.org/officeDocument/2006/relationships/image" Target="media/image14.png"/><Relationship Id="rId17" Type="http://schemas.openxmlformats.org/officeDocument/2006/relationships/image" Target="media/image7.png"/><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image" Target="media/image12.png"/><Relationship Id="rId6" Type="http://schemas.openxmlformats.org/officeDocument/2006/relationships/image" Target="media/image4.png"/><Relationship Id="rId18" Type="http://schemas.openxmlformats.org/officeDocument/2006/relationships/image" Target="media/image11.png"/><Relationship Id="rId7" Type="http://schemas.openxmlformats.org/officeDocument/2006/relationships/image" Target="media/image10.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