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6797" w14:textId="4843F564" w:rsidR="00BD4F4F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92A7BC" wp14:editId="5039D181">
            <wp:extent cx="5274310" cy="68313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6FBD6" w14:textId="705245EF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S1: Flowchart of the clinical cohort consolidation.</w:t>
      </w:r>
    </w:p>
    <w:p w14:paraId="7229D897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3AEFEAAD" w14:textId="210AB954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3374941F" w14:textId="3E7DD427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5272598" wp14:editId="59DA08FD">
            <wp:extent cx="5274310" cy="72155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0160F" w14:textId="1F28C89B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S2: Flowchart of the construction and validation of the mutation-based </w:t>
      </w:r>
      <w:r w:rsidRPr="00D166F8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gene set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the summary of immune landscapes in the high-risk and low-risk groups.</w:t>
      </w:r>
    </w:p>
    <w:p w14:paraId="7C40B9AD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52558AFC" w14:textId="01EC3695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5DF6B44A" w14:textId="48C6BFAA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97CAC6" wp14:editId="064AC0E3">
            <wp:extent cx="5274310" cy="683069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3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5053" w14:textId="197D15E4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S3: Assessment of the predictive performance of the mutation-based gene set.</w:t>
      </w:r>
    </w:p>
    <w:p w14:paraId="00663D13" w14:textId="49F9E219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Receiver operating characteristic (ROC) curve analysis 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3A2070"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training cohort. (B) ROC curve analysis 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3A2070"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validation cohort. (C) 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rea under the ROC curve (AUC) analysis for each cancer type in the training cohort. (D) AUC analysis for each cancer type in the validation cohort.</w:t>
      </w:r>
    </w:p>
    <w:p w14:paraId="0BB3BE18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522B7622" w14:textId="5F74F778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25469D9F" w14:textId="7EC12447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D6655B" wp14:editId="47FB4A4C">
            <wp:extent cx="5274310" cy="68262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6AACF" w14:textId="762E6BFD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S4: Subgroup analysis of the mutation-based gene set in the training cohort.</w:t>
      </w:r>
    </w:p>
    <w:p w14:paraId="47E3BE2F" w14:textId="77777777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Survival analysis of the mutation-based gene set in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TMB-high group. (B) Survival analysis of the mutation-based gene set in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TMB-low group. (C) Survival analysis of the BRAF mutation status in the training cohort. (D) Survival analysis of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the BRAF mutation status in the melanoma cohort. (E) The mutation frequency distribution of ROS1 in each cancer type. (F) The mutation frequency distribution of PTPRT in each cancer type.</w:t>
      </w:r>
    </w:p>
    <w:p w14:paraId="5299C63B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2D76568C" w14:textId="1EA91B3D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5886A848" w14:textId="71E8D915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E115E" wp14:editId="49CCE8C3">
            <wp:extent cx="5274310" cy="706945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EE72A" w14:textId="18D9169F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S5: Comparison of C-indexes </w:t>
      </w:r>
      <w:r w:rsidR="003A20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r w:rsidR="003A2070"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mutation-based gene set </w:t>
      </w:r>
      <w:r w:rsidR="003A20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with</w:t>
      </w:r>
      <w:r w:rsidR="003A2070"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other predictors.</w:t>
      </w:r>
    </w:p>
    <w:p w14:paraId="2936FA72" w14:textId="36EA3753" w:rsidR="00D166F8" w:rsidRPr="00D166F8" w:rsidRDefault="00E331AE" w:rsidP="00D166F8">
      <w:pPr>
        <w:spacing w:line="48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Survival analysis of the mutation-based gene set in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Snyder cohort. (B) Survival analysis of the mutation-based gene set in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Mariathasan cohort. (C) Comparison of C-indexes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between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mutation-based </w:t>
      </w:r>
      <w:r w:rsidRPr="00D166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gene set</w:t>
      </w:r>
      <w:r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and</w:t>
      </w:r>
      <w:r w:rsidRPr="00D166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="00266B03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D166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frameshift insertion/deletion (indel) mutation burden, tobacco mutation signature, UV signature, APOBEC signature, and DNA damage response pathway mutation.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(D) Comparison of C-indexes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between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mutation-based </w:t>
      </w:r>
      <w:r w:rsidRPr="00D166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gene set</w:t>
      </w:r>
      <w:r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and</w:t>
      </w:r>
      <w:r w:rsidRPr="00D166F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B2M mutation, JAK1 mutation, JAK2 mutation, KRAS mutation, TP53 mutation, PTEN mutation, STK11 mutation, and BAP1 mutation.</w:t>
      </w:r>
    </w:p>
    <w:p w14:paraId="0CDCFF68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5DF30CB9" w14:textId="37B0FC5E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1BCE64E9" w14:textId="6B4598EE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50A61B9" wp14:editId="0A53CABB">
            <wp:extent cx="5274310" cy="7085330"/>
            <wp:effectExtent l="0" t="0" r="254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48EE4" w14:textId="0A03451C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OLE_LINK1"/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S6</w:t>
      </w:r>
      <w:bookmarkEnd w:id="0"/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The distribution of the low-risk group and the high-risk group for each cancer type in each dataset.</w:t>
      </w:r>
    </w:p>
    <w:p w14:paraId="2AFA8936" w14:textId="77777777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The distribution of high- and low-risk groups for each cancer type in the training cohort. (B) The distribution of high- and low-risk groups for each cancer type in 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validation cohort. (A) The distribution of high- and low-risk groups for each cancer type in the TCGA cohort.</w:t>
      </w:r>
    </w:p>
    <w:p w14:paraId="6808CAAF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5DBC14C8" w14:textId="01EA9B46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2053860D" w14:textId="2DC6002C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951737" wp14:editId="31A8640F">
            <wp:extent cx="5274310" cy="67881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8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AA23D" w14:textId="31A9C86C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S7: Comparison of immune activity between the low-risk group and the high-risk group.</w:t>
      </w:r>
    </w:p>
    <w:p w14:paraId="114EEEDB" w14:textId="308B02C4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(A)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2-gene cytolytic score between the low-risk group and the high-risk group in the Riaz cohort. (B)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6-gene IFN</w:t>
      </w:r>
      <w:r w:rsidRPr="00D166F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-g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signature score between the low-risk group and the high-risk group in the Riaz cohort. (C)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18-gene IFN</w:t>
      </w:r>
      <w:r w:rsidRPr="00D166F8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-g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signature score between the low-risk group and the high-risk group in the Riaz cohort. (D)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CTLs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the low-risk group and the high-risk group in patients with BRCA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 TCGA cohort. </w:t>
      </w:r>
      <w:r w:rsidR="00C80837"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8083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80837"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80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Comparison of T and NK cell activity between the low-risk group and the high-risk group in patients with BRCA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from the TCGA cohort. (F) Comparison of mutation signature 7 (UVR) between the low-risk group and the high-risk group in patients with BRCA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 TCGA cohort. (G)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CTLs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the low-risk group and the high-risk group in patients with SKCM from the TCGA cohort. (H) Comparison of T and NK cell activity between the low-risk group and the high-risk group in patients with SKCM from the TCGA cohort. (I) Comparison of mutation signature 7 (UVR) between the low-risk group and the high-risk group in patients with SKCM</w:t>
      </w:r>
      <w:r w:rsidR="003A20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from the TCGA cohort.</w:t>
      </w:r>
      <w:r w:rsidRPr="00D166F8">
        <w:rPr>
          <w:rFonts w:ascii="Times New Roman" w:hAnsi="Times New Roman" w:cs="Times New Roman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(J) Random sampling in the TCGA cohort. (K)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CTLs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the randomly sampled high-risk group and randomly sampled low-risk group in the TCGA cohort. (L) Comparison of T and NK cell activity between the randomly sampled high-risk group and randomly sampled low-risk group in the TCGA cohort. (M) Comparison of mutation signature 7 (UVR) between the randomly sampled high-risk group and randomly sampled low-risk group in the TCGA cohort.</w:t>
      </w:r>
    </w:p>
    <w:p w14:paraId="20016756" w14:textId="3B630172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603B3E3D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550D1C55" w14:textId="18B2B0FA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136D71" wp14:editId="185A414C">
            <wp:extent cx="5274310" cy="687832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7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B1205" w14:textId="4ED48685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S8: Mutations in 11 genes in the mutation-based </w:t>
      </w:r>
      <w:r w:rsidRPr="00D166F8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gene set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are related to enhanced tumor immunogenicity and high immune cell infiltration.</w:t>
      </w:r>
    </w:p>
    <w:p w14:paraId="284EF99F" w14:textId="4AE2176A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(A) Comparison of the nonsilent mutation rate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 groups. (B) Comparison of TIL fractions based on molecular estimates from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processing of cancer genomics data between the mutant-gene and wild-type-gene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groups. (C) Comparison of TIL regional fractions based on estimates from processing diagnostic H&amp;E images between the mutant-gene and wild-type-gene groups.</w:t>
      </w:r>
    </w:p>
    <w:p w14:paraId="1A3C1414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27C97F4D" w14:textId="45579C4C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4D13F609" w14:textId="477B6BC9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87D1C1" wp14:editId="4A86CE73">
            <wp:extent cx="5274310" cy="635635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5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8B35" w14:textId="195CCF5F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S9: Mutations of 11 genes in the mutation-based </w:t>
      </w:r>
      <w:r w:rsidRPr="00D166F8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gene set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are related to high T cell infiltration.</w:t>
      </w:r>
    </w:p>
    <w:p w14:paraId="5EB73EED" w14:textId="3B72E064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(A) Comparison of TCR richness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 groups.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(B) Comparison of CD8 T cells estimated by the CIBERSORT method based on RNA-sequencing data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groups. (C) Comparison of CD8 T cells estimated by the ssGSEA method based on RNA-sequencing data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groups.</w:t>
      </w:r>
    </w:p>
    <w:p w14:paraId="64E2C9B2" w14:textId="2801BFDC" w:rsidR="00BB30A5" w:rsidRPr="00D166F8" w:rsidRDefault="00BB30A5">
      <w:pPr>
        <w:rPr>
          <w:rFonts w:ascii="Times New Roman" w:hAnsi="Times New Roman" w:cs="Times New Roman"/>
          <w:sz w:val="24"/>
          <w:szCs w:val="24"/>
        </w:rPr>
      </w:pPr>
    </w:p>
    <w:p w14:paraId="662A1A4F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p w14:paraId="79EED63A" w14:textId="07DF544F" w:rsidR="00BB30A5" w:rsidRPr="00D166F8" w:rsidRDefault="00E331AE">
      <w:pPr>
        <w:rPr>
          <w:rFonts w:ascii="Times New Roman" w:hAnsi="Times New Roman" w:cs="Times New Roman"/>
          <w:sz w:val="24"/>
          <w:szCs w:val="24"/>
        </w:rPr>
      </w:pPr>
      <w:r w:rsidRPr="00D16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0AAFCDA" wp14:editId="2AB30054">
            <wp:extent cx="5274310" cy="687324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7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EE9C" w14:textId="52E4F88E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S10: Mutations of 11 genes in the mutation-based</w:t>
      </w:r>
      <w:r w:rsidRPr="00D166F8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 gene set</w:t>
      </w:r>
      <w:r w:rsidRPr="00D16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are associated with high immune checkpoint expression.</w:t>
      </w:r>
    </w:p>
    <w:p w14:paraId="0774C56B" w14:textId="376102CF" w:rsidR="00D166F8" w:rsidRPr="00D166F8" w:rsidRDefault="00E331AE" w:rsidP="00D166F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expression of PD-1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 groups. (B) Comparison of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expression of PD-L1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groups. (C) Comparison of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the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of CTLA-4 between the mutant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gene and wild-type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D166F8">
        <w:rPr>
          <w:rFonts w:ascii="Times New Roman" w:hAnsi="Times New Roman" w:cs="Times New Roman"/>
          <w:color w:val="000000" w:themeColor="text1"/>
          <w:sz w:val="24"/>
          <w:szCs w:val="24"/>
        </w:rPr>
        <w:t>gene groups.</w:t>
      </w:r>
    </w:p>
    <w:p w14:paraId="1DB21BBD" w14:textId="77777777" w:rsidR="00D166F8" w:rsidRPr="00D166F8" w:rsidRDefault="00D166F8">
      <w:pPr>
        <w:rPr>
          <w:rFonts w:ascii="Times New Roman" w:hAnsi="Times New Roman" w:cs="Times New Roman"/>
          <w:sz w:val="24"/>
          <w:szCs w:val="24"/>
        </w:rPr>
      </w:pPr>
    </w:p>
    <w:sectPr w:rsidR="00D166F8" w:rsidRPr="00D166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530A" w14:textId="77777777" w:rsidR="009D7613" w:rsidRDefault="009D7613" w:rsidP="00823FDC">
      <w:r>
        <w:separator/>
      </w:r>
    </w:p>
  </w:endnote>
  <w:endnote w:type="continuationSeparator" w:id="0">
    <w:p w14:paraId="1C33908B" w14:textId="77777777" w:rsidR="009D7613" w:rsidRDefault="009D7613" w:rsidP="0082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247BE" w14:textId="77777777" w:rsidR="009D7613" w:rsidRDefault="009D7613" w:rsidP="00823FDC">
      <w:r>
        <w:separator/>
      </w:r>
    </w:p>
  </w:footnote>
  <w:footnote w:type="continuationSeparator" w:id="0">
    <w:p w14:paraId="75E0D2F7" w14:textId="77777777" w:rsidR="009D7613" w:rsidRDefault="009D7613" w:rsidP="00823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3F"/>
    <w:rsid w:val="002279A5"/>
    <w:rsid w:val="00266B03"/>
    <w:rsid w:val="003A2070"/>
    <w:rsid w:val="003D52CD"/>
    <w:rsid w:val="004731E3"/>
    <w:rsid w:val="0050453F"/>
    <w:rsid w:val="00823FDC"/>
    <w:rsid w:val="00836151"/>
    <w:rsid w:val="009876DD"/>
    <w:rsid w:val="009D7613"/>
    <w:rsid w:val="00B404EE"/>
    <w:rsid w:val="00B81F46"/>
    <w:rsid w:val="00BB30A5"/>
    <w:rsid w:val="00BD4F4F"/>
    <w:rsid w:val="00C63E46"/>
    <w:rsid w:val="00C80837"/>
    <w:rsid w:val="00C81EDB"/>
    <w:rsid w:val="00D166F8"/>
    <w:rsid w:val="00E331AE"/>
    <w:rsid w:val="00E62F15"/>
    <w:rsid w:val="00EA1A6C"/>
    <w:rsid w:val="00EE07B4"/>
    <w:rsid w:val="00F3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2A036"/>
  <w15:chartTrackingRefBased/>
  <w15:docId w15:val="{A24EDFF2-295F-46FB-8E72-9D24225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30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3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30A5"/>
    <w:rPr>
      <w:sz w:val="18"/>
      <w:szCs w:val="18"/>
    </w:rPr>
  </w:style>
  <w:style w:type="character" w:styleId="a7">
    <w:name w:val="annotation reference"/>
    <w:basedOn w:val="a0"/>
    <w:uiPriority w:val="99"/>
    <w:rsid w:val="000F3DF7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8">
    <w:name w:val="annotation text"/>
    <w:basedOn w:val="a"/>
    <w:link w:val="a9"/>
    <w:uiPriority w:val="99"/>
    <w:semiHidden/>
    <w:unhideWhenUsed/>
    <w:rPr>
      <w:rFonts w:ascii="Tahoma" w:hAnsi="Tahoma" w:cs="Tahoma"/>
      <w:sz w:val="16"/>
      <w:szCs w:val="20"/>
    </w:rPr>
  </w:style>
  <w:style w:type="character" w:customStyle="1" w:styleId="a9">
    <w:name w:val="批注文字 字符"/>
    <w:basedOn w:val="a0"/>
    <w:link w:val="a8"/>
    <w:uiPriority w:val="99"/>
    <w:semiHidden/>
    <w:rPr>
      <w:rFonts w:ascii="Tahoma" w:hAnsi="Tahoma" w:cs="Tahoma"/>
      <w:sz w:val="16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A2070"/>
    <w:rPr>
      <w:rFonts w:asciiTheme="minorHAnsi" w:hAnsiTheme="minorHAnsi" w:cstheme="minorBidi"/>
      <w:b/>
      <w:bCs/>
      <w:sz w:val="20"/>
    </w:rPr>
  </w:style>
  <w:style w:type="character" w:customStyle="1" w:styleId="ab">
    <w:name w:val="批注主题 字符"/>
    <w:basedOn w:val="a9"/>
    <w:link w:val="aa"/>
    <w:uiPriority w:val="99"/>
    <w:semiHidden/>
    <w:rsid w:val="003A2070"/>
    <w:rPr>
      <w:rFonts w:ascii="Tahoma" w:hAnsi="Tahoma" w:cs="Tahoma"/>
      <w:b/>
      <w:bCs/>
      <w:sz w:val="20"/>
      <w:szCs w:val="20"/>
    </w:rPr>
  </w:style>
  <w:style w:type="paragraph" w:styleId="ac">
    <w:name w:val="Revision"/>
    <w:hidden/>
    <w:uiPriority w:val="99"/>
    <w:semiHidden/>
    <w:rsid w:val="003A2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298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8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image" Target="media/image10.tif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junyu long</dc:creator>
  <cp:lastModifiedBy>junyu long</cp:lastModifiedBy>
  <cp:revision>16</cp:revision>
  <dcterms:created xsi:type="dcterms:W3CDTF">2022-01-31T17:08:00Z</dcterms:created>
  <dcterms:modified xsi:type="dcterms:W3CDTF">2022-02-06T14:33:00Z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2022-02-01T07:45:06Z</vt:filetime>
  </property>
</Properties>
</file>