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35F7" w:rsidRPr="00677F13" w:rsidRDefault="008235F7" w:rsidP="008235F7">
      <w:pPr>
        <w:pStyle w:val="NormalWeb"/>
        <w:spacing w:afterLines="100" w:after="240" w:line="480" w:lineRule="auto"/>
        <w:rPr>
          <w:rFonts w:eastAsiaTheme="minorEastAsia"/>
          <w:color w:val="000000"/>
        </w:rPr>
      </w:pPr>
      <w:bookmarkStart w:id="0" w:name="_Hlk82158844"/>
      <w:r>
        <w:rPr>
          <w:b/>
        </w:rPr>
        <w:t>SUPPLEME</w:t>
      </w:r>
      <w:bookmarkStart w:id="1" w:name="_GoBack"/>
      <w:bookmarkEnd w:id="1"/>
      <w:r>
        <w:rPr>
          <w:b/>
        </w:rPr>
        <w:t>NTARY LEGENDS</w:t>
      </w:r>
    </w:p>
    <w:p w:rsidR="008235F7" w:rsidRDefault="008235F7" w:rsidP="008235F7">
      <w:pPr>
        <w:spacing w:line="480" w:lineRule="auto"/>
        <w:rPr>
          <w:b/>
        </w:rPr>
      </w:pPr>
    </w:p>
    <w:bookmarkEnd w:id="0"/>
    <w:p w:rsidR="008235F7" w:rsidRDefault="008235F7" w:rsidP="008235F7">
      <w:pPr>
        <w:spacing w:line="480" w:lineRule="auto"/>
      </w:pPr>
      <w:r w:rsidRPr="005119D8">
        <w:rPr>
          <w:b/>
          <w:bCs/>
        </w:rPr>
        <w:t xml:space="preserve">Supplementary Figure </w:t>
      </w:r>
      <w:r>
        <w:rPr>
          <w:b/>
          <w:bCs/>
        </w:rPr>
        <w:t>1</w:t>
      </w:r>
      <w:r w:rsidRPr="005119D8">
        <w:rPr>
          <w:b/>
        </w:rPr>
        <w:t>.</w:t>
      </w:r>
      <w:r>
        <w:rPr>
          <w:b/>
        </w:rPr>
        <w:t xml:space="preserve"> </w:t>
      </w:r>
      <w:r w:rsidRPr="00F44390">
        <w:t>(</w:t>
      </w:r>
      <w:r>
        <w:t>A</w:t>
      </w:r>
      <w:r w:rsidRPr="00F44390">
        <w:t>)</w:t>
      </w:r>
      <w:r>
        <w:t xml:space="preserve"> </w:t>
      </w:r>
      <w:r w:rsidRPr="00B44450">
        <w:rPr>
          <w:highlight w:val="yellow"/>
        </w:rPr>
        <w:t xml:space="preserve">Weighted </w:t>
      </w:r>
      <w:proofErr w:type="spellStart"/>
      <w:r w:rsidRPr="00B44450">
        <w:rPr>
          <w:highlight w:val="yellow"/>
        </w:rPr>
        <w:t>UniFrac</w:t>
      </w:r>
      <w:proofErr w:type="spellEnd"/>
      <w:r w:rsidRPr="00B44450">
        <w:rPr>
          <w:highlight w:val="yellow"/>
        </w:rPr>
        <w:t xml:space="preserve"> Principal coordinates analysis (</w:t>
      </w:r>
      <w:proofErr w:type="spellStart"/>
      <w:r w:rsidRPr="00B44450">
        <w:rPr>
          <w:highlight w:val="yellow"/>
        </w:rPr>
        <w:t>PCoA</w:t>
      </w:r>
      <w:proofErr w:type="spellEnd"/>
      <w:r w:rsidRPr="00B44450">
        <w:rPr>
          <w:highlight w:val="yellow"/>
        </w:rPr>
        <w:t xml:space="preserve">) of baseline samples from human subjects showing responders (n=18) versus </w:t>
      </w:r>
      <w:proofErr w:type="spellStart"/>
      <w:r w:rsidRPr="00B44450">
        <w:rPr>
          <w:highlight w:val="yellow"/>
        </w:rPr>
        <w:t>nonresponders</w:t>
      </w:r>
      <w:proofErr w:type="spellEnd"/>
      <w:r w:rsidRPr="00B44450">
        <w:rPr>
          <w:highlight w:val="yellow"/>
        </w:rPr>
        <w:t xml:space="preserve"> (n=47).  (B)</w:t>
      </w:r>
      <w:r>
        <w:t xml:space="preserve"> Log</w:t>
      </w:r>
      <w:r>
        <w:rPr>
          <w:vertAlign w:val="subscript"/>
        </w:rPr>
        <w:t>2</w:t>
      </w:r>
      <w:r>
        <w:t xml:space="preserve"> fold change (log2FC) plot of all significantly (FDR-</w:t>
      </w:r>
      <w:r w:rsidRPr="00F44390">
        <w:t>P &lt; 0.05</w:t>
      </w:r>
      <w:r>
        <w:t xml:space="preserve">) enriched amplicon sequence variants (ASVs) in responder and non-responder subjects. Filled circles located above y=0 indicate enrichment in responders and those below indicates enrichment in non-responders. </w:t>
      </w:r>
    </w:p>
    <w:p w:rsidR="008235F7" w:rsidRPr="005119D8" w:rsidRDefault="008235F7" w:rsidP="008235F7">
      <w:pPr>
        <w:spacing w:line="480" w:lineRule="auto"/>
      </w:pPr>
    </w:p>
    <w:p w:rsidR="008235F7" w:rsidRDefault="008235F7" w:rsidP="008235F7">
      <w:pPr>
        <w:spacing w:line="480" w:lineRule="auto"/>
      </w:pPr>
      <w:r w:rsidRPr="005119D8">
        <w:rPr>
          <w:b/>
          <w:bCs/>
        </w:rPr>
        <w:t xml:space="preserve">Supplementary Figure </w:t>
      </w:r>
      <w:r>
        <w:rPr>
          <w:b/>
          <w:bCs/>
        </w:rPr>
        <w:t>2</w:t>
      </w:r>
      <w:r w:rsidRPr="005119D8">
        <w:rPr>
          <w:b/>
        </w:rPr>
        <w:t xml:space="preserve">. </w:t>
      </w:r>
      <w:r w:rsidRPr="00D9744D">
        <w:t>(A)</w:t>
      </w:r>
      <w:r>
        <w:rPr>
          <w:b/>
        </w:rPr>
        <w:t xml:space="preserve"> </w:t>
      </w:r>
      <w:r>
        <w:t xml:space="preserve">Weighted </w:t>
      </w:r>
      <w:proofErr w:type="spellStart"/>
      <w:r>
        <w:t>UniFrac</w:t>
      </w:r>
      <w:proofErr w:type="spellEnd"/>
      <w:r>
        <w:t xml:space="preserve"> Principal coordinates analysis (</w:t>
      </w:r>
      <w:proofErr w:type="spellStart"/>
      <w:r>
        <w:t>PCoA</w:t>
      </w:r>
      <w:proofErr w:type="spellEnd"/>
      <w:r>
        <w:t xml:space="preserve">) of baseline samples from human subjects showing samples selected for RNA-seq analysis (n=20, red filled circles) and those not selected (n=45, gray filled circles). </w:t>
      </w:r>
      <w:r w:rsidRPr="00B44450">
        <w:rPr>
          <w:highlight w:val="yellow"/>
        </w:rPr>
        <w:t xml:space="preserve">(B) Volcano plot of </w:t>
      </w:r>
      <w:proofErr w:type="spellStart"/>
      <w:r w:rsidRPr="00B44450">
        <w:rPr>
          <w:highlight w:val="yellow"/>
        </w:rPr>
        <w:t>metatranscriptomic</w:t>
      </w:r>
      <w:proofErr w:type="spellEnd"/>
      <w:r w:rsidRPr="00B44450">
        <w:rPr>
          <w:highlight w:val="yellow"/>
        </w:rPr>
        <w:t xml:space="preserve"> data displaying the pattern of gene expression for responders (R) versus non-responders (NR). Significantly differentially expressed genes (FDR-P &lt; 0.05) that are enriched in non-responders are shown in red, significantly differentially expressed genes (FDR-P &lt; 0.05) that are enriched in responders are shown in green and genes with FDR-P ≥ 0.05 are shown in gray. The black dotted horizontal line represents FDR-P = 0.05.  Selected genes that are enriched in responders or non-</w:t>
      </w:r>
      <w:proofErr w:type="spellStart"/>
      <w:r w:rsidRPr="00B44450">
        <w:rPr>
          <w:highlight w:val="yellow"/>
        </w:rPr>
        <w:t>respondersare</w:t>
      </w:r>
      <w:proofErr w:type="spellEnd"/>
      <w:r w:rsidRPr="00B44450">
        <w:rPr>
          <w:highlight w:val="yellow"/>
        </w:rPr>
        <w:t xml:space="preserve"> are indicated on the graph.</w:t>
      </w:r>
      <w:r>
        <w:t xml:space="preserve"> </w:t>
      </w:r>
      <w:r w:rsidRPr="00F622EB">
        <w:t>Word cloud representation of enriched KEGG Ortholog (KO) functional profiles pathways constructed from</w:t>
      </w:r>
      <w:r>
        <w:t xml:space="preserve"> m</w:t>
      </w:r>
      <w:r w:rsidRPr="005F5105">
        <w:t>icrobial RNA sequencing</w:t>
      </w:r>
      <w:r w:rsidRPr="00F622EB">
        <w:t xml:space="preserve"> showing metabolic pathways enriched in </w:t>
      </w:r>
      <w:r>
        <w:t>(</w:t>
      </w:r>
      <w:r w:rsidRPr="00B44450">
        <w:rPr>
          <w:highlight w:val="yellow"/>
        </w:rPr>
        <w:t>C</w:t>
      </w:r>
      <w:r>
        <w:t>)</w:t>
      </w:r>
      <w:r w:rsidRPr="00F622EB">
        <w:t xml:space="preserve"> </w:t>
      </w:r>
      <w:r>
        <w:t>responders and (</w:t>
      </w:r>
      <w:r w:rsidRPr="00B44450">
        <w:rPr>
          <w:highlight w:val="yellow"/>
        </w:rPr>
        <w:t>D</w:t>
      </w:r>
      <w:r>
        <w:t xml:space="preserve">) non-responders. </w:t>
      </w:r>
      <w:r w:rsidRPr="00F622EB">
        <w:t>Pathways in red font are significantly enriched FDR</w:t>
      </w:r>
      <w:r>
        <w:t>-</w:t>
      </w:r>
      <w:r w:rsidRPr="00F622EB">
        <w:t xml:space="preserve">P &lt; 0.05. Font size corresponds to </w:t>
      </w:r>
      <w:r>
        <w:t>-</w:t>
      </w:r>
      <w:r w:rsidRPr="00F622EB">
        <w:t>log</w:t>
      </w:r>
      <w:r w:rsidRPr="00512751">
        <w:rPr>
          <w:vertAlign w:val="subscript"/>
        </w:rPr>
        <w:t>10</w:t>
      </w:r>
      <w:r w:rsidRPr="00F622EB">
        <w:t>(FDR P).</w:t>
      </w:r>
    </w:p>
    <w:p w:rsidR="008235F7" w:rsidRDefault="008235F7" w:rsidP="008235F7">
      <w:pPr>
        <w:spacing w:line="480" w:lineRule="auto"/>
      </w:pPr>
    </w:p>
    <w:p w:rsidR="008235F7" w:rsidRDefault="008235F7" w:rsidP="008235F7">
      <w:pPr>
        <w:spacing w:line="480" w:lineRule="auto"/>
      </w:pPr>
      <w:r w:rsidRPr="002A191E">
        <w:rPr>
          <w:b/>
        </w:rPr>
        <w:lastRenderedPageBreak/>
        <w:t>Supplementary Figure 3.</w:t>
      </w:r>
      <w:r>
        <w:rPr>
          <w:b/>
        </w:rPr>
        <w:t xml:space="preserve"> </w:t>
      </w:r>
      <w:r>
        <w:t>(A) Endpoint IVIS imaging via bioluminescence measurement of luciferase activity of LLC-</w:t>
      </w:r>
      <w:proofErr w:type="spellStart"/>
      <w:r>
        <w:t>luc</w:t>
      </w:r>
      <w:proofErr w:type="spellEnd"/>
      <w:r>
        <w:t xml:space="preserve"> implanted mice colonized with human pooled responder (n=9) and non-responder (n=9) inoculum following treatment with anti-PD-1 monoclonal antibody, separated by cage. (B) Quantification of region of interest (ROI) of bioluminescent signal per mouse by IVIS imaging software represented by mean </w:t>
      </w:r>
      <w:r w:rsidRPr="00471427">
        <w:t>±</w:t>
      </w:r>
      <w:r>
        <w:t xml:space="preserve"> SD of total normalized flux of responder (n=9) and non-responder (n=9) mice. Mann Whitney P=0.002 (C) Growth curve of LLC-</w:t>
      </w:r>
      <w:proofErr w:type="spellStart"/>
      <w:r>
        <w:t>luc</w:t>
      </w:r>
      <w:proofErr w:type="spellEnd"/>
      <w:r>
        <w:t xml:space="preserve"> subcutaneous allograft tumors after human fecal microbiota transplant from single donor R-139 or NR-126 into germ-free mice (n=9/group) treated with anti-PD-1 monoclonal antibody injection. Each point is tumor volume m</w:t>
      </w:r>
      <w:r w:rsidRPr="00471427">
        <w:t>ean ± SEM</w:t>
      </w:r>
      <w:r>
        <w:t>. ANOVA P=0.019 at endpoint (D) Growth curve of LLC-</w:t>
      </w:r>
      <w:proofErr w:type="spellStart"/>
      <w:r>
        <w:t>luc</w:t>
      </w:r>
      <w:proofErr w:type="spellEnd"/>
      <w:r>
        <w:t xml:space="preserve"> subcutaneous allograft tumors after human fecal microbiota transplant from single donor R-134 or NR-135 into germ-free mice (n=9/group) treated with anti-PD-1 monoclonal antibody injection. Each point is tumor volume m</w:t>
      </w:r>
      <w:r w:rsidRPr="00471427">
        <w:t>ean ± SEM</w:t>
      </w:r>
      <w:r>
        <w:t xml:space="preserve">. ANOVA P=0.008 at endpoint (E) Mean </w:t>
      </w:r>
      <w:r w:rsidRPr="00471427">
        <w:t>±</w:t>
      </w:r>
      <w:r>
        <w:t xml:space="preserve"> SEM of tumor weight at endpoint after human fecal microbiota transplant from single donor R-139 or NR-126 into germ-free mice (n=9/group) treated with anti-PD-1 monoclonal antibody injection. Mann Whitney P=0.019 (F) Mean </w:t>
      </w:r>
      <w:r w:rsidRPr="00471427">
        <w:t>±</w:t>
      </w:r>
      <w:r>
        <w:t xml:space="preserve"> SEM of tumor weight at endpoint after human fecal microbiota transplant from single donor R-134 or NR-135 into germ-free mice (n=9/group) treated with anti-PD-1 monoclonal antibody injection. Mann Whitney P=0.041.</w:t>
      </w:r>
    </w:p>
    <w:p w:rsidR="008235F7" w:rsidRPr="002A191E" w:rsidRDefault="008235F7" w:rsidP="008235F7">
      <w:pPr>
        <w:spacing w:line="480" w:lineRule="auto"/>
        <w:rPr>
          <w:b/>
        </w:rPr>
      </w:pPr>
    </w:p>
    <w:p w:rsidR="008235F7" w:rsidRDefault="008235F7" w:rsidP="008235F7">
      <w:pPr>
        <w:spacing w:line="480" w:lineRule="auto"/>
      </w:pPr>
      <w:r w:rsidRPr="002A191E">
        <w:rPr>
          <w:b/>
        </w:rPr>
        <w:t>Supplementary Figure 4.</w:t>
      </w:r>
      <w:r>
        <w:rPr>
          <w:b/>
        </w:rPr>
        <w:t xml:space="preserve"> </w:t>
      </w:r>
      <w:r w:rsidRPr="00212C6C">
        <w:t xml:space="preserve">(A) </w:t>
      </w:r>
      <w:r>
        <w:t>Representative f</w:t>
      </w:r>
      <w:r w:rsidRPr="00212C6C">
        <w:t>low cytometry gating</w:t>
      </w:r>
      <w:r>
        <w:rPr>
          <w:b/>
        </w:rPr>
        <w:t xml:space="preserve"> </w:t>
      </w:r>
      <w:r>
        <w:t>strategy used for T cell IFN</w:t>
      </w:r>
      <w:r w:rsidRPr="00170565">
        <w:rPr>
          <w:rFonts w:ascii="Symbol" w:hAnsi="Symbol"/>
        </w:rPr>
        <w:t></w:t>
      </w:r>
      <w:r>
        <w:t xml:space="preserve"> analysis (B) Representative flow cytometry gating strategy used for tumoral myeloid population panel (C) Representative flow cytometry gating strategy used for broad T cell activation panel.</w:t>
      </w:r>
    </w:p>
    <w:p w:rsidR="008235F7" w:rsidRDefault="008235F7" w:rsidP="008235F7">
      <w:pPr>
        <w:spacing w:line="480" w:lineRule="auto"/>
      </w:pPr>
      <w:r w:rsidRPr="00B44450">
        <w:rPr>
          <w:b/>
          <w:bCs/>
          <w:highlight w:val="yellow"/>
        </w:rPr>
        <w:lastRenderedPageBreak/>
        <w:t>Supplementary Figure 5.</w:t>
      </w:r>
      <w:r w:rsidRPr="00B44450">
        <w:rPr>
          <w:highlight w:val="yellow"/>
        </w:rPr>
        <w:t xml:space="preserve"> Quantitative representation of flow cytometric analysis for: (A) number of CD8+ </w:t>
      </w:r>
      <w:proofErr w:type="spellStart"/>
      <w:r w:rsidRPr="00B44450">
        <w:rPr>
          <w:highlight w:val="yellow"/>
        </w:rPr>
        <w:t>IFNγ</w:t>
      </w:r>
      <w:proofErr w:type="spellEnd"/>
      <w:r w:rsidRPr="00B44450">
        <w:rPr>
          <w:highlight w:val="yellow"/>
        </w:rPr>
        <w:t>+ T cells per 100,000 live single tumor cells in responder (n=8) and non-responder (n=9) tumors. Mann Whitney P=0.059.; (B) number of CD4+ CXCR3+ T cells per 100,000 live single tumor cells in responder (n=7) and non-responder (n=9) tumors. Mann Whitney P=0.016; (C) number of neutrophils (Gr1+ CD11c+ CD11b+ cells) per 100,000 live single tumor cells in responder (n=8) and non-responder (n=9) tumors. Mann Whitney P=0.039; (D) number of macrophages (Gr1- CD11c- CD11b+ cells) per 100,000 live single tumor cells in responder (n=8) and non-responder (n=9) tumors. Mann Whitney P=0.035.</w:t>
      </w:r>
    </w:p>
    <w:p w:rsidR="008235F7" w:rsidRDefault="008235F7" w:rsidP="008235F7">
      <w:pPr>
        <w:spacing w:line="480" w:lineRule="auto"/>
      </w:pPr>
    </w:p>
    <w:p w:rsidR="008235F7" w:rsidRDefault="008235F7" w:rsidP="008235F7">
      <w:pPr>
        <w:spacing w:line="480" w:lineRule="auto"/>
      </w:pPr>
      <w:r w:rsidRPr="00170565">
        <w:rPr>
          <w:b/>
        </w:rPr>
        <w:t>Supplementary Table 1.</w:t>
      </w:r>
      <w:r>
        <w:t xml:space="preserve"> Significantly upregulated pathways in responder and non-responder human subjects by </w:t>
      </w:r>
      <w:proofErr w:type="spellStart"/>
      <w:r>
        <w:t>RNAseq</w:t>
      </w:r>
      <w:proofErr w:type="spellEnd"/>
      <w:r>
        <w:t xml:space="preserve"> analysis.</w:t>
      </w:r>
    </w:p>
    <w:p w:rsidR="00FE60A2" w:rsidRDefault="0036788C"/>
    <w:sectPr w:rsidR="00FE6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F7"/>
    <w:rsid w:val="0036788C"/>
    <w:rsid w:val="0054344A"/>
    <w:rsid w:val="00676CCB"/>
    <w:rsid w:val="007F776F"/>
    <w:rsid w:val="008235F7"/>
    <w:rsid w:val="00D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A4DD3"/>
  <w15:chartTrackingRefBased/>
  <w15:docId w15:val="{B227885D-4FD4-43E3-BCE8-F144E140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3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235F7"/>
    <w:pPr>
      <w:spacing w:before="100" w:beforeAutospacing="1" w:after="100" w:afterAutospacing="1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Newsome,Rachel C</dc:creator>
  <cp:keywords/>
  <dc:description/>
  <cp:lastModifiedBy>Newsome,Rachel C</cp:lastModifiedBy>
  <cp:revision>2</cp:revision>
  <dcterms:created xsi:type="dcterms:W3CDTF">2022-02-28T15:34:00Z</dcterms:created>
  <dcterms:modified xsi:type="dcterms:W3CDTF">2022-02-28T15:34:00Z</dcterms:modified>
</cp:coreProperties>
</file>