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55214E" w:rsidRDefault="004664F3">
      <w:pPr>
        <w:pStyle w:val="Heading2"/>
        <w:spacing w:before="120" w:line="480" w:lineRule="auto"/>
        <w:rPr>
          <w:b/>
          <w:sz w:val="24"/>
          <w:szCs w:val="24"/>
        </w:rPr>
      </w:pPr>
      <w:bookmarkStart w:id="0" w:name="_GoBack"/>
      <w:proofErr w:type="spellStart"/>
      <w:r>
        <w:rPr>
          <w:b/>
          <w:sz w:val="24"/>
          <w:szCs w:val="24"/>
        </w:rPr>
        <w:t>Carbapenemases</w:t>
      </w:r>
      <w:proofErr w:type="spellEnd"/>
      <w:r>
        <w:rPr>
          <w:b/>
          <w:sz w:val="24"/>
          <w:szCs w:val="24"/>
        </w:rPr>
        <w:t>, as well as extended spectrum beta-lactamases coinciding with disrupted major porins, accounted for the vast majority of carbapenem resistance</w:t>
      </w:r>
    </w:p>
    <w:p w14:paraId="00000002" w14:textId="77777777" w:rsidR="0055214E" w:rsidRDefault="004664F3">
      <w:pPr>
        <w:spacing w:line="480" w:lineRule="auto"/>
        <w:ind w:firstLine="720"/>
      </w:pPr>
      <w:r>
        <w:t xml:space="preserve">Given that we captured all CRE from hospital microbiology labs, regardless of resistance mechanism, we sought to quantify the contributions of different resistance mechanisms to CRE burden (Table 2; Fig. 2; Additional file 1: Table S1; Additional file 2: Fig. </w:t>
      </w:r>
      <w:proofErr w:type="gramStart"/>
      <w:r>
        <w:t>S3-S4).</w:t>
      </w:r>
      <w:proofErr w:type="gramEnd"/>
      <w:r>
        <w:t xml:space="preserve"> To do this, we searched all of our whole genome assemblies, including CRE and CSE, against a database of known genetic determinants of </w:t>
      </w:r>
      <w:proofErr w:type="spellStart"/>
      <w:r>
        <w:t>carbapenem</w:t>
      </w:r>
      <w:proofErr w:type="spellEnd"/>
      <w:r>
        <w:t xml:space="preserve"> resistance, including </w:t>
      </w:r>
      <w:proofErr w:type="spellStart"/>
      <w:r>
        <w:t>carbapenemases</w:t>
      </w:r>
      <w:proofErr w:type="spellEnd"/>
      <w:r>
        <w:t xml:space="preserve"> and extended spectrum beta lactamases (ESBLs), and evaluated the major </w:t>
      </w:r>
      <w:proofErr w:type="spellStart"/>
      <w:r>
        <w:t>porins</w:t>
      </w:r>
      <w:proofErr w:type="spellEnd"/>
      <w:r>
        <w:t xml:space="preserve"> </w:t>
      </w:r>
      <w:proofErr w:type="spellStart"/>
      <w:r>
        <w:t>OmpC</w:t>
      </w:r>
      <w:proofErr w:type="spellEnd"/>
      <w:r>
        <w:t xml:space="preserve"> and </w:t>
      </w:r>
      <w:proofErr w:type="spellStart"/>
      <w:r>
        <w:t>OmpF</w:t>
      </w:r>
      <w:proofErr w:type="spellEnd"/>
      <w:r>
        <w:t xml:space="preserve"> (or their homologues OmpK36 and OmpK35 in </w:t>
      </w:r>
      <w:r>
        <w:rPr>
          <w:i/>
        </w:rPr>
        <w:t>Klebsiella</w:t>
      </w:r>
      <w:r>
        <w:t xml:space="preserve">) for genetic evidence of inactivation </w:t>
      </w:r>
      <w:hyperlink r:id="rId6">
        <w:r>
          <w:rPr>
            <w:color w:val="000000"/>
          </w:rPr>
          <w:t>[1–3]</w:t>
        </w:r>
      </w:hyperlink>
      <w:r>
        <w:t xml:space="preserve"> (Materials and Methods). Based on our findings, we classified each CRE and CSE isolate into one of five previously defined </w:t>
      </w:r>
      <w:proofErr w:type="spellStart"/>
      <w:r>
        <w:t>resistome</w:t>
      </w:r>
      <w:proofErr w:type="spellEnd"/>
      <w:r>
        <w:t xml:space="preserve"> groups </w:t>
      </w:r>
      <w:hyperlink r:id="rId7">
        <w:r>
          <w:rPr>
            <w:color w:val="000000"/>
          </w:rPr>
          <w:t>[4]</w:t>
        </w:r>
      </w:hyperlink>
      <w:r>
        <w:t xml:space="preserve"> (Table 2). </w:t>
      </w:r>
    </w:p>
    <w:p w14:paraId="00000003" w14:textId="77777777" w:rsidR="0055214E" w:rsidRDefault="004664F3">
      <w:pPr>
        <w:spacing w:line="480" w:lineRule="auto"/>
        <w:ind w:firstLine="720"/>
      </w:pPr>
      <w:r>
        <w:t xml:space="preserve">Most CRE (66%) carried a </w:t>
      </w:r>
      <w:proofErr w:type="spellStart"/>
      <w:r>
        <w:t>carbapenemase</w:t>
      </w:r>
      <w:proofErr w:type="spellEnd"/>
      <w:r>
        <w:t xml:space="preserve"> (</w:t>
      </w:r>
      <w:proofErr w:type="spellStart"/>
      <w:r>
        <w:t>carbapenemase</w:t>
      </w:r>
      <w:proofErr w:type="spellEnd"/>
      <w:r>
        <w:t xml:space="preserve"> producing CRE or CP-CRE; group </w:t>
      </w:r>
      <w:proofErr w:type="spellStart"/>
      <w:r>
        <w:t>i</w:t>
      </w:r>
      <w:proofErr w:type="spellEnd"/>
      <w:r>
        <w:t xml:space="preserve">), similar to what was observed in other U.S. and international studies </w:t>
      </w:r>
      <w:hyperlink r:id="rId8">
        <w:r>
          <w:rPr>
            <w:color w:val="000000"/>
          </w:rPr>
          <w:t>[4</w:t>
        </w:r>
        <w:proofErr w:type="gramStart"/>
        <w:r>
          <w:rPr>
            <w:color w:val="000000"/>
          </w:rPr>
          <w:t>,5</w:t>
        </w:r>
        <w:proofErr w:type="gramEnd"/>
        <w:r>
          <w:rPr>
            <w:color w:val="000000"/>
          </w:rPr>
          <w:t>]</w:t>
        </w:r>
      </w:hyperlink>
      <w:r>
        <w:t xml:space="preserve">; </w:t>
      </w:r>
      <w:proofErr w:type="spellStart"/>
      <w:r>
        <w:rPr>
          <w:i/>
        </w:rPr>
        <w:t>bla</w:t>
      </w:r>
      <w:r>
        <w:rPr>
          <w:vertAlign w:val="subscript"/>
        </w:rPr>
        <w:t>KPC</w:t>
      </w:r>
      <w:proofErr w:type="spellEnd"/>
      <w:r>
        <w:t xml:space="preserve"> variants were among the most prevalent </w:t>
      </w:r>
      <w:proofErr w:type="spellStart"/>
      <w:r>
        <w:t>carbapenemases</w:t>
      </w:r>
      <w:proofErr w:type="spellEnd"/>
      <w:r>
        <w:t xml:space="preserve"> within this group. The small number of group </w:t>
      </w:r>
      <w:proofErr w:type="spellStart"/>
      <w:r>
        <w:t>i</w:t>
      </w:r>
      <w:proofErr w:type="spellEnd"/>
      <w:r>
        <w:t xml:space="preserve"> strains that represented CSE (1.4%) had MIC’s of 0.5 or 1, below but close to our threshold for defining resistance, 2μg/ml</w:t>
      </w:r>
      <w:proofErr w:type="gramStart"/>
      <w:r>
        <w:t xml:space="preserve">.  </w:t>
      </w:r>
      <w:proofErr w:type="gramEnd"/>
      <w:r>
        <w:t xml:space="preserve">An additional 27.6% of CRE isolates carried a gene encoding an ESBL or </w:t>
      </w:r>
      <w:proofErr w:type="spellStart"/>
      <w:r>
        <w:t>AmpC</w:t>
      </w:r>
      <w:proofErr w:type="spellEnd"/>
      <w:r>
        <w:t xml:space="preserve"> beta-lactamase (Additional file 1: Table S6-S7), together with a mutation(s) predicted to inactivate at least one major porin </w:t>
      </w:r>
      <w:hyperlink r:id="rId9">
        <w:r>
          <w:rPr>
            <w:color w:val="000000"/>
          </w:rPr>
          <w:t>[1–3]</w:t>
        </w:r>
      </w:hyperlink>
      <w:r>
        <w:t xml:space="preserve"> (Additional file 1: Table S4-S5) (group ii). About a third of group ii strains were CSE, which may reflect the lack of ESBL upregulation, a known requirement for carbapenem resistance, in these isolates </w:t>
      </w:r>
      <w:hyperlink r:id="rId10">
        <w:r>
          <w:rPr>
            <w:color w:val="000000"/>
          </w:rPr>
          <w:t>[6–8]</w:t>
        </w:r>
      </w:hyperlink>
      <w:sdt>
        <w:sdtPr>
          <w:tag w:val="goog_rdk_0"/>
          <w:id w:val="-2109807331"/>
        </w:sdtPr>
        <w:sdtEndPr/>
        <w:sdtContent>
          <w:r>
            <w:rPr>
              <w:rFonts w:ascii="Arial Unicode MS" w:eastAsia="Arial Unicode MS" w:hAnsi="Arial Unicode MS" w:cs="Arial Unicode MS"/>
            </w:rPr>
            <w:t>. The majority of these strains had very low MIC’s (≤0.25)</w:t>
          </w:r>
          <w:proofErr w:type="gramStart"/>
          <w:r>
            <w:rPr>
              <w:rFonts w:ascii="Arial Unicode MS" w:eastAsia="Arial Unicode MS" w:hAnsi="Arial Unicode MS" w:cs="Arial Unicode MS"/>
            </w:rPr>
            <w:t xml:space="preserve">.  </w:t>
          </w:r>
          <w:proofErr w:type="gramEnd"/>
        </w:sdtContent>
      </w:sdt>
      <w:r>
        <w:rPr>
          <w:rFonts w:ascii="Arimo" w:eastAsia="Arimo" w:hAnsi="Arimo" w:cs="Arimo"/>
        </w:rPr>
        <w:t xml:space="preserve">Consistent with the observation that ESBL-producing </w:t>
      </w:r>
      <w:proofErr w:type="spellStart"/>
      <w:r>
        <w:rPr>
          <w:i/>
        </w:rPr>
        <w:t>Enterobacterales</w:t>
      </w:r>
      <w:proofErr w:type="spellEnd"/>
      <w:r>
        <w:t xml:space="preserve"> have increased over time in U.S. hospitals </w:t>
      </w:r>
      <w:hyperlink r:id="rId11">
        <w:r>
          <w:rPr>
            <w:color w:val="000000"/>
          </w:rPr>
          <w:t>[9]</w:t>
        </w:r>
      </w:hyperlink>
      <w:r>
        <w:t xml:space="preserve">, we also observed a significant increase (p=0.003; regression slope test) over time in the proportion of CRE carrying </w:t>
      </w:r>
      <w:r>
        <w:rPr>
          <w:i/>
        </w:rPr>
        <w:t>bla</w:t>
      </w:r>
      <w:r>
        <w:rPr>
          <w:vertAlign w:val="subscript"/>
        </w:rPr>
        <w:t>CTX-M-15</w:t>
      </w:r>
      <w:r>
        <w:t xml:space="preserve">, the dominant ESBL leading to carbapenem resistance in our dataset, </w:t>
      </w:r>
      <w:r>
        <w:lastRenderedPageBreak/>
        <w:t xml:space="preserve">and the dominant ESBL worldwide </w:t>
      </w:r>
      <w:hyperlink r:id="rId12">
        <w:r>
          <w:rPr>
            <w:color w:val="000000"/>
          </w:rPr>
          <w:t>[10]</w:t>
        </w:r>
      </w:hyperlink>
      <w:r>
        <w:t xml:space="preserve"> (2.7-fold more CRE carrying </w:t>
      </w:r>
      <w:r>
        <w:rPr>
          <w:i/>
        </w:rPr>
        <w:t>bla</w:t>
      </w:r>
      <w:r>
        <w:rPr>
          <w:vertAlign w:val="subscript"/>
        </w:rPr>
        <w:t>CTX-M-15</w:t>
      </w:r>
      <w:r>
        <w:t xml:space="preserve"> in 2016 than in 2012; Additional file 1: Table S1). We observed a similar statistically significant increase (p=0.001) in </w:t>
      </w:r>
      <w:r>
        <w:rPr>
          <w:i/>
        </w:rPr>
        <w:t>bla</w:t>
      </w:r>
      <w:r>
        <w:rPr>
          <w:vertAlign w:val="subscript"/>
        </w:rPr>
        <w:t>CTX-M-15</w:t>
      </w:r>
      <w:r>
        <w:rPr>
          <w:i/>
        </w:rPr>
        <w:t xml:space="preserve"> </w:t>
      </w:r>
      <w:r>
        <w:t>when considering all strains. However, we did not observe this increase when considering the overall proportion of all predicted ESBLs.</w:t>
      </w:r>
    </w:p>
    <w:p w14:paraId="00000004" w14:textId="77777777" w:rsidR="0055214E" w:rsidRDefault="004664F3">
      <w:pPr>
        <w:spacing w:line="480" w:lineRule="auto"/>
        <w:ind w:firstLine="720"/>
      </w:pPr>
      <w:r>
        <w:t xml:space="preserve">As expected, few CRE isolates (2.7%) carried a gene encoding an ESBL or </w:t>
      </w:r>
      <w:proofErr w:type="spellStart"/>
      <w:r>
        <w:t>AmpC</w:t>
      </w:r>
      <w:proofErr w:type="spellEnd"/>
      <w:r>
        <w:t xml:space="preserve"> beta-lactamase in the absence of an inactivating porin mutation (group iii), or had at least one predicted disrupted porin, but no ESBL, </w:t>
      </w:r>
      <w:proofErr w:type="spellStart"/>
      <w:r>
        <w:t>AmpC</w:t>
      </w:r>
      <w:proofErr w:type="spellEnd"/>
      <w:r>
        <w:t xml:space="preserve"> beta-lactamase, or </w:t>
      </w:r>
      <w:proofErr w:type="spellStart"/>
      <w:r>
        <w:t>carbapenemase</w:t>
      </w:r>
      <w:proofErr w:type="spellEnd"/>
      <w:r>
        <w:t xml:space="preserve"> gene (3.6%; group iv). For one of the strains in group iv, BIDMC35, previous work showed that dramatic upregulation of a non-ESBL beta-lactamase (</w:t>
      </w:r>
      <w:r>
        <w:rPr>
          <w:i/>
        </w:rPr>
        <w:t>bla</w:t>
      </w:r>
      <w:r>
        <w:rPr>
          <w:vertAlign w:val="subscript"/>
        </w:rPr>
        <w:t>OXA-663</w:t>
      </w:r>
      <w:r>
        <w:t xml:space="preserve">) caused resistance, together with a porin disruption </w:t>
      </w:r>
      <w:hyperlink r:id="rId13">
        <w:r>
          <w:rPr>
            <w:color w:val="000000"/>
          </w:rPr>
          <w:t>[8]</w:t>
        </w:r>
      </w:hyperlink>
      <w:r>
        <w:t>. All eight of the CRE isolates in group iv contained at least one non-ESBL beta-lactamase</w:t>
      </w:r>
      <w:proofErr w:type="gramStart"/>
      <w:r>
        <w:t xml:space="preserve">.  </w:t>
      </w:r>
      <w:proofErr w:type="gramEnd"/>
      <w:r>
        <w:t xml:space="preserve">Additionally, five of these eight isolates were </w:t>
      </w:r>
      <w:proofErr w:type="gramStart"/>
      <w:r>
        <w:t>double-porin mutants, which is</w:t>
      </w:r>
      <w:proofErr w:type="gramEnd"/>
      <w:r>
        <w:t xml:space="preserve"> an established genotype for low-level carbapenem resistance in </w:t>
      </w:r>
      <w:r>
        <w:rPr>
          <w:i/>
        </w:rPr>
        <w:t xml:space="preserve">Klebsiella </w:t>
      </w:r>
      <w:r>
        <w:t xml:space="preserve">and </w:t>
      </w:r>
      <w:r>
        <w:rPr>
          <w:i/>
        </w:rPr>
        <w:t>Enterobacter</w:t>
      </w:r>
      <w:r>
        <w:t xml:space="preserve"> </w:t>
      </w:r>
      <w:hyperlink r:id="rId14">
        <w:r>
          <w:rPr>
            <w:color w:val="000000"/>
          </w:rPr>
          <w:t>[1]</w:t>
        </w:r>
      </w:hyperlink>
      <w:r>
        <w:rPr>
          <w:i/>
        </w:rPr>
        <w:t xml:space="preserve"> </w:t>
      </w:r>
      <w:r>
        <w:t>(Additional file 1: Table S15)</w:t>
      </w:r>
      <w:r>
        <w:rPr>
          <w:i/>
        </w:rPr>
        <w:t>.</w:t>
      </w:r>
      <w:r>
        <w:t xml:space="preserve"> Taken together, non-CP-CRE (</w:t>
      </w:r>
      <w:proofErr w:type="gramStart"/>
      <w:r>
        <w:t>groups</w:t>
      </w:r>
      <w:proofErr w:type="gramEnd"/>
      <w:r>
        <w:t xml:space="preserve"> ii, iii and iv) had lower median meropenem MIC than CP-CRE (group </w:t>
      </w:r>
      <w:proofErr w:type="spellStart"/>
      <w:r>
        <w:t>i</w:t>
      </w:r>
      <w:proofErr w:type="spellEnd"/>
      <w:r>
        <w:t xml:space="preserve">) (4 vs. 16; Additional file 2: Fig. </w:t>
      </w:r>
      <w:proofErr w:type="gramStart"/>
      <w:r>
        <w:t xml:space="preserve">S5), in agreement with previous results </w:t>
      </w:r>
      <w:hyperlink r:id="rId15">
        <w:r>
          <w:rPr>
            <w:color w:val="000000"/>
          </w:rPr>
          <w:t>[11]</w:t>
        </w:r>
      </w:hyperlink>
      <w:r>
        <w:t>.</w:t>
      </w:r>
      <w:proofErr w:type="gramEnd"/>
      <w:r>
        <w:t xml:space="preserve"> None of the CRE from our dataset fell into group v, representing resistant isolates lacking any of the features captured by </w:t>
      </w:r>
      <w:proofErr w:type="gramStart"/>
      <w:r>
        <w:t>groups</w:t>
      </w:r>
      <w:proofErr w:type="gramEnd"/>
      <w:r>
        <w:t xml:space="preserve"> </w:t>
      </w:r>
      <w:proofErr w:type="spellStart"/>
      <w:r>
        <w:t>i</w:t>
      </w:r>
      <w:proofErr w:type="spellEnd"/>
      <w:r>
        <w:t xml:space="preserve">-iv. This was fewer than another recent large-scale study of resistance </w:t>
      </w:r>
      <w:hyperlink r:id="rId16">
        <w:r>
          <w:rPr>
            <w:color w:val="000000"/>
          </w:rPr>
          <w:t>[11]</w:t>
        </w:r>
      </w:hyperlink>
      <w:r>
        <w:t xml:space="preserve">.   </w:t>
      </w:r>
    </w:p>
    <w:p w14:paraId="00000005" w14:textId="77777777" w:rsidR="0055214E" w:rsidRDefault="004664F3">
      <w:pPr>
        <w:spacing w:line="480" w:lineRule="auto"/>
      </w:pPr>
      <w:r>
        <w:tab/>
        <w:t xml:space="preserve">Although the number of isolates encoding an ESBL or </w:t>
      </w:r>
      <w:proofErr w:type="spellStart"/>
      <w:r>
        <w:t>AmpC</w:t>
      </w:r>
      <w:proofErr w:type="spellEnd"/>
      <w:r>
        <w:t xml:space="preserve">, but no </w:t>
      </w:r>
      <w:proofErr w:type="spellStart"/>
      <w:r>
        <w:t>carbapenemase</w:t>
      </w:r>
      <w:proofErr w:type="spellEnd"/>
      <w:r>
        <w:t xml:space="preserve"> (groups ii and iii), was similar to that observed in a recent large-scale study of CRE across Europe </w:t>
      </w:r>
      <w:hyperlink r:id="rId17">
        <w:r>
          <w:rPr>
            <w:color w:val="000000"/>
          </w:rPr>
          <w:t>[4]</w:t>
        </w:r>
      </w:hyperlink>
      <w:r>
        <w:t>, we observed about twice as many isolates with the corresponding porin disruption necessary to confer resistance (group ii). This was likely due to our intensive search for evidence for genetic inactivation of porins, which was enabled by our sequencing strategy that provided highly contiguous views of the regions around porins, including disruptions caused by transposon insertion. Alternatively, it is possible that there are differences in the distribution of CRE resistance mechanisms between Europe and the U.S. hospitals captured in our study.</w:t>
      </w:r>
    </w:p>
    <w:p w14:paraId="00000006" w14:textId="77777777" w:rsidR="0055214E" w:rsidRDefault="0055214E">
      <w:pPr>
        <w:spacing w:line="480" w:lineRule="auto"/>
        <w:rPr>
          <w:b/>
        </w:rPr>
      </w:pPr>
    </w:p>
    <w:p w14:paraId="00000007" w14:textId="77777777" w:rsidR="0055214E" w:rsidRDefault="004664F3">
      <w:pPr>
        <w:spacing w:line="480" w:lineRule="auto"/>
      </w:pPr>
      <w:r>
        <w:rPr>
          <w:b/>
        </w:rPr>
        <w:lastRenderedPageBreak/>
        <w:t xml:space="preserve">Plasmids with </w:t>
      </w:r>
      <w:proofErr w:type="spellStart"/>
      <w:r>
        <w:rPr>
          <w:b/>
        </w:rPr>
        <w:t>carbapenemases</w:t>
      </w:r>
      <w:proofErr w:type="spellEnd"/>
      <w:r>
        <w:rPr>
          <w:b/>
        </w:rPr>
        <w:t xml:space="preserve"> have extensive opportunity for transfer of </w:t>
      </w:r>
      <w:proofErr w:type="spellStart"/>
      <w:r>
        <w:rPr>
          <w:b/>
        </w:rPr>
        <w:t>carbapenemases</w:t>
      </w:r>
      <w:proofErr w:type="spellEnd"/>
      <w:r>
        <w:rPr>
          <w:b/>
        </w:rPr>
        <w:t xml:space="preserve"> to new plasmid backgrounds and hosts</w:t>
      </w:r>
    </w:p>
    <w:p w14:paraId="00000008" w14:textId="77777777" w:rsidR="0055214E" w:rsidRDefault="004664F3">
      <w:pPr>
        <w:spacing w:line="480" w:lineRule="auto"/>
      </w:pPr>
      <w:r>
        <w:rPr>
          <w:b/>
        </w:rPr>
        <w:tab/>
      </w:r>
      <w:r>
        <w:t xml:space="preserve">MOB-suite plasmid groups encoding </w:t>
      </w:r>
      <w:proofErr w:type="spellStart"/>
      <w:r>
        <w:t>carbapenemases</w:t>
      </w:r>
      <w:proofErr w:type="spellEnd"/>
      <w:r>
        <w:t xml:space="preserve"> tended to both be observed more </w:t>
      </w:r>
      <w:proofErr w:type="gramStart"/>
      <w:r>
        <w:t>often,</w:t>
      </w:r>
      <w:proofErr w:type="gramEnd"/>
      <w:r>
        <w:t xml:space="preserve"> and to cross genus boundaries more frequently (60% vs. 35% for groups with at least two plasmid instances; Additional file 2: Fig. </w:t>
      </w:r>
      <w:proofErr w:type="gramStart"/>
      <w:r>
        <w:t xml:space="preserve">S6, S7 panel a) than groups that did not contain </w:t>
      </w:r>
      <w:proofErr w:type="spellStart"/>
      <w:r>
        <w:t>carbapenemases</w:t>
      </w:r>
      <w:proofErr w:type="spellEnd"/>
      <w:r>
        <w:t>, either because of sampling or due to an enhanced ability to spread.</w:t>
      </w:r>
      <w:proofErr w:type="gramEnd"/>
      <w:r>
        <w:t xml:space="preserve"> Perhaps contributing to their relatively high frequency among unrelated organisms, </w:t>
      </w:r>
      <w:proofErr w:type="spellStart"/>
      <w:r>
        <w:t>carbapenemase</w:t>
      </w:r>
      <w:proofErr w:type="spellEnd"/>
      <w:r>
        <w:t>-containing plasmids were more likely than non-</w:t>
      </w:r>
      <w:proofErr w:type="spellStart"/>
      <w:r>
        <w:t>carbapenemase</w:t>
      </w:r>
      <w:proofErr w:type="spellEnd"/>
      <w:r>
        <w:t xml:space="preserve"> plasmids to encode a </w:t>
      </w:r>
      <w:proofErr w:type="spellStart"/>
      <w:r>
        <w:t>relaxase</w:t>
      </w:r>
      <w:proofErr w:type="spellEnd"/>
      <w:r>
        <w:t xml:space="preserve">, an enzyme required by conjugative plasmids to initiate plasmid transfer </w:t>
      </w:r>
      <w:hyperlink r:id="rId18">
        <w:r>
          <w:rPr>
            <w:color w:val="000000"/>
          </w:rPr>
          <w:t>[12–14]</w:t>
        </w:r>
      </w:hyperlink>
      <w:r>
        <w:t xml:space="preserve"> (93% vs. 79%; </w:t>
      </w:r>
      <w:r>
        <w:rPr>
          <w:i/>
        </w:rPr>
        <w:t>p</w:t>
      </w:r>
      <w:r>
        <w:t xml:space="preserve"> &lt; 10</w:t>
      </w:r>
      <w:r>
        <w:rPr>
          <w:vertAlign w:val="superscript"/>
        </w:rPr>
        <w:t>-4</w:t>
      </w:r>
      <w:r>
        <w:t>).</w:t>
      </w:r>
    </w:p>
    <w:p w14:paraId="2D84EEA8" w14:textId="09A1B6E8" w:rsidR="004664F3" w:rsidRPr="004664F3" w:rsidRDefault="004664F3">
      <w:pPr>
        <w:spacing w:line="480" w:lineRule="auto"/>
        <w:sectPr w:rsidR="004664F3" w:rsidRPr="004664F3" w:rsidSect="00301FCF">
          <w:pgSz w:w="12240" w:h="15840"/>
          <w:pgMar w:top="1440" w:right="1440" w:bottom="1440" w:left="1440" w:header="720" w:footer="720" w:gutter="0"/>
          <w:pgNumType w:start="1"/>
          <w:cols w:space="720"/>
          <w:docGrid w:linePitch="299"/>
        </w:sectPr>
      </w:pPr>
      <w:r>
        <w:tab/>
        <w:t xml:space="preserve">Further, we observed that plasmids from 75% of all groups co-occurred with a plasmid from a </w:t>
      </w:r>
      <w:proofErr w:type="spellStart"/>
      <w:r>
        <w:t>carbapenemase</w:t>
      </w:r>
      <w:proofErr w:type="spellEnd"/>
      <w:r>
        <w:t>-containing plasmid group at some point</w:t>
      </w:r>
      <w:proofErr w:type="gramStart"/>
      <w:r>
        <w:t xml:space="preserve">.  </w:t>
      </w:r>
      <w:proofErr w:type="gramEnd"/>
      <w:r>
        <w:t xml:space="preserve">These co-occurrences provide ample opportunity for inter-molecular rearrangements between diverse plasmids and diversification of the plasmids within which </w:t>
      </w:r>
      <w:proofErr w:type="spellStart"/>
      <w:r>
        <w:t>carbapenemases</w:t>
      </w:r>
      <w:proofErr w:type="spellEnd"/>
      <w:r>
        <w:t xml:space="preserve"> may be found. Over a quarter (27%) of all isolates with plasmids harbored two or more different </w:t>
      </w:r>
      <w:proofErr w:type="spellStart"/>
      <w:r>
        <w:t>carbapenemase</w:t>
      </w:r>
      <w:proofErr w:type="spellEnd"/>
      <w:r>
        <w:t xml:space="preserve">-containing plasmid groups, which could lead to plasmid collaboration mechanisms that increase spread of these </w:t>
      </w:r>
      <w:proofErr w:type="spellStart"/>
      <w:r>
        <w:t>carbapenemase</w:t>
      </w:r>
      <w:proofErr w:type="spellEnd"/>
      <w:r>
        <w:t xml:space="preserve">-carrying groups  </w:t>
      </w:r>
      <w:hyperlink r:id="rId19">
        <w:r>
          <w:rPr>
            <w:color w:val="000000"/>
          </w:rPr>
          <w:t>[15–17]</w:t>
        </w:r>
      </w:hyperlink>
      <w:r>
        <w:t xml:space="preserve">. For instance, nearly half (45%) of the </w:t>
      </w:r>
      <w:proofErr w:type="spellStart"/>
      <w:r>
        <w:rPr>
          <w:i/>
        </w:rPr>
        <w:t>bla</w:t>
      </w:r>
      <w:r>
        <w:rPr>
          <w:vertAlign w:val="subscript"/>
        </w:rPr>
        <w:t>KPC</w:t>
      </w:r>
      <w:proofErr w:type="spellEnd"/>
      <w:r>
        <w:t xml:space="preserve">-carrying isolates with an IncHI2 plasmid also carried an </w:t>
      </w:r>
      <w:proofErr w:type="spellStart"/>
      <w:r>
        <w:t>IncF</w:t>
      </w:r>
      <w:proofErr w:type="spellEnd"/>
      <w:r>
        <w:t xml:space="preserve"> plasmid. These two plasmids conjugate optimally at different temperatures, but co-integration of a plasmid from each group would extend the range of temperatures at which </w:t>
      </w:r>
      <w:proofErr w:type="gramStart"/>
      <w:r>
        <w:t>the co-integrate</w:t>
      </w:r>
      <w:proofErr w:type="gramEnd"/>
      <w:r>
        <w:t xml:space="preserve"> could be shared </w:t>
      </w:r>
      <w:hyperlink r:id="rId20">
        <w:r>
          <w:rPr>
            <w:color w:val="000000"/>
          </w:rPr>
          <w:t>[17]</w:t>
        </w:r>
      </w:hyperlink>
      <w:r>
        <w:t xml:space="preserve">. </w:t>
      </w:r>
    </w:p>
    <w:p w14:paraId="0000000B" w14:textId="77777777" w:rsidR="0055214E" w:rsidRDefault="004664F3">
      <w:pPr>
        <w:spacing w:line="480" w:lineRule="auto"/>
      </w:pPr>
      <w:r>
        <w:rPr>
          <w:b/>
        </w:rPr>
        <w:lastRenderedPageBreak/>
        <w:t>References</w:t>
      </w:r>
    </w:p>
    <w:p w14:paraId="0000000C" w14:textId="77777777" w:rsidR="0055214E" w:rsidRDefault="004664F3">
      <w:pPr>
        <w:widowControl w:val="0"/>
        <w:pBdr>
          <w:top w:val="nil"/>
          <w:left w:val="nil"/>
          <w:bottom w:val="nil"/>
          <w:right w:val="nil"/>
          <w:between w:val="nil"/>
        </w:pBdr>
        <w:spacing w:before="220" w:line="240" w:lineRule="auto"/>
        <w:ind w:left="440" w:hanging="440"/>
      </w:pPr>
      <w:r>
        <w:rPr>
          <w:color w:val="000000"/>
        </w:rPr>
        <w:t>[1]</w:t>
      </w:r>
      <w:r>
        <w:rPr>
          <w:color w:val="000000"/>
        </w:rPr>
        <w:tab/>
      </w:r>
      <w:hyperlink r:id="rId21">
        <w:r>
          <w:rPr>
            <w:color w:val="000000"/>
          </w:rPr>
          <w:t>Doménech-Sánchez A, Martínez-Martínez L, Hernández-</w:t>
        </w:r>
        <w:proofErr w:type="spellStart"/>
        <w:r>
          <w:rPr>
            <w:color w:val="000000"/>
          </w:rPr>
          <w:t>Allés</w:t>
        </w:r>
        <w:proofErr w:type="spellEnd"/>
        <w:r>
          <w:rPr>
            <w:color w:val="000000"/>
          </w:rPr>
          <w:t xml:space="preserve"> S, del Carmen </w:t>
        </w:r>
        <w:proofErr w:type="spellStart"/>
        <w:r>
          <w:rPr>
            <w:color w:val="000000"/>
          </w:rPr>
          <w:t>Conejo</w:t>
        </w:r>
        <w:proofErr w:type="spellEnd"/>
        <w:r>
          <w:rPr>
            <w:color w:val="000000"/>
          </w:rPr>
          <w:t xml:space="preserve"> M, Pascual A, Tomás JM, et al. Role of </w:t>
        </w:r>
      </w:hyperlink>
      <w:hyperlink r:id="rId22">
        <w:r>
          <w:rPr>
            <w:i/>
            <w:color w:val="000000"/>
          </w:rPr>
          <w:t>Klebsiella pneumoniae</w:t>
        </w:r>
      </w:hyperlink>
      <w:hyperlink r:id="rId23">
        <w:r>
          <w:rPr>
            <w:color w:val="000000"/>
          </w:rPr>
          <w:t xml:space="preserve"> OmpK35 porin in antimicrobial resistance. </w:t>
        </w:r>
        <w:proofErr w:type="spellStart"/>
        <w:r>
          <w:rPr>
            <w:color w:val="000000"/>
          </w:rPr>
          <w:t>Antimicrob</w:t>
        </w:r>
        <w:proofErr w:type="spellEnd"/>
        <w:r>
          <w:rPr>
            <w:color w:val="000000"/>
          </w:rPr>
          <w:t xml:space="preserve"> Agents </w:t>
        </w:r>
        <w:proofErr w:type="spellStart"/>
        <w:r>
          <w:rPr>
            <w:color w:val="000000"/>
          </w:rPr>
          <w:t>Chemother</w:t>
        </w:r>
        <w:proofErr w:type="spellEnd"/>
        <w:r>
          <w:rPr>
            <w:color w:val="000000"/>
          </w:rPr>
          <w:t xml:space="preserve"> 2003</w:t>
        </w:r>
        <w:proofErr w:type="gramStart"/>
        <w:r>
          <w:rPr>
            <w:color w:val="000000"/>
          </w:rPr>
          <w:t>;47:3332</w:t>
        </w:r>
        <w:proofErr w:type="gramEnd"/>
        <w:r>
          <w:rPr>
            <w:color w:val="000000"/>
          </w:rPr>
          <w:t>–5.</w:t>
        </w:r>
      </w:hyperlink>
      <w:r>
        <w:br/>
      </w:r>
    </w:p>
    <w:p w14:paraId="0000000D" w14:textId="77777777" w:rsidR="0055214E" w:rsidRDefault="004664F3">
      <w:pPr>
        <w:widowControl w:val="0"/>
        <w:pBdr>
          <w:top w:val="nil"/>
          <w:left w:val="nil"/>
          <w:bottom w:val="nil"/>
          <w:right w:val="nil"/>
          <w:between w:val="nil"/>
        </w:pBdr>
        <w:spacing w:line="240" w:lineRule="auto"/>
        <w:ind w:left="440" w:hanging="440"/>
      </w:pPr>
      <w:r>
        <w:rPr>
          <w:color w:val="000000"/>
        </w:rPr>
        <w:t>[2]</w:t>
      </w:r>
      <w:r>
        <w:rPr>
          <w:color w:val="000000"/>
        </w:rPr>
        <w:tab/>
      </w:r>
      <w:hyperlink r:id="rId24">
        <w:proofErr w:type="spellStart"/>
        <w:r>
          <w:rPr>
            <w:color w:val="000000"/>
          </w:rPr>
          <w:t>Vergalli</w:t>
        </w:r>
        <w:proofErr w:type="spellEnd"/>
        <w:r>
          <w:rPr>
            <w:color w:val="000000"/>
          </w:rPr>
          <w:t xml:space="preserve"> J, </w:t>
        </w:r>
        <w:proofErr w:type="spellStart"/>
        <w:r>
          <w:rPr>
            <w:color w:val="000000"/>
          </w:rPr>
          <w:t>Bodrenko</w:t>
        </w:r>
        <w:proofErr w:type="spellEnd"/>
        <w:r>
          <w:rPr>
            <w:color w:val="000000"/>
          </w:rPr>
          <w:t xml:space="preserve"> IV, </w:t>
        </w:r>
        <w:proofErr w:type="spellStart"/>
        <w:r>
          <w:rPr>
            <w:color w:val="000000"/>
          </w:rPr>
          <w:t>Masi</w:t>
        </w:r>
        <w:proofErr w:type="spellEnd"/>
        <w:r>
          <w:rPr>
            <w:color w:val="000000"/>
          </w:rPr>
          <w:t xml:space="preserve"> M, </w:t>
        </w:r>
        <w:proofErr w:type="spellStart"/>
        <w:r>
          <w:rPr>
            <w:color w:val="000000"/>
          </w:rPr>
          <w:t>Moynié</w:t>
        </w:r>
        <w:proofErr w:type="spellEnd"/>
        <w:r>
          <w:rPr>
            <w:color w:val="000000"/>
          </w:rPr>
          <w:t xml:space="preserve"> L, Acosta-Gutiérrez S, Naismith JH, et al. Porins and small-molecule translocation across the outer membrane of Gram-negative bacteria. Nat Rev Microbiol 2020</w:t>
        </w:r>
        <w:proofErr w:type="gramStart"/>
        <w:r>
          <w:rPr>
            <w:color w:val="000000"/>
          </w:rPr>
          <w:t>;18:164</w:t>
        </w:r>
        <w:proofErr w:type="gramEnd"/>
        <w:r>
          <w:rPr>
            <w:color w:val="000000"/>
          </w:rPr>
          <w:t>–76.</w:t>
        </w:r>
      </w:hyperlink>
    </w:p>
    <w:p w14:paraId="0000000E" w14:textId="77777777" w:rsidR="0055214E" w:rsidRDefault="0055214E">
      <w:pPr>
        <w:widowControl w:val="0"/>
        <w:pBdr>
          <w:top w:val="nil"/>
          <w:left w:val="nil"/>
          <w:bottom w:val="nil"/>
          <w:right w:val="nil"/>
          <w:between w:val="nil"/>
        </w:pBdr>
        <w:spacing w:line="240" w:lineRule="auto"/>
        <w:ind w:left="440" w:hanging="440"/>
      </w:pPr>
    </w:p>
    <w:p w14:paraId="0000000F" w14:textId="77777777" w:rsidR="0055214E" w:rsidRDefault="004664F3">
      <w:pPr>
        <w:widowControl w:val="0"/>
        <w:pBdr>
          <w:top w:val="nil"/>
          <w:left w:val="nil"/>
          <w:bottom w:val="nil"/>
          <w:right w:val="nil"/>
          <w:between w:val="nil"/>
        </w:pBdr>
        <w:spacing w:line="240" w:lineRule="auto"/>
        <w:ind w:left="440" w:hanging="440"/>
      </w:pPr>
      <w:r>
        <w:rPr>
          <w:color w:val="000000"/>
        </w:rPr>
        <w:t>[3]</w:t>
      </w:r>
      <w:r>
        <w:rPr>
          <w:color w:val="000000"/>
        </w:rPr>
        <w:tab/>
      </w:r>
      <w:hyperlink r:id="rId25">
        <w:r>
          <w:rPr>
            <w:color w:val="000000"/>
          </w:rPr>
          <w:t xml:space="preserve">Tsai Y-K, Fung C-P, Lin J-C, Chen J-H, Chang F-Y, Chen T-L, et al. Klebsiella pneumoniae outer membrane porins OmpK35 and OmpK36 play roles in both antimicrobial resistance and virulence. </w:t>
        </w:r>
        <w:proofErr w:type="spellStart"/>
        <w:r>
          <w:rPr>
            <w:color w:val="000000"/>
          </w:rPr>
          <w:t>Antimicrob</w:t>
        </w:r>
        <w:proofErr w:type="spellEnd"/>
        <w:r>
          <w:rPr>
            <w:color w:val="000000"/>
          </w:rPr>
          <w:t xml:space="preserve"> Agents </w:t>
        </w:r>
        <w:proofErr w:type="spellStart"/>
        <w:r>
          <w:rPr>
            <w:color w:val="000000"/>
          </w:rPr>
          <w:t>Chemother</w:t>
        </w:r>
        <w:proofErr w:type="spellEnd"/>
        <w:r>
          <w:rPr>
            <w:color w:val="000000"/>
          </w:rPr>
          <w:t xml:space="preserve"> 2011</w:t>
        </w:r>
        <w:proofErr w:type="gramStart"/>
        <w:r>
          <w:rPr>
            <w:color w:val="000000"/>
          </w:rPr>
          <w:t>;55:1485</w:t>
        </w:r>
        <w:proofErr w:type="gramEnd"/>
        <w:r>
          <w:rPr>
            <w:color w:val="000000"/>
          </w:rPr>
          <w:t>–93.</w:t>
        </w:r>
      </w:hyperlink>
    </w:p>
    <w:p w14:paraId="00000010" w14:textId="77777777" w:rsidR="0055214E" w:rsidRDefault="0055214E">
      <w:pPr>
        <w:widowControl w:val="0"/>
        <w:pBdr>
          <w:top w:val="nil"/>
          <w:left w:val="nil"/>
          <w:bottom w:val="nil"/>
          <w:right w:val="nil"/>
          <w:between w:val="nil"/>
        </w:pBdr>
        <w:spacing w:line="240" w:lineRule="auto"/>
        <w:ind w:left="440" w:hanging="440"/>
      </w:pPr>
    </w:p>
    <w:p w14:paraId="00000011" w14:textId="77777777" w:rsidR="0055214E" w:rsidRDefault="004664F3">
      <w:pPr>
        <w:widowControl w:val="0"/>
        <w:pBdr>
          <w:top w:val="nil"/>
          <w:left w:val="nil"/>
          <w:bottom w:val="nil"/>
          <w:right w:val="nil"/>
          <w:between w:val="nil"/>
        </w:pBdr>
        <w:spacing w:line="240" w:lineRule="auto"/>
        <w:ind w:left="440" w:hanging="440"/>
        <w:rPr>
          <w:color w:val="000000"/>
        </w:rPr>
      </w:pPr>
      <w:r>
        <w:rPr>
          <w:color w:val="000000"/>
        </w:rPr>
        <w:t>[4]</w:t>
      </w:r>
      <w:r>
        <w:rPr>
          <w:color w:val="000000"/>
        </w:rPr>
        <w:tab/>
      </w:r>
      <w:hyperlink r:id="rId26">
        <w:r>
          <w:rPr>
            <w:color w:val="000000"/>
          </w:rPr>
          <w:t xml:space="preserve">David S, the EuSCAPE Working Group, Reuter S, Harris SR, Glasner C, Feltwell T, et al. Epidemic of carbapenem-resistant </w:t>
        </w:r>
      </w:hyperlink>
      <w:hyperlink r:id="rId27">
        <w:r>
          <w:rPr>
            <w:i/>
            <w:color w:val="000000"/>
          </w:rPr>
          <w:t>Klebsiella pneumoniae</w:t>
        </w:r>
      </w:hyperlink>
      <w:hyperlink r:id="rId28">
        <w:r>
          <w:rPr>
            <w:color w:val="000000"/>
          </w:rPr>
          <w:t xml:space="preserve"> in Europe is driven by nosocomial spread. Nature Microbiology 2019;4:1919–29. </w:t>
        </w:r>
        <w:proofErr w:type="gramStart"/>
        <w:r>
          <w:rPr>
            <w:color w:val="000000"/>
          </w:rPr>
          <w:t>https://doi.org/</w:t>
        </w:r>
      </w:hyperlink>
      <w:hyperlink r:id="rId29">
        <w:r>
          <w:rPr>
            <w:color w:val="000000"/>
          </w:rPr>
          <w:t>10.1038/s41564-019-0492-8</w:t>
        </w:r>
      </w:hyperlink>
      <w:hyperlink r:id="rId30">
        <w:r>
          <w:rPr>
            <w:color w:val="000000"/>
          </w:rPr>
          <w:t>.</w:t>
        </w:r>
        <w:proofErr w:type="gramEnd"/>
      </w:hyperlink>
      <w:r>
        <w:br/>
      </w:r>
    </w:p>
    <w:p w14:paraId="00000012" w14:textId="77777777" w:rsidR="0055214E" w:rsidRDefault="004664F3">
      <w:pPr>
        <w:widowControl w:val="0"/>
        <w:pBdr>
          <w:top w:val="nil"/>
          <w:left w:val="nil"/>
          <w:bottom w:val="nil"/>
          <w:right w:val="nil"/>
          <w:between w:val="nil"/>
        </w:pBdr>
        <w:spacing w:line="240" w:lineRule="auto"/>
        <w:ind w:left="440" w:hanging="440"/>
        <w:rPr>
          <w:color w:val="000000"/>
        </w:rPr>
      </w:pPr>
      <w:r>
        <w:rPr>
          <w:color w:val="000000"/>
        </w:rPr>
        <w:t>[5]</w:t>
      </w:r>
      <w:r>
        <w:rPr>
          <w:color w:val="000000"/>
        </w:rPr>
        <w:tab/>
      </w:r>
      <w:hyperlink r:id="rId31">
        <w:proofErr w:type="spellStart"/>
        <w:r>
          <w:rPr>
            <w:color w:val="000000"/>
          </w:rPr>
          <w:t>Cerqueira</w:t>
        </w:r>
        <w:proofErr w:type="spellEnd"/>
        <w:r>
          <w:rPr>
            <w:color w:val="000000"/>
          </w:rPr>
          <w:t xml:space="preserve"> GC, Earl AM, Ernst CM, Grad YH, Dekker JP, </w:t>
        </w:r>
        <w:proofErr w:type="spellStart"/>
        <w:r>
          <w:rPr>
            <w:color w:val="000000"/>
          </w:rPr>
          <w:t>Feldgarden</w:t>
        </w:r>
        <w:proofErr w:type="spellEnd"/>
        <w:r>
          <w:rPr>
            <w:color w:val="000000"/>
          </w:rPr>
          <w:t xml:space="preserve"> M, et al. Multi-institute analysis of carbapenem resistance reveals remarkable diversity, unexplained mechanisms, and limited clonal outbreaks. Proc Natl </w:t>
        </w:r>
        <w:proofErr w:type="spellStart"/>
        <w:r>
          <w:rPr>
            <w:color w:val="000000"/>
          </w:rPr>
          <w:t>Acad</w:t>
        </w:r>
        <w:proofErr w:type="spellEnd"/>
        <w:r>
          <w:rPr>
            <w:color w:val="000000"/>
          </w:rPr>
          <w:t xml:space="preserve"> </w:t>
        </w:r>
        <w:proofErr w:type="spellStart"/>
        <w:r>
          <w:rPr>
            <w:color w:val="000000"/>
          </w:rPr>
          <w:t>Sci</w:t>
        </w:r>
        <w:proofErr w:type="spellEnd"/>
        <w:r>
          <w:rPr>
            <w:color w:val="000000"/>
          </w:rPr>
          <w:t xml:space="preserve"> U S A 2017</w:t>
        </w:r>
        <w:proofErr w:type="gramStart"/>
        <w:r>
          <w:rPr>
            <w:color w:val="000000"/>
          </w:rPr>
          <w:t>;114:1135</w:t>
        </w:r>
        <w:proofErr w:type="gramEnd"/>
        <w:r>
          <w:rPr>
            <w:color w:val="000000"/>
          </w:rPr>
          <w:t>–40.</w:t>
        </w:r>
      </w:hyperlink>
      <w:r>
        <w:br/>
      </w:r>
    </w:p>
    <w:p w14:paraId="00000013" w14:textId="77777777" w:rsidR="0055214E" w:rsidRDefault="004664F3">
      <w:pPr>
        <w:widowControl w:val="0"/>
        <w:pBdr>
          <w:top w:val="nil"/>
          <w:left w:val="nil"/>
          <w:bottom w:val="nil"/>
          <w:right w:val="nil"/>
          <w:between w:val="nil"/>
        </w:pBdr>
        <w:spacing w:line="240" w:lineRule="auto"/>
        <w:ind w:left="440" w:hanging="440"/>
        <w:rPr>
          <w:color w:val="000000"/>
        </w:rPr>
      </w:pPr>
      <w:r>
        <w:rPr>
          <w:color w:val="000000"/>
        </w:rPr>
        <w:t>[6]</w:t>
      </w:r>
      <w:r>
        <w:rPr>
          <w:color w:val="000000"/>
        </w:rPr>
        <w:tab/>
      </w:r>
      <w:hyperlink r:id="rId32">
        <w:r>
          <w:rPr>
            <w:color w:val="000000"/>
          </w:rPr>
          <w:t xml:space="preserve">Jacoby GA, Mills DM, Chow N. Role of β-Lactamases and Porins in Resistance to Ertapenem and Other β-Lactams in </w:t>
        </w:r>
      </w:hyperlink>
      <w:hyperlink r:id="rId33">
        <w:r>
          <w:rPr>
            <w:i/>
            <w:color w:val="000000"/>
          </w:rPr>
          <w:t>Klebsiella pneumoniae</w:t>
        </w:r>
      </w:hyperlink>
      <w:hyperlink r:id="rId34">
        <w:r>
          <w:rPr>
            <w:color w:val="000000"/>
          </w:rPr>
          <w:t xml:space="preserve">. </w:t>
        </w:r>
        <w:proofErr w:type="spellStart"/>
        <w:r>
          <w:rPr>
            <w:color w:val="000000"/>
          </w:rPr>
          <w:t>Antimicrob</w:t>
        </w:r>
        <w:proofErr w:type="spellEnd"/>
        <w:r>
          <w:rPr>
            <w:color w:val="000000"/>
          </w:rPr>
          <w:t xml:space="preserve"> Agents </w:t>
        </w:r>
        <w:proofErr w:type="spellStart"/>
        <w:r>
          <w:rPr>
            <w:color w:val="000000"/>
          </w:rPr>
          <w:t>Chemother</w:t>
        </w:r>
        <w:proofErr w:type="spellEnd"/>
        <w:r>
          <w:rPr>
            <w:color w:val="000000"/>
          </w:rPr>
          <w:t xml:space="preserve"> 2004</w:t>
        </w:r>
        <w:proofErr w:type="gramStart"/>
        <w:r>
          <w:rPr>
            <w:color w:val="000000"/>
          </w:rPr>
          <w:t>;48:3203</w:t>
        </w:r>
        <w:proofErr w:type="gramEnd"/>
        <w:r>
          <w:rPr>
            <w:color w:val="000000"/>
          </w:rPr>
          <w:t>–6.</w:t>
        </w:r>
      </w:hyperlink>
      <w:r>
        <w:br/>
      </w:r>
    </w:p>
    <w:p w14:paraId="00000014" w14:textId="77777777" w:rsidR="0055214E" w:rsidRDefault="004664F3">
      <w:pPr>
        <w:widowControl w:val="0"/>
        <w:pBdr>
          <w:top w:val="nil"/>
          <w:left w:val="nil"/>
          <w:bottom w:val="nil"/>
          <w:right w:val="nil"/>
          <w:between w:val="nil"/>
        </w:pBdr>
        <w:spacing w:line="240" w:lineRule="auto"/>
        <w:ind w:left="440" w:hanging="440"/>
        <w:rPr>
          <w:color w:val="000000"/>
        </w:rPr>
      </w:pPr>
      <w:r>
        <w:rPr>
          <w:color w:val="000000"/>
        </w:rPr>
        <w:t>[7]</w:t>
      </w:r>
      <w:r>
        <w:rPr>
          <w:color w:val="000000"/>
        </w:rPr>
        <w:tab/>
      </w:r>
      <w:hyperlink r:id="rId35">
        <w:r>
          <w:rPr>
            <w:color w:val="000000"/>
          </w:rPr>
          <w:t xml:space="preserve">Adler M, Anjum M, </w:t>
        </w:r>
        <w:proofErr w:type="spellStart"/>
        <w:r>
          <w:rPr>
            <w:color w:val="000000"/>
          </w:rPr>
          <w:t>Andersson</w:t>
        </w:r>
        <w:proofErr w:type="spellEnd"/>
        <w:r>
          <w:rPr>
            <w:color w:val="000000"/>
          </w:rPr>
          <w:t xml:space="preserve"> DI, </w:t>
        </w:r>
        <w:proofErr w:type="spellStart"/>
        <w:r>
          <w:rPr>
            <w:color w:val="000000"/>
          </w:rPr>
          <w:t>Sandegren</w:t>
        </w:r>
        <w:proofErr w:type="spellEnd"/>
        <w:r>
          <w:rPr>
            <w:color w:val="000000"/>
          </w:rPr>
          <w:t xml:space="preserve"> L. Influence of acquired β-lactamases on the evolution of spontaneous carbapenem resistance in </w:t>
        </w:r>
      </w:hyperlink>
      <w:hyperlink r:id="rId36">
        <w:r>
          <w:rPr>
            <w:i/>
            <w:color w:val="000000"/>
          </w:rPr>
          <w:t>Escherichia coli</w:t>
        </w:r>
      </w:hyperlink>
      <w:hyperlink r:id="rId37">
        <w:r>
          <w:rPr>
            <w:color w:val="000000"/>
          </w:rPr>
          <w:t xml:space="preserve">. J </w:t>
        </w:r>
        <w:proofErr w:type="spellStart"/>
        <w:r>
          <w:rPr>
            <w:color w:val="000000"/>
          </w:rPr>
          <w:t>Antimicrob</w:t>
        </w:r>
        <w:proofErr w:type="spellEnd"/>
        <w:r>
          <w:rPr>
            <w:color w:val="000000"/>
          </w:rPr>
          <w:t xml:space="preserve"> </w:t>
        </w:r>
        <w:proofErr w:type="spellStart"/>
        <w:r>
          <w:rPr>
            <w:color w:val="000000"/>
          </w:rPr>
          <w:t>Chemother</w:t>
        </w:r>
        <w:proofErr w:type="spellEnd"/>
        <w:r>
          <w:rPr>
            <w:color w:val="000000"/>
          </w:rPr>
          <w:t xml:space="preserve"> 2013</w:t>
        </w:r>
        <w:proofErr w:type="gramStart"/>
        <w:r>
          <w:rPr>
            <w:color w:val="000000"/>
          </w:rPr>
          <w:t>;68:51</w:t>
        </w:r>
        <w:proofErr w:type="gramEnd"/>
        <w:r>
          <w:rPr>
            <w:color w:val="000000"/>
          </w:rPr>
          <w:t>–9.</w:t>
        </w:r>
      </w:hyperlink>
      <w:r>
        <w:br/>
      </w:r>
    </w:p>
    <w:p w14:paraId="00000015" w14:textId="77777777" w:rsidR="0055214E" w:rsidRDefault="004664F3">
      <w:pPr>
        <w:widowControl w:val="0"/>
        <w:pBdr>
          <w:top w:val="nil"/>
          <w:left w:val="nil"/>
          <w:bottom w:val="nil"/>
          <w:right w:val="nil"/>
          <w:between w:val="nil"/>
        </w:pBdr>
        <w:spacing w:line="240" w:lineRule="auto"/>
        <w:ind w:left="440" w:hanging="440"/>
        <w:rPr>
          <w:color w:val="000000"/>
        </w:rPr>
      </w:pPr>
      <w:r>
        <w:rPr>
          <w:color w:val="000000"/>
        </w:rPr>
        <w:t>[8]</w:t>
      </w:r>
      <w:r>
        <w:rPr>
          <w:color w:val="000000"/>
        </w:rPr>
        <w:tab/>
      </w:r>
      <w:hyperlink r:id="rId38">
        <w:r>
          <w:rPr>
            <w:color w:val="000000"/>
          </w:rPr>
          <w:t xml:space="preserve">Ma P, Laibinis HH, Ernst CM, Hung DT. Carbapenem Resistance Caused by High-Level Expression of OXA-663 β-Lactamase in an OmpK36-Deficient </w:t>
        </w:r>
      </w:hyperlink>
      <w:hyperlink r:id="rId39">
        <w:r>
          <w:rPr>
            <w:i/>
            <w:color w:val="000000"/>
          </w:rPr>
          <w:t xml:space="preserve">Klebsiella pneumoniae </w:t>
        </w:r>
      </w:hyperlink>
      <w:hyperlink r:id="rId40">
        <w:r>
          <w:rPr>
            <w:color w:val="000000"/>
          </w:rPr>
          <w:t>Clinical Isolate. Antimicrobial Agents and Chemotherapy 2018;62. https://doi.org/</w:t>
        </w:r>
      </w:hyperlink>
      <w:hyperlink r:id="rId41">
        <w:r>
          <w:rPr>
            <w:color w:val="000000"/>
          </w:rPr>
          <w:t>10.1128/aac.01281-18</w:t>
        </w:r>
      </w:hyperlink>
      <w:hyperlink r:id="rId42">
        <w:r>
          <w:rPr>
            <w:color w:val="000000"/>
          </w:rPr>
          <w:t>.</w:t>
        </w:r>
      </w:hyperlink>
      <w:r>
        <w:br/>
      </w:r>
    </w:p>
    <w:p w14:paraId="00000016" w14:textId="77777777" w:rsidR="0055214E" w:rsidRDefault="004664F3">
      <w:pPr>
        <w:widowControl w:val="0"/>
        <w:pBdr>
          <w:top w:val="nil"/>
          <w:left w:val="nil"/>
          <w:bottom w:val="nil"/>
          <w:right w:val="nil"/>
          <w:between w:val="nil"/>
        </w:pBdr>
        <w:spacing w:line="240" w:lineRule="auto"/>
        <w:ind w:left="440" w:hanging="440"/>
        <w:rPr>
          <w:color w:val="000000"/>
        </w:rPr>
      </w:pPr>
      <w:r>
        <w:rPr>
          <w:color w:val="000000"/>
        </w:rPr>
        <w:t>[9]</w:t>
      </w:r>
      <w:r>
        <w:rPr>
          <w:color w:val="000000"/>
        </w:rPr>
        <w:tab/>
      </w:r>
      <w:hyperlink r:id="rId43">
        <w:r>
          <w:rPr>
            <w:color w:val="000000"/>
          </w:rPr>
          <w:t xml:space="preserve">Jernigan JA, Hatfield KM, Wolford H, Nelson RE, </w:t>
        </w:r>
        <w:proofErr w:type="spellStart"/>
        <w:r>
          <w:rPr>
            <w:color w:val="000000"/>
          </w:rPr>
          <w:t>Olubajo</w:t>
        </w:r>
        <w:proofErr w:type="spellEnd"/>
        <w:r>
          <w:rPr>
            <w:color w:val="000000"/>
          </w:rPr>
          <w:t xml:space="preserve"> B, Reddy SC, et al. Multidrug-Resistant Bacterial Infections in US Hospitalized Patients, 2012--2017. N </w:t>
        </w:r>
        <w:proofErr w:type="spellStart"/>
        <w:r>
          <w:rPr>
            <w:color w:val="000000"/>
          </w:rPr>
          <w:t>Engl</w:t>
        </w:r>
        <w:proofErr w:type="spellEnd"/>
        <w:r>
          <w:rPr>
            <w:color w:val="000000"/>
          </w:rPr>
          <w:t xml:space="preserve"> J Med 2020</w:t>
        </w:r>
        <w:proofErr w:type="gramStart"/>
        <w:r>
          <w:rPr>
            <w:color w:val="000000"/>
          </w:rPr>
          <w:t>;382:1309</w:t>
        </w:r>
        <w:proofErr w:type="gramEnd"/>
        <w:r>
          <w:rPr>
            <w:color w:val="000000"/>
          </w:rPr>
          <w:t>–19.</w:t>
        </w:r>
      </w:hyperlink>
      <w:r>
        <w:br/>
      </w:r>
    </w:p>
    <w:p w14:paraId="00000017" w14:textId="77777777" w:rsidR="0055214E" w:rsidRDefault="004664F3">
      <w:pPr>
        <w:widowControl w:val="0"/>
        <w:pBdr>
          <w:top w:val="nil"/>
          <w:left w:val="nil"/>
          <w:bottom w:val="nil"/>
          <w:right w:val="nil"/>
          <w:between w:val="nil"/>
        </w:pBdr>
        <w:spacing w:line="240" w:lineRule="auto"/>
        <w:ind w:left="440" w:hanging="440"/>
        <w:rPr>
          <w:color w:val="000000"/>
        </w:rPr>
      </w:pPr>
      <w:r>
        <w:rPr>
          <w:color w:val="000000"/>
        </w:rPr>
        <w:t>[10]</w:t>
      </w:r>
      <w:r>
        <w:rPr>
          <w:color w:val="000000"/>
        </w:rPr>
        <w:tab/>
      </w:r>
      <w:hyperlink r:id="rId44">
        <w:proofErr w:type="spellStart"/>
        <w:r>
          <w:rPr>
            <w:color w:val="000000"/>
          </w:rPr>
          <w:t>Doi</w:t>
        </w:r>
        <w:proofErr w:type="spellEnd"/>
        <w:r>
          <w:rPr>
            <w:color w:val="000000"/>
          </w:rPr>
          <w:t xml:space="preserve"> Y, </w:t>
        </w:r>
        <w:proofErr w:type="spellStart"/>
        <w:r>
          <w:rPr>
            <w:color w:val="000000"/>
          </w:rPr>
          <w:t>Iovleva</w:t>
        </w:r>
        <w:proofErr w:type="spellEnd"/>
        <w:r>
          <w:rPr>
            <w:color w:val="000000"/>
          </w:rPr>
          <w:t xml:space="preserve"> A, </w:t>
        </w:r>
        <w:proofErr w:type="spellStart"/>
        <w:r>
          <w:rPr>
            <w:color w:val="000000"/>
          </w:rPr>
          <w:t>Bonomo</w:t>
        </w:r>
        <w:proofErr w:type="spellEnd"/>
        <w:r>
          <w:rPr>
            <w:color w:val="000000"/>
          </w:rPr>
          <w:t xml:space="preserve"> RA. </w:t>
        </w:r>
        <w:proofErr w:type="gramStart"/>
        <w:r>
          <w:rPr>
            <w:color w:val="000000"/>
          </w:rPr>
          <w:t>The ecology of extended-spectrum β-lactamases (ESBLs) in the developed world.</w:t>
        </w:r>
        <w:proofErr w:type="gramEnd"/>
        <w:r>
          <w:rPr>
            <w:color w:val="000000"/>
          </w:rPr>
          <w:t xml:space="preserve"> J Travel Med 2017</w:t>
        </w:r>
        <w:proofErr w:type="gramStart"/>
        <w:r>
          <w:rPr>
            <w:color w:val="000000"/>
          </w:rPr>
          <w:t>;24:S44</w:t>
        </w:r>
        <w:proofErr w:type="gramEnd"/>
        <w:r>
          <w:rPr>
            <w:color w:val="000000"/>
          </w:rPr>
          <w:t>–51.</w:t>
        </w:r>
      </w:hyperlink>
      <w:r>
        <w:br/>
      </w:r>
    </w:p>
    <w:p w14:paraId="00000018" w14:textId="77777777" w:rsidR="0055214E" w:rsidRDefault="004664F3">
      <w:pPr>
        <w:widowControl w:val="0"/>
        <w:pBdr>
          <w:top w:val="nil"/>
          <w:left w:val="nil"/>
          <w:bottom w:val="nil"/>
          <w:right w:val="nil"/>
          <w:between w:val="nil"/>
        </w:pBdr>
        <w:spacing w:line="240" w:lineRule="auto"/>
        <w:ind w:left="440" w:hanging="440"/>
        <w:rPr>
          <w:color w:val="000000"/>
        </w:rPr>
      </w:pPr>
      <w:r>
        <w:rPr>
          <w:color w:val="000000"/>
        </w:rPr>
        <w:t>[11]</w:t>
      </w:r>
      <w:r>
        <w:rPr>
          <w:color w:val="000000"/>
        </w:rPr>
        <w:tab/>
      </w:r>
      <w:hyperlink r:id="rId45">
        <w:r>
          <w:rPr>
            <w:color w:val="000000"/>
          </w:rPr>
          <w:t xml:space="preserve">David S, Reuter S, Harris SR, </w:t>
        </w:r>
        <w:proofErr w:type="spellStart"/>
        <w:r>
          <w:rPr>
            <w:color w:val="000000"/>
          </w:rPr>
          <w:t>Glasner</w:t>
        </w:r>
        <w:proofErr w:type="spellEnd"/>
        <w:r>
          <w:rPr>
            <w:color w:val="000000"/>
          </w:rPr>
          <w:t xml:space="preserve"> C, </w:t>
        </w:r>
        <w:proofErr w:type="spellStart"/>
        <w:r>
          <w:rPr>
            <w:color w:val="000000"/>
          </w:rPr>
          <w:t>Feltwell</w:t>
        </w:r>
        <w:proofErr w:type="spellEnd"/>
        <w:r>
          <w:rPr>
            <w:color w:val="000000"/>
          </w:rPr>
          <w:t xml:space="preserve"> T, </w:t>
        </w:r>
        <w:proofErr w:type="spellStart"/>
        <w:r>
          <w:rPr>
            <w:color w:val="000000"/>
          </w:rPr>
          <w:t>Argimon</w:t>
        </w:r>
        <w:proofErr w:type="spellEnd"/>
        <w:r>
          <w:rPr>
            <w:color w:val="000000"/>
          </w:rPr>
          <w:t xml:space="preserve"> S, et al. Epidemic of carbapenem-resistant </w:t>
        </w:r>
      </w:hyperlink>
      <w:hyperlink r:id="rId46">
        <w:r>
          <w:rPr>
            <w:i/>
            <w:color w:val="000000"/>
          </w:rPr>
          <w:t xml:space="preserve">Klebsiella pneumoniae </w:t>
        </w:r>
      </w:hyperlink>
      <w:hyperlink r:id="rId47">
        <w:r>
          <w:rPr>
            <w:color w:val="000000"/>
          </w:rPr>
          <w:t>in Europe is driven by nosocomial spread. Nature Microbiology 2019</w:t>
        </w:r>
        <w:proofErr w:type="gramStart"/>
        <w:r>
          <w:rPr>
            <w:color w:val="000000"/>
          </w:rPr>
          <w:t>;4:1919</w:t>
        </w:r>
        <w:proofErr w:type="gramEnd"/>
        <w:r>
          <w:rPr>
            <w:color w:val="000000"/>
          </w:rPr>
          <w:t>–29.</w:t>
        </w:r>
      </w:hyperlink>
      <w:r>
        <w:br/>
      </w:r>
    </w:p>
    <w:p w14:paraId="00000019" w14:textId="77777777" w:rsidR="0055214E" w:rsidRDefault="004664F3">
      <w:pPr>
        <w:widowControl w:val="0"/>
        <w:pBdr>
          <w:top w:val="nil"/>
          <w:left w:val="nil"/>
          <w:bottom w:val="nil"/>
          <w:right w:val="nil"/>
          <w:between w:val="nil"/>
        </w:pBdr>
        <w:spacing w:line="240" w:lineRule="auto"/>
        <w:ind w:left="440" w:hanging="440"/>
        <w:rPr>
          <w:color w:val="000000"/>
        </w:rPr>
      </w:pPr>
      <w:r>
        <w:rPr>
          <w:color w:val="000000"/>
        </w:rPr>
        <w:t>[12]</w:t>
      </w:r>
      <w:r>
        <w:rPr>
          <w:color w:val="000000"/>
        </w:rPr>
        <w:tab/>
      </w:r>
      <w:hyperlink r:id="rId48">
        <w:proofErr w:type="spellStart"/>
        <w:r>
          <w:rPr>
            <w:color w:val="000000"/>
          </w:rPr>
          <w:t>Smillie</w:t>
        </w:r>
        <w:proofErr w:type="spellEnd"/>
        <w:r>
          <w:rPr>
            <w:color w:val="000000"/>
          </w:rPr>
          <w:t xml:space="preserve"> C, </w:t>
        </w:r>
        <w:proofErr w:type="spellStart"/>
        <w:r>
          <w:rPr>
            <w:color w:val="000000"/>
          </w:rPr>
          <w:t>Garcillán</w:t>
        </w:r>
        <w:proofErr w:type="spellEnd"/>
        <w:r>
          <w:rPr>
            <w:color w:val="000000"/>
          </w:rPr>
          <w:t>-Barcia MP, Francia MV, Rocha EPC, de la Cruz F. Mobility of plasmids. Microbiol Mol Biol Rev 2010</w:t>
        </w:r>
        <w:proofErr w:type="gramStart"/>
        <w:r>
          <w:rPr>
            <w:color w:val="000000"/>
          </w:rPr>
          <w:t>;74:434</w:t>
        </w:r>
        <w:proofErr w:type="gramEnd"/>
        <w:r>
          <w:rPr>
            <w:color w:val="000000"/>
          </w:rPr>
          <w:t>–52.</w:t>
        </w:r>
      </w:hyperlink>
      <w:r>
        <w:br/>
      </w:r>
    </w:p>
    <w:p w14:paraId="0000001A" w14:textId="77777777" w:rsidR="0055214E" w:rsidRDefault="004664F3">
      <w:pPr>
        <w:widowControl w:val="0"/>
        <w:pBdr>
          <w:top w:val="nil"/>
          <w:left w:val="nil"/>
          <w:bottom w:val="nil"/>
          <w:right w:val="nil"/>
          <w:between w:val="nil"/>
        </w:pBdr>
        <w:spacing w:line="240" w:lineRule="auto"/>
        <w:ind w:left="440" w:hanging="440"/>
        <w:rPr>
          <w:color w:val="000000"/>
        </w:rPr>
      </w:pPr>
      <w:r>
        <w:rPr>
          <w:color w:val="000000"/>
        </w:rPr>
        <w:lastRenderedPageBreak/>
        <w:t>[13]</w:t>
      </w:r>
      <w:r>
        <w:rPr>
          <w:color w:val="000000"/>
        </w:rPr>
        <w:tab/>
      </w:r>
      <w:hyperlink r:id="rId49">
        <w:proofErr w:type="spellStart"/>
        <w:r>
          <w:rPr>
            <w:color w:val="000000"/>
          </w:rPr>
          <w:t>Garcillán</w:t>
        </w:r>
        <w:proofErr w:type="spellEnd"/>
        <w:r>
          <w:rPr>
            <w:color w:val="000000"/>
          </w:rPr>
          <w:t>-Barcia MP, Alvarado A, de la Cruz F. Identification of bacterial plasmids based on mobility and plasmid population biology. FEMS Microbiol Rev 2011</w:t>
        </w:r>
        <w:proofErr w:type="gramStart"/>
        <w:r>
          <w:rPr>
            <w:color w:val="000000"/>
          </w:rPr>
          <w:t>;35:936</w:t>
        </w:r>
        <w:proofErr w:type="gramEnd"/>
        <w:r>
          <w:rPr>
            <w:color w:val="000000"/>
          </w:rPr>
          <w:t>–56.</w:t>
        </w:r>
      </w:hyperlink>
      <w:r>
        <w:br/>
      </w:r>
    </w:p>
    <w:p w14:paraId="0000001B" w14:textId="77777777" w:rsidR="0055214E" w:rsidRDefault="004664F3">
      <w:pPr>
        <w:widowControl w:val="0"/>
        <w:pBdr>
          <w:top w:val="nil"/>
          <w:left w:val="nil"/>
          <w:bottom w:val="nil"/>
          <w:right w:val="nil"/>
          <w:between w:val="nil"/>
        </w:pBdr>
        <w:spacing w:line="240" w:lineRule="auto"/>
        <w:ind w:left="440" w:hanging="440"/>
        <w:rPr>
          <w:color w:val="000000"/>
        </w:rPr>
      </w:pPr>
      <w:r>
        <w:rPr>
          <w:color w:val="000000"/>
        </w:rPr>
        <w:t>[14]</w:t>
      </w:r>
      <w:r>
        <w:rPr>
          <w:color w:val="000000"/>
        </w:rPr>
        <w:tab/>
      </w:r>
      <w:hyperlink r:id="rId50">
        <w:r>
          <w:rPr>
            <w:color w:val="000000"/>
          </w:rPr>
          <w:t xml:space="preserve">Fernandez-Lopez R, Redondo S, </w:t>
        </w:r>
        <w:proofErr w:type="spellStart"/>
        <w:r>
          <w:rPr>
            <w:color w:val="000000"/>
          </w:rPr>
          <w:t>Garcillan</w:t>
        </w:r>
        <w:proofErr w:type="spellEnd"/>
        <w:r>
          <w:rPr>
            <w:color w:val="000000"/>
          </w:rPr>
          <w:t xml:space="preserve">-Barcia MP, de la Cruz F. Towards a taxonomy of conjugative plasmids. </w:t>
        </w:r>
        <w:proofErr w:type="spellStart"/>
        <w:r>
          <w:rPr>
            <w:color w:val="000000"/>
          </w:rPr>
          <w:t>Curr</w:t>
        </w:r>
        <w:proofErr w:type="spellEnd"/>
        <w:r>
          <w:rPr>
            <w:color w:val="000000"/>
          </w:rPr>
          <w:t xml:space="preserve"> </w:t>
        </w:r>
        <w:proofErr w:type="spellStart"/>
        <w:r>
          <w:rPr>
            <w:color w:val="000000"/>
          </w:rPr>
          <w:t>Opin</w:t>
        </w:r>
        <w:proofErr w:type="spellEnd"/>
        <w:r>
          <w:rPr>
            <w:color w:val="000000"/>
          </w:rPr>
          <w:t xml:space="preserve"> </w:t>
        </w:r>
        <w:proofErr w:type="spellStart"/>
        <w:r>
          <w:rPr>
            <w:color w:val="000000"/>
          </w:rPr>
          <w:t>Microbiol</w:t>
        </w:r>
        <w:proofErr w:type="spellEnd"/>
        <w:r>
          <w:rPr>
            <w:color w:val="000000"/>
          </w:rPr>
          <w:t xml:space="preserve"> 2017</w:t>
        </w:r>
        <w:proofErr w:type="gramStart"/>
        <w:r>
          <w:rPr>
            <w:color w:val="000000"/>
          </w:rPr>
          <w:t>;38:106</w:t>
        </w:r>
        <w:proofErr w:type="gramEnd"/>
        <w:r>
          <w:rPr>
            <w:color w:val="000000"/>
          </w:rPr>
          <w:t>–13.</w:t>
        </w:r>
      </w:hyperlink>
      <w:r>
        <w:br/>
      </w:r>
    </w:p>
    <w:p w14:paraId="0000001C" w14:textId="77777777" w:rsidR="0055214E" w:rsidRDefault="004664F3">
      <w:pPr>
        <w:widowControl w:val="0"/>
        <w:pBdr>
          <w:top w:val="nil"/>
          <w:left w:val="nil"/>
          <w:bottom w:val="nil"/>
          <w:right w:val="nil"/>
          <w:between w:val="nil"/>
        </w:pBdr>
        <w:spacing w:line="240" w:lineRule="auto"/>
        <w:ind w:left="440" w:hanging="440"/>
        <w:rPr>
          <w:color w:val="000000"/>
        </w:rPr>
      </w:pPr>
      <w:r>
        <w:rPr>
          <w:color w:val="000000"/>
        </w:rPr>
        <w:t>[15]</w:t>
      </w:r>
      <w:r>
        <w:rPr>
          <w:color w:val="000000"/>
        </w:rPr>
        <w:tab/>
      </w:r>
      <w:hyperlink r:id="rId51">
        <w:r>
          <w:rPr>
            <w:color w:val="000000"/>
          </w:rPr>
          <w:t xml:space="preserve">Gama JA, </w:t>
        </w:r>
        <w:proofErr w:type="spellStart"/>
        <w:r>
          <w:rPr>
            <w:color w:val="000000"/>
          </w:rPr>
          <w:t>Zilhão</w:t>
        </w:r>
        <w:proofErr w:type="spellEnd"/>
        <w:r>
          <w:rPr>
            <w:color w:val="000000"/>
          </w:rPr>
          <w:t xml:space="preserve"> R, </w:t>
        </w:r>
        <w:proofErr w:type="spellStart"/>
        <w:r>
          <w:rPr>
            <w:color w:val="000000"/>
          </w:rPr>
          <w:t>Dionisio</w:t>
        </w:r>
        <w:proofErr w:type="spellEnd"/>
        <w:r>
          <w:rPr>
            <w:color w:val="000000"/>
          </w:rPr>
          <w:t xml:space="preserve"> F. Co-resident plasmids travel together. Plasmid 2017</w:t>
        </w:r>
        <w:proofErr w:type="gramStart"/>
        <w:r>
          <w:rPr>
            <w:color w:val="000000"/>
          </w:rPr>
          <w:t>;93:24</w:t>
        </w:r>
        <w:proofErr w:type="gramEnd"/>
        <w:r>
          <w:rPr>
            <w:color w:val="000000"/>
          </w:rPr>
          <w:t>–9.</w:t>
        </w:r>
      </w:hyperlink>
      <w:r>
        <w:br/>
      </w:r>
    </w:p>
    <w:p w14:paraId="0000001D" w14:textId="77777777" w:rsidR="0055214E" w:rsidRDefault="004664F3">
      <w:pPr>
        <w:widowControl w:val="0"/>
        <w:pBdr>
          <w:top w:val="nil"/>
          <w:left w:val="nil"/>
          <w:bottom w:val="nil"/>
          <w:right w:val="nil"/>
          <w:between w:val="nil"/>
        </w:pBdr>
        <w:spacing w:line="240" w:lineRule="auto"/>
        <w:ind w:left="440" w:hanging="440"/>
        <w:rPr>
          <w:color w:val="000000"/>
        </w:rPr>
      </w:pPr>
      <w:r>
        <w:rPr>
          <w:color w:val="000000"/>
        </w:rPr>
        <w:t>[16]</w:t>
      </w:r>
      <w:r>
        <w:rPr>
          <w:color w:val="000000"/>
        </w:rPr>
        <w:tab/>
      </w:r>
      <w:hyperlink r:id="rId52">
        <w:r>
          <w:rPr>
            <w:color w:val="000000"/>
          </w:rPr>
          <w:t>Gama JA, Zilhão R, Dionisio F. Conjugation efficiency depends on intra and intercellular interactions between distinct plasmids: Plasmids promote the immigration of other plasmids but repress co-colonizing plasmids. Plasmid 2017;93:6–16. https://doi.org/</w:t>
        </w:r>
      </w:hyperlink>
      <w:hyperlink r:id="rId53">
        <w:r>
          <w:rPr>
            <w:color w:val="000000"/>
          </w:rPr>
          <w:t>10.1016/j.plasmid.2017.08.003</w:t>
        </w:r>
      </w:hyperlink>
      <w:hyperlink r:id="rId54">
        <w:r>
          <w:rPr>
            <w:color w:val="000000"/>
          </w:rPr>
          <w:t>.</w:t>
        </w:r>
      </w:hyperlink>
      <w:r>
        <w:br/>
      </w:r>
    </w:p>
    <w:p w14:paraId="0000001E" w14:textId="77777777" w:rsidR="0055214E" w:rsidRDefault="004664F3">
      <w:pPr>
        <w:widowControl w:val="0"/>
        <w:pBdr>
          <w:top w:val="nil"/>
          <w:left w:val="nil"/>
          <w:bottom w:val="nil"/>
          <w:right w:val="nil"/>
          <w:between w:val="nil"/>
        </w:pBdr>
        <w:spacing w:after="220" w:line="240" w:lineRule="auto"/>
        <w:ind w:left="440" w:hanging="440"/>
        <w:rPr>
          <w:color w:val="000000"/>
        </w:rPr>
      </w:pPr>
      <w:r>
        <w:rPr>
          <w:color w:val="000000"/>
        </w:rPr>
        <w:t>[17]</w:t>
      </w:r>
      <w:r>
        <w:rPr>
          <w:color w:val="000000"/>
        </w:rPr>
        <w:tab/>
      </w:r>
      <w:hyperlink r:id="rId55">
        <w:proofErr w:type="spellStart"/>
        <w:r>
          <w:rPr>
            <w:color w:val="000000"/>
          </w:rPr>
          <w:t>Dionisio</w:t>
        </w:r>
        <w:proofErr w:type="spellEnd"/>
        <w:r>
          <w:rPr>
            <w:color w:val="000000"/>
          </w:rPr>
          <w:t xml:space="preserve"> F, </w:t>
        </w:r>
        <w:proofErr w:type="spellStart"/>
        <w:r>
          <w:rPr>
            <w:color w:val="000000"/>
          </w:rPr>
          <w:t>Zilhão</w:t>
        </w:r>
        <w:proofErr w:type="spellEnd"/>
        <w:r>
          <w:rPr>
            <w:color w:val="000000"/>
          </w:rPr>
          <w:t xml:space="preserve"> R, Gama JA. Interactions between plasmids and other mobile genetic elements affect their transmission and persistence. Plasmid 2019</w:t>
        </w:r>
        <w:proofErr w:type="gramStart"/>
        <w:r>
          <w:rPr>
            <w:color w:val="000000"/>
          </w:rPr>
          <w:t>;102:29</w:t>
        </w:r>
        <w:proofErr w:type="gramEnd"/>
        <w:r>
          <w:rPr>
            <w:color w:val="000000"/>
          </w:rPr>
          <w:t>–36.</w:t>
        </w:r>
      </w:hyperlink>
    </w:p>
    <w:bookmarkEnd w:id="0"/>
    <w:p w14:paraId="0000001F" w14:textId="77777777" w:rsidR="0055214E" w:rsidRDefault="0055214E">
      <w:pPr>
        <w:widowControl w:val="0"/>
        <w:pBdr>
          <w:top w:val="nil"/>
          <w:left w:val="nil"/>
          <w:bottom w:val="nil"/>
          <w:right w:val="nil"/>
          <w:between w:val="nil"/>
        </w:pBdr>
        <w:spacing w:after="220" w:line="480" w:lineRule="auto"/>
        <w:rPr>
          <w:color w:val="000000"/>
        </w:rPr>
      </w:pPr>
    </w:p>
    <w:sectPr w:rsidR="0055214E" w:rsidSect="00301FC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mo">
    <w:panose1 w:val="020B0604020202020204"/>
    <w:charset w:val="00"/>
    <w:family w:val="swiss"/>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55214E"/>
    <w:rsid w:val="00301FCF"/>
    <w:rsid w:val="004664F3"/>
    <w:rsid w:val="00552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92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LineNumber">
    <w:name w:val="line number"/>
    <w:basedOn w:val="DefaultParagraphFont"/>
    <w:uiPriority w:val="99"/>
    <w:semiHidden/>
    <w:unhideWhenUsed/>
    <w:rsid w:val="004664F3"/>
  </w:style>
  <w:style w:type="paragraph" w:styleId="BalloonText">
    <w:name w:val="Balloon Text"/>
    <w:basedOn w:val="Normal"/>
    <w:link w:val="BalloonTextChar"/>
    <w:uiPriority w:val="99"/>
    <w:semiHidden/>
    <w:unhideWhenUsed/>
    <w:rsid w:val="00301FC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1FC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LineNumber">
    <w:name w:val="line number"/>
    <w:basedOn w:val="DefaultParagraphFont"/>
    <w:uiPriority w:val="99"/>
    <w:semiHidden/>
    <w:unhideWhenUsed/>
    <w:rsid w:val="004664F3"/>
  </w:style>
  <w:style w:type="paragraph" w:styleId="BalloonText">
    <w:name w:val="Balloon Text"/>
    <w:basedOn w:val="Normal"/>
    <w:link w:val="BalloonTextChar"/>
    <w:uiPriority w:val="99"/>
    <w:semiHidden/>
    <w:unhideWhenUsed/>
    <w:rsid w:val="00301FC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1F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paperpile.com/c/mgEbUp/NCAkJ" TargetMode="External"/><Relationship Id="rId18" Type="http://schemas.openxmlformats.org/officeDocument/2006/relationships/hyperlink" Target="https://paperpile.com/c/mgEbUp/hD1od+PpRII+LnFdi" TargetMode="External"/><Relationship Id="rId26" Type="http://schemas.openxmlformats.org/officeDocument/2006/relationships/hyperlink" Target="http://paperpile.com/b/mgEbUp/0FmXn" TargetMode="External"/><Relationship Id="rId39" Type="http://schemas.openxmlformats.org/officeDocument/2006/relationships/hyperlink" Target="http://paperpile.com/b/mgEbUp/NCAkJ" TargetMode="External"/><Relationship Id="rId21" Type="http://schemas.openxmlformats.org/officeDocument/2006/relationships/hyperlink" Target="http://paperpile.com/b/mgEbUp/BGspL" TargetMode="External"/><Relationship Id="rId34" Type="http://schemas.openxmlformats.org/officeDocument/2006/relationships/hyperlink" Target="http://paperpile.com/b/mgEbUp/vpqaw" TargetMode="External"/><Relationship Id="rId42" Type="http://schemas.openxmlformats.org/officeDocument/2006/relationships/hyperlink" Target="http://paperpile.com/b/mgEbUp/NCAkJ" TargetMode="External"/><Relationship Id="rId47" Type="http://schemas.openxmlformats.org/officeDocument/2006/relationships/hyperlink" Target="http://paperpile.com/b/mgEbUp/X7LZP" TargetMode="External"/><Relationship Id="rId50" Type="http://schemas.openxmlformats.org/officeDocument/2006/relationships/hyperlink" Target="http://paperpile.com/b/mgEbUp/LnFdi" TargetMode="External"/><Relationship Id="rId55" Type="http://schemas.openxmlformats.org/officeDocument/2006/relationships/hyperlink" Target="http://paperpile.com/b/mgEbUp/B7yDY" TargetMode="External"/><Relationship Id="rId7" Type="http://schemas.openxmlformats.org/officeDocument/2006/relationships/hyperlink" Target="https://paperpile.com/c/mgEbUp/0FmXn" TargetMode="External"/><Relationship Id="rId12" Type="http://schemas.openxmlformats.org/officeDocument/2006/relationships/hyperlink" Target="https://paperpile.com/c/mgEbUp/QBdNS" TargetMode="External"/><Relationship Id="rId17" Type="http://schemas.openxmlformats.org/officeDocument/2006/relationships/hyperlink" Target="https://paperpile.com/c/mgEbUp/0FmXn" TargetMode="External"/><Relationship Id="rId25" Type="http://schemas.openxmlformats.org/officeDocument/2006/relationships/hyperlink" Target="http://paperpile.com/b/mgEbUp/NShqI" TargetMode="External"/><Relationship Id="rId33" Type="http://schemas.openxmlformats.org/officeDocument/2006/relationships/hyperlink" Target="http://paperpile.com/b/mgEbUp/vpqaw" TargetMode="External"/><Relationship Id="rId38" Type="http://schemas.openxmlformats.org/officeDocument/2006/relationships/hyperlink" Target="http://paperpile.com/b/mgEbUp/NCAkJ" TargetMode="External"/><Relationship Id="rId46" Type="http://schemas.openxmlformats.org/officeDocument/2006/relationships/hyperlink" Target="http://paperpile.com/b/mgEbUp/X7LZP" TargetMode="External"/><Relationship Id="rId2" Type="http://schemas.openxmlformats.org/officeDocument/2006/relationships/styles" Target="styles.xml"/><Relationship Id="rId16" Type="http://schemas.openxmlformats.org/officeDocument/2006/relationships/hyperlink" Target="https://paperpile.com/c/mgEbUp/X7LZP" TargetMode="External"/><Relationship Id="rId20" Type="http://schemas.openxmlformats.org/officeDocument/2006/relationships/hyperlink" Target="https://paperpile.com/c/mgEbUp/B7yDY" TargetMode="External"/><Relationship Id="rId29" Type="http://schemas.openxmlformats.org/officeDocument/2006/relationships/hyperlink" Target="http://dx.doi.org/10.1038/s41564-019-0492-8" TargetMode="External"/><Relationship Id="rId41" Type="http://schemas.openxmlformats.org/officeDocument/2006/relationships/hyperlink" Target="http://dx.doi.org/10.1128/aac.01281-18" TargetMode="External"/><Relationship Id="rId54" Type="http://schemas.openxmlformats.org/officeDocument/2006/relationships/hyperlink" Target="http://paperpile.com/b/mgEbUp/z49U9" TargetMode="External"/><Relationship Id="rId1" Type="http://schemas.openxmlformats.org/officeDocument/2006/relationships/customXml" Target="../customXml/item1.xml"/><Relationship Id="rId6" Type="http://schemas.openxmlformats.org/officeDocument/2006/relationships/hyperlink" Target="https://paperpile.com/c/mgEbUp/BGspL+gPP9b+NShqI" TargetMode="External"/><Relationship Id="rId11" Type="http://schemas.openxmlformats.org/officeDocument/2006/relationships/hyperlink" Target="https://paperpile.com/c/mgEbUp/HgAJM" TargetMode="External"/><Relationship Id="rId24" Type="http://schemas.openxmlformats.org/officeDocument/2006/relationships/hyperlink" Target="http://paperpile.com/b/mgEbUp/gPP9b" TargetMode="External"/><Relationship Id="rId32" Type="http://schemas.openxmlformats.org/officeDocument/2006/relationships/hyperlink" Target="http://paperpile.com/b/mgEbUp/vpqaw" TargetMode="External"/><Relationship Id="rId37" Type="http://schemas.openxmlformats.org/officeDocument/2006/relationships/hyperlink" Target="http://paperpile.com/b/mgEbUp/s6Izy" TargetMode="External"/><Relationship Id="rId40" Type="http://schemas.openxmlformats.org/officeDocument/2006/relationships/hyperlink" Target="http://paperpile.com/b/mgEbUp/NCAkJ" TargetMode="External"/><Relationship Id="rId45" Type="http://schemas.openxmlformats.org/officeDocument/2006/relationships/hyperlink" Target="http://paperpile.com/b/mgEbUp/X7LZP" TargetMode="External"/><Relationship Id="rId53" Type="http://schemas.openxmlformats.org/officeDocument/2006/relationships/hyperlink" Target="http://dx.doi.org/10.1016/j.plasmid.2017.08.003" TargetMode="External"/><Relationship Id="rId5" Type="http://schemas.openxmlformats.org/officeDocument/2006/relationships/webSettings" Target="webSettings.xml"/><Relationship Id="rId15" Type="http://schemas.openxmlformats.org/officeDocument/2006/relationships/hyperlink" Target="https://paperpile.com/c/mgEbUp/X7LZP" TargetMode="External"/><Relationship Id="rId23" Type="http://schemas.openxmlformats.org/officeDocument/2006/relationships/hyperlink" Target="http://paperpile.com/b/mgEbUp/BGspL" TargetMode="External"/><Relationship Id="rId28" Type="http://schemas.openxmlformats.org/officeDocument/2006/relationships/hyperlink" Target="http://paperpile.com/b/mgEbUp/0FmXn" TargetMode="External"/><Relationship Id="rId36" Type="http://schemas.openxmlformats.org/officeDocument/2006/relationships/hyperlink" Target="http://paperpile.com/b/mgEbUp/s6Izy" TargetMode="External"/><Relationship Id="rId49" Type="http://schemas.openxmlformats.org/officeDocument/2006/relationships/hyperlink" Target="http://paperpile.com/b/mgEbUp/PpRII" TargetMode="External"/><Relationship Id="rId57" Type="http://schemas.openxmlformats.org/officeDocument/2006/relationships/theme" Target="theme/theme1.xml"/><Relationship Id="rId10" Type="http://schemas.openxmlformats.org/officeDocument/2006/relationships/hyperlink" Target="https://paperpile.com/c/mgEbUp/vpqaw+s6Izy+NCAkJ" TargetMode="External"/><Relationship Id="rId19" Type="http://schemas.openxmlformats.org/officeDocument/2006/relationships/hyperlink" Target="https://paperpile.com/c/mgEbUp/j2O8p+z49U9+B7yDY" TargetMode="External"/><Relationship Id="rId31" Type="http://schemas.openxmlformats.org/officeDocument/2006/relationships/hyperlink" Target="http://paperpile.com/b/mgEbUp/YGPXt" TargetMode="External"/><Relationship Id="rId44" Type="http://schemas.openxmlformats.org/officeDocument/2006/relationships/hyperlink" Target="http://paperpile.com/b/mgEbUp/QBdNS" TargetMode="External"/><Relationship Id="rId52" Type="http://schemas.openxmlformats.org/officeDocument/2006/relationships/hyperlink" Target="http://paperpile.com/b/mgEbUp/z49U9" TargetMode="External"/><Relationship Id="rId4" Type="http://schemas.openxmlformats.org/officeDocument/2006/relationships/settings" Target="settings.xml"/><Relationship Id="rId9" Type="http://schemas.openxmlformats.org/officeDocument/2006/relationships/hyperlink" Target="https://paperpile.com/c/mgEbUp/BGspL+gPP9b+NShqI" TargetMode="External"/><Relationship Id="rId14" Type="http://schemas.openxmlformats.org/officeDocument/2006/relationships/hyperlink" Target="https://paperpile.com/c/mgEbUp/BGspL" TargetMode="External"/><Relationship Id="rId22" Type="http://schemas.openxmlformats.org/officeDocument/2006/relationships/hyperlink" Target="http://paperpile.com/b/mgEbUp/BGspL" TargetMode="External"/><Relationship Id="rId27" Type="http://schemas.openxmlformats.org/officeDocument/2006/relationships/hyperlink" Target="http://paperpile.com/b/mgEbUp/0FmXn" TargetMode="External"/><Relationship Id="rId30" Type="http://schemas.openxmlformats.org/officeDocument/2006/relationships/hyperlink" Target="http://paperpile.com/b/mgEbUp/0FmXn" TargetMode="External"/><Relationship Id="rId35" Type="http://schemas.openxmlformats.org/officeDocument/2006/relationships/hyperlink" Target="http://paperpile.com/b/mgEbUp/s6Izy" TargetMode="External"/><Relationship Id="rId43" Type="http://schemas.openxmlformats.org/officeDocument/2006/relationships/hyperlink" Target="http://paperpile.com/b/mgEbUp/HgAJM" TargetMode="External"/><Relationship Id="rId48" Type="http://schemas.openxmlformats.org/officeDocument/2006/relationships/hyperlink" Target="http://paperpile.com/b/mgEbUp/hD1od" TargetMode="External"/><Relationship Id="rId56" Type="http://schemas.openxmlformats.org/officeDocument/2006/relationships/fontTable" Target="fontTable.xml"/><Relationship Id="rId8" Type="http://schemas.openxmlformats.org/officeDocument/2006/relationships/hyperlink" Target="https://paperpile.com/c/mgEbUp/0FmXn+YGPXt" TargetMode="External"/><Relationship Id="rId51" Type="http://schemas.openxmlformats.org/officeDocument/2006/relationships/hyperlink" Target="http://paperpile.com/b/mgEbUp/j2O8p" TargetMode="Externa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Qs/PRSeohhJF12Y63VsPQAFhsnw==">AMUW2mWOLjswQhuBZvr9cVbldq3bFO3Vf+CM4pCM5sDSHbwb7s03rqJjWfy4F5cdvBKPjEdWnM6aTEhPx42bzuSuf/Di5rJm5sE2jXX6rSPMeNX/OEhJ0bQ46xgxm1QajiwsUqdeNiwL9nEr+7XNjFs3vvyXfwY8P3RLSZzoTMOpHueFsaCgvD/1oQ/tYXUJcDrjmwGE1yPMyIysxi17Z/0sccjOHzvEXP7NKHABrTyEfOkSXFKpNxJEtCyTWKErPbZ2uZqHAgXGzDJpQOKQfNEGTGLqQrCLyMlEpPmlQKG2STuJ/v+Bt2e5Rd2C+QIHyN824wGjyEWxGhprE4z2jd6Qixe5rEJ+UmJ4+sjnbksr1xPsfqfEx5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1810</Words>
  <Characters>10535</Characters>
  <Application>Microsoft Office Word</Application>
  <DocSecurity>0</DocSecurity>
  <Lines>178</Lines>
  <Paragraphs>39</Paragraphs>
  <ScaleCrop>false</ScaleCrop>
  <Company/>
  <LinksUpToDate>false</LinksUpToDate>
  <CharactersWithSpaces>12306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MLAPINIG</cp:lastModifiedBy>
  <cp:revision>3</cp:revision>
  <dcterms:created xsi:type="dcterms:W3CDTF">2022-02-10T04:07:00Z</dcterms:created>
  <dcterms:modified xsi:type="dcterms:W3CDTF">2022-03-26T11:30:00Z</dcterms:modified>
</cp:coreProperties>
</file>