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D2879" w14:textId="77777777" w:rsidR="00462E3E" w:rsidRPr="00BF6F95" w:rsidRDefault="00462E3E" w:rsidP="005A1791">
      <w:pPr>
        <w:spacing w:after="0" w:line="480" w:lineRule="auto"/>
        <w:jc w:val="center"/>
        <w:rPr>
          <w:rFonts w:eastAsia="Times New Roman"/>
          <w:b/>
          <w:bCs/>
          <w:sz w:val="24"/>
          <w:szCs w:val="24"/>
        </w:rPr>
      </w:pPr>
      <w:bookmarkStart w:id="0" w:name="_GoBack"/>
      <w:r w:rsidRPr="00B75B45">
        <w:rPr>
          <w:rFonts w:eastAsia="Times New Roman"/>
          <w:b/>
          <w:bCs/>
          <w:sz w:val="24"/>
          <w:szCs w:val="24"/>
        </w:rPr>
        <w:t>Combined exome and transcriptome sequencing of non-muscle</w:t>
      </w:r>
      <w:r>
        <w:rPr>
          <w:rFonts w:eastAsia="Times New Roman"/>
          <w:b/>
          <w:bCs/>
          <w:sz w:val="24"/>
          <w:szCs w:val="24"/>
        </w:rPr>
        <w:t>-</w:t>
      </w:r>
      <w:r w:rsidRPr="00B75B45">
        <w:rPr>
          <w:rFonts w:eastAsia="Times New Roman"/>
          <w:b/>
          <w:bCs/>
          <w:sz w:val="24"/>
          <w:szCs w:val="24"/>
        </w:rPr>
        <w:t>invasive bladder cancer: associations between genomic changes, expression subtypes and clinical outcomes</w:t>
      </w:r>
    </w:p>
    <w:p w14:paraId="002A16E4" w14:textId="77777777" w:rsidR="005B57A6" w:rsidRPr="00E7378F" w:rsidRDefault="005B57A6" w:rsidP="005B57A6">
      <w:pPr>
        <w:spacing w:after="0" w:line="480" w:lineRule="auto"/>
        <w:jc w:val="both"/>
        <w:rPr>
          <w:rFonts w:eastAsia="Times New Roman"/>
          <w:sz w:val="24"/>
          <w:szCs w:val="24"/>
        </w:rPr>
      </w:pPr>
      <w:r w:rsidRPr="36418D70">
        <w:rPr>
          <w:rFonts w:eastAsia="Times New Roman"/>
          <w:sz w:val="24"/>
          <w:szCs w:val="24"/>
        </w:rPr>
        <w:t>A</w:t>
      </w:r>
      <w:r>
        <w:rPr>
          <w:rFonts w:eastAsia="Times New Roman"/>
          <w:sz w:val="24"/>
          <w:szCs w:val="24"/>
        </w:rPr>
        <w:t>nshita</w:t>
      </w:r>
      <w:r w:rsidRPr="36418D70">
        <w:rPr>
          <w:rFonts w:eastAsia="Times New Roman"/>
          <w:sz w:val="24"/>
          <w:szCs w:val="24"/>
        </w:rPr>
        <w:t xml:space="preserve"> Goel</w:t>
      </w:r>
      <w:r w:rsidRPr="007D73B3">
        <w:rPr>
          <w:b/>
          <w:sz w:val="24"/>
          <w:szCs w:val="24"/>
        </w:rPr>
        <w:t>†</w:t>
      </w:r>
      <w:r w:rsidRPr="36418D70">
        <w:rPr>
          <w:sz w:val="24"/>
          <w:szCs w:val="24"/>
          <w:vertAlign w:val="superscript"/>
        </w:rPr>
        <w:t>1,2</w:t>
      </w:r>
      <w:r w:rsidRPr="36418D70">
        <w:rPr>
          <w:rFonts w:eastAsia="Times New Roman"/>
          <w:sz w:val="24"/>
          <w:szCs w:val="24"/>
        </w:rPr>
        <w:t>, D</w:t>
      </w:r>
      <w:r>
        <w:rPr>
          <w:rFonts w:eastAsia="Times New Roman"/>
          <w:sz w:val="24"/>
          <w:szCs w:val="24"/>
        </w:rPr>
        <w:t xml:space="preserve">ouglas </w:t>
      </w:r>
      <w:r w:rsidRPr="36418D70">
        <w:rPr>
          <w:rFonts w:eastAsia="Times New Roman"/>
          <w:sz w:val="24"/>
          <w:szCs w:val="24"/>
        </w:rPr>
        <w:t>G Ward</w:t>
      </w:r>
      <w:r w:rsidRPr="007D73B3">
        <w:rPr>
          <w:b/>
          <w:sz w:val="24"/>
          <w:szCs w:val="24"/>
        </w:rPr>
        <w:t>†</w:t>
      </w:r>
      <w:r w:rsidRPr="36418D70">
        <w:rPr>
          <w:sz w:val="24"/>
          <w:szCs w:val="24"/>
          <w:vertAlign w:val="superscript"/>
        </w:rPr>
        <w:t>1,2</w:t>
      </w:r>
      <w:r w:rsidRPr="36418D70">
        <w:rPr>
          <w:rFonts w:eastAsia="Times New Roman"/>
          <w:sz w:val="24"/>
          <w:szCs w:val="24"/>
        </w:rPr>
        <w:t>, B</w:t>
      </w:r>
      <w:r>
        <w:rPr>
          <w:rFonts w:eastAsia="Times New Roman"/>
          <w:sz w:val="24"/>
          <w:szCs w:val="24"/>
        </w:rPr>
        <w:t>oris</w:t>
      </w:r>
      <w:r w:rsidRPr="36418D70">
        <w:rPr>
          <w:rFonts w:eastAsia="Times New Roman"/>
          <w:sz w:val="24"/>
          <w:szCs w:val="24"/>
        </w:rPr>
        <w:t xml:space="preserve"> Noyvert</w:t>
      </w:r>
      <w:r w:rsidRPr="007D73B3">
        <w:rPr>
          <w:rFonts w:eastAsia="Times New Roman" w:cstheme="minorHAnsi"/>
          <w:b/>
          <w:sz w:val="24"/>
          <w:szCs w:val="24"/>
        </w:rPr>
        <w:t>†</w:t>
      </w:r>
      <w:r w:rsidRPr="36418D70">
        <w:rPr>
          <w:rFonts w:eastAsia="Times New Roman"/>
          <w:sz w:val="24"/>
          <w:szCs w:val="24"/>
          <w:vertAlign w:val="superscript"/>
        </w:rPr>
        <w:t>2,</w:t>
      </w:r>
      <w:r>
        <w:rPr>
          <w:rFonts w:eastAsia="Times New Roman"/>
          <w:sz w:val="24"/>
          <w:szCs w:val="24"/>
          <w:vertAlign w:val="superscript"/>
        </w:rPr>
        <w:t>3</w:t>
      </w:r>
      <w:r w:rsidRPr="36418D70">
        <w:rPr>
          <w:rFonts w:eastAsia="Times New Roman"/>
          <w:sz w:val="24"/>
          <w:szCs w:val="24"/>
          <w:vertAlign w:val="superscript"/>
        </w:rPr>
        <w:t>,</w:t>
      </w:r>
      <w:r>
        <w:rPr>
          <w:rFonts w:eastAsia="Times New Roman"/>
          <w:sz w:val="24"/>
          <w:szCs w:val="24"/>
          <w:vertAlign w:val="superscript"/>
        </w:rPr>
        <w:t>4</w:t>
      </w:r>
      <w:r w:rsidRPr="36418D70">
        <w:rPr>
          <w:rFonts w:eastAsia="Times New Roman"/>
          <w:sz w:val="24"/>
          <w:szCs w:val="24"/>
        </w:rPr>
        <w:t xml:space="preserve">, </w:t>
      </w:r>
      <w:r w:rsidRPr="00123BB5">
        <w:rPr>
          <w:rFonts w:eastAsia="Times New Roman"/>
          <w:sz w:val="24"/>
          <w:szCs w:val="24"/>
        </w:rPr>
        <w:t>Minghao Yu</w:t>
      </w:r>
      <w:r w:rsidRPr="00123BB5">
        <w:rPr>
          <w:rFonts w:eastAsia="Times New Roman"/>
          <w:sz w:val="24"/>
          <w:szCs w:val="24"/>
          <w:vertAlign w:val="superscript"/>
        </w:rPr>
        <w:t>1,2</w:t>
      </w:r>
      <w:r>
        <w:rPr>
          <w:rFonts w:eastAsia="Times New Roman"/>
          <w:sz w:val="24"/>
          <w:szCs w:val="24"/>
        </w:rPr>
        <w:t>, Naheema S</w:t>
      </w:r>
      <w:r w:rsidRPr="36418D70">
        <w:rPr>
          <w:rFonts w:eastAsia="Times New Roman"/>
          <w:sz w:val="24"/>
          <w:szCs w:val="24"/>
        </w:rPr>
        <w:t xml:space="preserve"> Gordon</w:t>
      </w:r>
      <w:r w:rsidRPr="36418D70">
        <w:rPr>
          <w:sz w:val="24"/>
          <w:szCs w:val="24"/>
          <w:vertAlign w:val="superscript"/>
        </w:rPr>
        <w:t>1,2</w:t>
      </w:r>
      <w:r w:rsidRPr="36418D70">
        <w:rPr>
          <w:rFonts w:eastAsia="Times New Roman"/>
          <w:sz w:val="24"/>
          <w:szCs w:val="24"/>
        </w:rPr>
        <w:t>, B</w:t>
      </w:r>
      <w:r>
        <w:rPr>
          <w:rFonts w:eastAsia="Times New Roman"/>
          <w:sz w:val="24"/>
          <w:szCs w:val="24"/>
        </w:rPr>
        <w:t>en</w:t>
      </w:r>
      <w:r w:rsidRPr="36418D70">
        <w:rPr>
          <w:rFonts w:eastAsia="Times New Roman"/>
          <w:sz w:val="24"/>
          <w:szCs w:val="24"/>
        </w:rPr>
        <w:t xml:space="preserve"> Abbotts</w:t>
      </w:r>
      <w:r w:rsidRPr="36418D70">
        <w:rPr>
          <w:sz w:val="24"/>
          <w:szCs w:val="24"/>
          <w:vertAlign w:val="superscript"/>
        </w:rPr>
        <w:t>1,2</w:t>
      </w:r>
      <w:r w:rsidRPr="36418D70">
        <w:rPr>
          <w:rFonts w:eastAsia="Times New Roman"/>
          <w:sz w:val="24"/>
          <w:szCs w:val="24"/>
        </w:rPr>
        <w:t>, J</w:t>
      </w:r>
      <w:r>
        <w:rPr>
          <w:rFonts w:eastAsia="Times New Roman"/>
          <w:sz w:val="24"/>
          <w:szCs w:val="24"/>
        </w:rPr>
        <w:t>ohn</w:t>
      </w:r>
      <w:r w:rsidRPr="36418D70">
        <w:rPr>
          <w:rFonts w:eastAsia="Times New Roman"/>
          <w:sz w:val="24"/>
          <w:szCs w:val="24"/>
        </w:rPr>
        <w:t xml:space="preserve"> </w:t>
      </w:r>
      <w:r>
        <w:rPr>
          <w:rFonts w:eastAsia="Times New Roman"/>
          <w:sz w:val="24"/>
          <w:szCs w:val="24"/>
        </w:rPr>
        <w:t xml:space="preserve">K </w:t>
      </w:r>
      <w:r w:rsidRPr="36418D70">
        <w:rPr>
          <w:rFonts w:eastAsia="Times New Roman"/>
          <w:sz w:val="24"/>
          <w:szCs w:val="24"/>
        </w:rPr>
        <w:t>Colbourne</w:t>
      </w:r>
      <w:r>
        <w:rPr>
          <w:rFonts w:eastAsia="Times New Roman"/>
          <w:sz w:val="24"/>
          <w:szCs w:val="24"/>
          <w:vertAlign w:val="superscript"/>
        </w:rPr>
        <w:t>5</w:t>
      </w:r>
      <w:r w:rsidRPr="36418D70">
        <w:rPr>
          <w:rFonts w:eastAsia="Times New Roman"/>
          <w:sz w:val="24"/>
          <w:szCs w:val="24"/>
        </w:rPr>
        <w:t>, S</w:t>
      </w:r>
      <w:r>
        <w:rPr>
          <w:rFonts w:eastAsia="Times New Roman"/>
          <w:sz w:val="24"/>
          <w:szCs w:val="24"/>
        </w:rPr>
        <w:t>tephen</w:t>
      </w:r>
      <w:r w:rsidRPr="36418D70">
        <w:rPr>
          <w:rFonts w:eastAsia="Times New Roman"/>
          <w:sz w:val="24"/>
          <w:szCs w:val="24"/>
        </w:rPr>
        <w:t xml:space="preserve"> Kissane</w:t>
      </w:r>
      <w:r>
        <w:rPr>
          <w:rFonts w:eastAsia="Times New Roman"/>
          <w:sz w:val="24"/>
          <w:szCs w:val="24"/>
          <w:vertAlign w:val="superscript"/>
        </w:rPr>
        <w:t>5</w:t>
      </w:r>
      <w:r w:rsidRPr="36418D70">
        <w:rPr>
          <w:rFonts w:eastAsia="Times New Roman"/>
          <w:sz w:val="24"/>
          <w:szCs w:val="24"/>
        </w:rPr>
        <w:t>, N</w:t>
      </w:r>
      <w:r>
        <w:rPr>
          <w:rFonts w:eastAsia="Times New Roman"/>
          <w:sz w:val="24"/>
          <w:szCs w:val="24"/>
        </w:rPr>
        <w:t xml:space="preserve">icholas </w:t>
      </w:r>
      <w:r w:rsidRPr="36418D70">
        <w:rPr>
          <w:rFonts w:eastAsia="Times New Roman"/>
          <w:sz w:val="24"/>
          <w:szCs w:val="24"/>
        </w:rPr>
        <w:t>D James</w:t>
      </w:r>
      <w:r>
        <w:rPr>
          <w:rFonts w:eastAsia="Times New Roman"/>
          <w:sz w:val="24"/>
          <w:szCs w:val="24"/>
          <w:vertAlign w:val="superscript"/>
        </w:rPr>
        <w:t>6</w:t>
      </w:r>
      <w:r w:rsidRPr="36418D70">
        <w:rPr>
          <w:rFonts w:eastAsia="Times New Roman"/>
          <w:sz w:val="24"/>
          <w:szCs w:val="24"/>
          <w:vertAlign w:val="superscript"/>
        </w:rPr>
        <w:t>,</w:t>
      </w:r>
      <w:r>
        <w:rPr>
          <w:rFonts w:eastAsia="Times New Roman"/>
          <w:sz w:val="24"/>
          <w:szCs w:val="24"/>
          <w:vertAlign w:val="superscript"/>
        </w:rPr>
        <w:t>7</w:t>
      </w:r>
      <w:r w:rsidRPr="36418D70">
        <w:rPr>
          <w:rFonts w:eastAsia="Times New Roman"/>
          <w:sz w:val="24"/>
          <w:szCs w:val="24"/>
        </w:rPr>
        <w:t>, M</w:t>
      </w:r>
      <w:r>
        <w:rPr>
          <w:rFonts w:eastAsia="Times New Roman"/>
          <w:sz w:val="24"/>
          <w:szCs w:val="24"/>
        </w:rPr>
        <w:t xml:space="preserve">aurice </w:t>
      </w:r>
      <w:r w:rsidRPr="36418D70">
        <w:rPr>
          <w:rFonts w:eastAsia="Times New Roman"/>
          <w:sz w:val="24"/>
          <w:szCs w:val="24"/>
        </w:rPr>
        <w:t>P Zeegers</w:t>
      </w:r>
      <w:r>
        <w:rPr>
          <w:rFonts w:eastAsia="Times New Roman"/>
          <w:sz w:val="24"/>
          <w:szCs w:val="24"/>
          <w:vertAlign w:val="superscript"/>
        </w:rPr>
        <w:t>8</w:t>
      </w:r>
      <w:r w:rsidRPr="36418D70">
        <w:rPr>
          <w:rFonts w:eastAsia="Times New Roman"/>
          <w:sz w:val="24"/>
          <w:szCs w:val="24"/>
          <w:vertAlign w:val="superscript"/>
        </w:rPr>
        <w:t>,</w:t>
      </w:r>
      <w:r>
        <w:rPr>
          <w:rFonts w:eastAsia="Times New Roman"/>
          <w:sz w:val="24"/>
          <w:szCs w:val="24"/>
          <w:vertAlign w:val="superscript"/>
        </w:rPr>
        <w:t>9</w:t>
      </w:r>
      <w:r w:rsidRPr="36418D70">
        <w:rPr>
          <w:rFonts w:eastAsia="Times New Roman"/>
          <w:sz w:val="24"/>
          <w:szCs w:val="24"/>
        </w:rPr>
        <w:t>, KK Cheng</w:t>
      </w:r>
      <w:r>
        <w:rPr>
          <w:rFonts w:eastAsia="Times New Roman"/>
          <w:sz w:val="24"/>
          <w:szCs w:val="24"/>
          <w:vertAlign w:val="superscript"/>
        </w:rPr>
        <w:t>10</w:t>
      </w:r>
      <w:r w:rsidRPr="36418D70">
        <w:rPr>
          <w:rFonts w:eastAsia="Times New Roman"/>
          <w:sz w:val="24"/>
          <w:szCs w:val="24"/>
        </w:rPr>
        <w:t>, J</w:t>
      </w:r>
      <w:r>
        <w:rPr>
          <w:rFonts w:eastAsia="Times New Roman"/>
          <w:sz w:val="24"/>
          <w:szCs w:val="24"/>
        </w:rPr>
        <w:t>ean-Baptiste</w:t>
      </w:r>
      <w:r w:rsidRPr="36418D70">
        <w:rPr>
          <w:rFonts w:eastAsia="Times New Roman"/>
          <w:sz w:val="24"/>
          <w:szCs w:val="24"/>
        </w:rPr>
        <w:t xml:space="preserve"> Cazier</w:t>
      </w:r>
      <w:r w:rsidRPr="36418D70">
        <w:rPr>
          <w:rFonts w:eastAsia="Times New Roman"/>
          <w:sz w:val="24"/>
          <w:szCs w:val="24"/>
          <w:vertAlign w:val="superscript"/>
        </w:rPr>
        <w:t>2,</w:t>
      </w:r>
      <w:r>
        <w:rPr>
          <w:rFonts w:eastAsia="Times New Roman"/>
          <w:sz w:val="24"/>
          <w:szCs w:val="24"/>
          <w:vertAlign w:val="superscript"/>
        </w:rPr>
        <w:t>3</w:t>
      </w:r>
      <w:r w:rsidRPr="36418D70">
        <w:rPr>
          <w:rFonts w:eastAsia="Times New Roman"/>
          <w:sz w:val="24"/>
          <w:szCs w:val="24"/>
        </w:rPr>
        <w:t>, C</w:t>
      </w:r>
      <w:r>
        <w:rPr>
          <w:rFonts w:eastAsia="Times New Roman"/>
          <w:sz w:val="24"/>
          <w:szCs w:val="24"/>
        </w:rPr>
        <w:t>elina</w:t>
      </w:r>
      <w:r w:rsidRPr="36418D70">
        <w:rPr>
          <w:rFonts w:eastAsia="Times New Roman"/>
          <w:sz w:val="24"/>
          <w:szCs w:val="24"/>
        </w:rPr>
        <w:t xml:space="preserve"> </w:t>
      </w:r>
      <w:r>
        <w:rPr>
          <w:rFonts w:eastAsia="Times New Roman"/>
          <w:sz w:val="24"/>
          <w:szCs w:val="24"/>
        </w:rPr>
        <w:t xml:space="preserve">M </w:t>
      </w:r>
      <w:r w:rsidRPr="36418D70">
        <w:rPr>
          <w:rFonts w:eastAsia="Times New Roman"/>
          <w:sz w:val="24"/>
          <w:szCs w:val="24"/>
        </w:rPr>
        <w:t>Whalley</w:t>
      </w:r>
      <w:r>
        <w:rPr>
          <w:sz w:val="24"/>
          <w:szCs w:val="24"/>
          <w:vertAlign w:val="superscript"/>
        </w:rPr>
        <w:t>11</w:t>
      </w:r>
      <w:r w:rsidRPr="36418D70">
        <w:rPr>
          <w:rFonts w:eastAsia="Times New Roman"/>
          <w:sz w:val="24"/>
          <w:szCs w:val="24"/>
        </w:rPr>
        <w:t>, A</w:t>
      </w:r>
      <w:r>
        <w:rPr>
          <w:rFonts w:eastAsia="Times New Roman"/>
          <w:sz w:val="24"/>
          <w:szCs w:val="24"/>
        </w:rPr>
        <w:t>ndrew</w:t>
      </w:r>
      <w:r w:rsidRPr="36418D70">
        <w:rPr>
          <w:rFonts w:eastAsia="Times New Roman"/>
          <w:sz w:val="24"/>
          <w:szCs w:val="24"/>
        </w:rPr>
        <w:t xml:space="preserve"> </w:t>
      </w:r>
      <w:r>
        <w:rPr>
          <w:rFonts w:eastAsia="Times New Roman"/>
          <w:sz w:val="24"/>
          <w:szCs w:val="24"/>
        </w:rPr>
        <w:t xml:space="preserve">D </w:t>
      </w:r>
      <w:r w:rsidRPr="36418D70">
        <w:rPr>
          <w:rFonts w:eastAsia="Times New Roman"/>
          <w:sz w:val="24"/>
          <w:szCs w:val="24"/>
        </w:rPr>
        <w:t>Beggs</w:t>
      </w:r>
      <w:r w:rsidRPr="36418D70">
        <w:rPr>
          <w:rFonts w:eastAsia="Times New Roman"/>
          <w:sz w:val="24"/>
          <w:szCs w:val="24"/>
          <w:vertAlign w:val="superscript"/>
        </w:rPr>
        <w:t>2,</w:t>
      </w:r>
      <w:r w:rsidRPr="36418D70">
        <w:rPr>
          <w:sz w:val="24"/>
          <w:szCs w:val="24"/>
          <w:vertAlign w:val="superscript"/>
        </w:rPr>
        <w:t>1</w:t>
      </w:r>
      <w:r>
        <w:rPr>
          <w:sz w:val="24"/>
          <w:szCs w:val="24"/>
          <w:vertAlign w:val="superscript"/>
        </w:rPr>
        <w:t>1</w:t>
      </w:r>
      <w:r w:rsidRPr="36418D70">
        <w:rPr>
          <w:rFonts w:eastAsia="Times New Roman"/>
          <w:sz w:val="24"/>
          <w:szCs w:val="24"/>
        </w:rPr>
        <w:t xml:space="preserve">, </w:t>
      </w:r>
      <w:r w:rsidRPr="36418D70">
        <w:rPr>
          <w:rFonts w:cs="Calibri"/>
          <w:sz w:val="24"/>
          <w:szCs w:val="24"/>
        </w:rPr>
        <w:t>C</w:t>
      </w:r>
      <w:r>
        <w:rPr>
          <w:rFonts w:cs="Calibri"/>
          <w:sz w:val="24"/>
          <w:szCs w:val="24"/>
        </w:rPr>
        <w:t>laire</w:t>
      </w:r>
      <w:r w:rsidRPr="36418D70">
        <w:rPr>
          <w:rFonts w:cs="Calibri"/>
          <w:sz w:val="24"/>
          <w:szCs w:val="24"/>
        </w:rPr>
        <w:t xml:space="preserve"> Palles</w:t>
      </w:r>
      <w:r w:rsidRPr="36418D70">
        <w:rPr>
          <w:rFonts w:cs="Calibri"/>
          <w:sz w:val="24"/>
          <w:szCs w:val="24"/>
          <w:vertAlign w:val="superscript"/>
        </w:rPr>
        <w:t>2</w:t>
      </w:r>
      <w:r w:rsidRPr="36418D70">
        <w:rPr>
          <w:rFonts w:cs="Calibri"/>
          <w:sz w:val="24"/>
          <w:szCs w:val="24"/>
        </w:rPr>
        <w:t xml:space="preserve">, </w:t>
      </w:r>
      <w:r w:rsidRPr="36418D70">
        <w:rPr>
          <w:rFonts w:eastAsia="Times New Roman"/>
          <w:sz w:val="24"/>
          <w:szCs w:val="24"/>
        </w:rPr>
        <w:t>R</w:t>
      </w:r>
      <w:r>
        <w:rPr>
          <w:rFonts w:eastAsia="Times New Roman"/>
          <w:sz w:val="24"/>
          <w:szCs w:val="24"/>
        </w:rPr>
        <w:t>oland</w:t>
      </w:r>
      <w:r w:rsidRPr="36418D70">
        <w:rPr>
          <w:rFonts w:eastAsia="Times New Roman"/>
          <w:sz w:val="24"/>
          <w:szCs w:val="24"/>
        </w:rPr>
        <w:t xml:space="preserve"> Arnold</w:t>
      </w:r>
      <w:r w:rsidRPr="007D73B3">
        <w:rPr>
          <w:rFonts w:eastAsia="Times New Roman"/>
          <w:b/>
          <w:sz w:val="24"/>
          <w:szCs w:val="24"/>
        </w:rPr>
        <w:t>‡</w:t>
      </w:r>
      <w:r w:rsidRPr="36418D70">
        <w:rPr>
          <w:sz w:val="24"/>
          <w:szCs w:val="24"/>
          <w:vertAlign w:val="superscript"/>
        </w:rPr>
        <w:t>1,2</w:t>
      </w:r>
      <w:r w:rsidRPr="36418D70">
        <w:rPr>
          <w:rFonts w:eastAsia="Times New Roman"/>
          <w:sz w:val="24"/>
          <w:szCs w:val="24"/>
        </w:rPr>
        <w:t>, R</w:t>
      </w:r>
      <w:r>
        <w:rPr>
          <w:rFonts w:eastAsia="Times New Roman"/>
          <w:sz w:val="24"/>
          <w:szCs w:val="24"/>
        </w:rPr>
        <w:t xml:space="preserve">ichard </w:t>
      </w:r>
      <w:r w:rsidRPr="36418D70">
        <w:rPr>
          <w:rFonts w:eastAsia="Times New Roman"/>
          <w:sz w:val="24"/>
          <w:szCs w:val="24"/>
        </w:rPr>
        <w:t>T Bryan</w:t>
      </w:r>
      <w:r w:rsidRPr="007D73B3">
        <w:rPr>
          <w:rFonts w:eastAsia="Times New Roman"/>
          <w:b/>
          <w:sz w:val="24"/>
          <w:szCs w:val="24"/>
        </w:rPr>
        <w:t>‡</w:t>
      </w:r>
      <w:r w:rsidRPr="36418D70">
        <w:rPr>
          <w:sz w:val="24"/>
          <w:szCs w:val="24"/>
          <w:vertAlign w:val="superscript"/>
        </w:rPr>
        <w:t>1,2</w:t>
      </w:r>
      <w:r w:rsidRPr="36418D70">
        <w:rPr>
          <w:rFonts w:eastAsia="Times New Roman"/>
          <w:sz w:val="24"/>
          <w:szCs w:val="24"/>
        </w:rPr>
        <w:t>.</w:t>
      </w:r>
    </w:p>
    <w:p w14:paraId="69BCCD51" w14:textId="77777777" w:rsidR="005B57A6" w:rsidRPr="00E7378F" w:rsidRDefault="005B57A6" w:rsidP="005B57A6">
      <w:pPr>
        <w:spacing w:after="0" w:line="480" w:lineRule="auto"/>
        <w:jc w:val="both"/>
        <w:rPr>
          <w:rFonts w:eastAsia="Times New Roman" w:cstheme="minorHAnsi"/>
          <w:bCs/>
          <w:sz w:val="24"/>
          <w:szCs w:val="24"/>
        </w:rPr>
      </w:pPr>
      <w:r w:rsidRPr="007D73B3">
        <w:rPr>
          <w:rFonts w:eastAsia="Times New Roman" w:cstheme="minorHAnsi"/>
          <w:b/>
          <w:sz w:val="24"/>
          <w:szCs w:val="24"/>
        </w:rPr>
        <w:t>†</w:t>
      </w:r>
      <w:r w:rsidRPr="00E7378F">
        <w:rPr>
          <w:rFonts w:eastAsia="Times New Roman" w:cstheme="minorHAnsi"/>
          <w:bCs/>
          <w:sz w:val="24"/>
          <w:szCs w:val="24"/>
        </w:rPr>
        <w:t xml:space="preserve"> </w:t>
      </w:r>
      <w:r>
        <w:rPr>
          <w:rFonts w:eastAsia="Times New Roman" w:cstheme="minorHAnsi"/>
          <w:bCs/>
          <w:sz w:val="24"/>
          <w:szCs w:val="24"/>
        </w:rPr>
        <w:t>A</w:t>
      </w:r>
      <w:r w:rsidRPr="00E7378F">
        <w:rPr>
          <w:rFonts w:eastAsia="Times New Roman" w:cstheme="minorHAnsi"/>
          <w:bCs/>
          <w:sz w:val="24"/>
          <w:szCs w:val="24"/>
        </w:rPr>
        <w:t>uthors contributed equally</w:t>
      </w:r>
      <w:r>
        <w:rPr>
          <w:rFonts w:eastAsia="Times New Roman" w:cstheme="minorHAnsi"/>
          <w:bCs/>
          <w:sz w:val="24"/>
          <w:szCs w:val="24"/>
        </w:rPr>
        <w:t>.</w:t>
      </w:r>
    </w:p>
    <w:p w14:paraId="0B1D87E1" w14:textId="77777777" w:rsidR="005B57A6" w:rsidRDefault="005B57A6" w:rsidP="005B57A6">
      <w:pPr>
        <w:spacing w:line="480" w:lineRule="auto"/>
        <w:jc w:val="both"/>
        <w:rPr>
          <w:rFonts w:eastAsia="Times New Roman" w:cstheme="minorHAnsi"/>
          <w:bCs/>
          <w:sz w:val="24"/>
          <w:szCs w:val="24"/>
        </w:rPr>
      </w:pPr>
      <w:r w:rsidRPr="007D73B3">
        <w:rPr>
          <w:rFonts w:eastAsia="Times New Roman" w:cstheme="minorHAnsi"/>
          <w:b/>
          <w:sz w:val="24"/>
          <w:szCs w:val="24"/>
        </w:rPr>
        <w:t>‡</w:t>
      </w:r>
      <w:r w:rsidRPr="00E7378F">
        <w:rPr>
          <w:rFonts w:eastAsia="Times New Roman" w:cstheme="minorHAnsi"/>
          <w:bCs/>
          <w:sz w:val="24"/>
          <w:szCs w:val="24"/>
        </w:rPr>
        <w:t xml:space="preserve"> </w:t>
      </w:r>
      <w:r>
        <w:rPr>
          <w:rFonts w:eastAsia="Times New Roman" w:cstheme="minorHAnsi"/>
          <w:bCs/>
          <w:sz w:val="24"/>
          <w:szCs w:val="24"/>
        </w:rPr>
        <w:t>A</w:t>
      </w:r>
      <w:r w:rsidRPr="00E7378F">
        <w:rPr>
          <w:rFonts w:eastAsia="Times New Roman" w:cstheme="minorHAnsi"/>
          <w:bCs/>
          <w:sz w:val="24"/>
          <w:szCs w:val="24"/>
        </w:rPr>
        <w:t>uthors contributed equally</w:t>
      </w:r>
      <w:r>
        <w:rPr>
          <w:rFonts w:eastAsia="Times New Roman" w:cstheme="minorHAnsi"/>
          <w:bCs/>
          <w:sz w:val="24"/>
          <w:szCs w:val="24"/>
        </w:rPr>
        <w:t>.</w:t>
      </w:r>
    </w:p>
    <w:p w14:paraId="481C1A38" w14:textId="77777777" w:rsidR="00462E3E" w:rsidRDefault="00462E3E" w:rsidP="00462E3E">
      <w:pPr>
        <w:spacing w:after="0" w:line="240" w:lineRule="auto"/>
        <w:jc w:val="both"/>
        <w:rPr>
          <w:rFonts w:eastAsia="Times New Roman" w:cstheme="minorHAnsi"/>
          <w:b/>
          <w:sz w:val="24"/>
          <w:szCs w:val="24"/>
        </w:rPr>
      </w:pPr>
    </w:p>
    <w:p w14:paraId="7926AE88" w14:textId="77777777" w:rsidR="00462E3E" w:rsidRPr="00BF6F95" w:rsidRDefault="00462E3E" w:rsidP="00462E3E">
      <w:pPr>
        <w:spacing w:after="0" w:line="240" w:lineRule="auto"/>
        <w:jc w:val="both"/>
        <w:rPr>
          <w:rFonts w:eastAsia="Times New Roman" w:cstheme="minorHAnsi"/>
          <w:b/>
          <w:sz w:val="24"/>
          <w:szCs w:val="24"/>
        </w:rPr>
      </w:pPr>
      <w:r w:rsidRPr="00BF6F95">
        <w:rPr>
          <w:rFonts w:eastAsia="Times New Roman" w:cstheme="minorHAnsi"/>
          <w:b/>
          <w:sz w:val="24"/>
          <w:szCs w:val="24"/>
        </w:rPr>
        <w:t xml:space="preserve">Affiliations </w:t>
      </w:r>
    </w:p>
    <w:p w14:paraId="5C028F97"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1:</w:t>
      </w:r>
      <w:r>
        <w:rPr>
          <w:rFonts w:eastAsia="Times New Roman" w:cstheme="minorHAnsi"/>
          <w:bCs/>
          <w:sz w:val="24"/>
          <w:szCs w:val="24"/>
        </w:rPr>
        <w:tab/>
        <w:t>Bladder Cancer Research Centre, University of Birmingham, Birmingham, UK.</w:t>
      </w:r>
    </w:p>
    <w:p w14:paraId="694B7B2E"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2:</w:t>
      </w:r>
      <w:r>
        <w:rPr>
          <w:rFonts w:eastAsia="Times New Roman" w:cstheme="minorHAnsi"/>
          <w:bCs/>
          <w:sz w:val="24"/>
          <w:szCs w:val="24"/>
        </w:rPr>
        <w:tab/>
      </w:r>
      <w:r w:rsidRPr="00060CC7">
        <w:rPr>
          <w:rFonts w:eastAsia="Times New Roman" w:cstheme="minorHAnsi"/>
          <w:bCs/>
          <w:sz w:val="24"/>
          <w:szCs w:val="24"/>
        </w:rPr>
        <w:t xml:space="preserve">Institute of Cancer and Genomic Sciences, University of Birmingham, Birmingham, </w:t>
      </w:r>
      <w:r>
        <w:rPr>
          <w:rFonts w:eastAsia="Times New Roman" w:cstheme="minorHAnsi"/>
          <w:bCs/>
          <w:sz w:val="24"/>
          <w:szCs w:val="24"/>
        </w:rPr>
        <w:tab/>
      </w:r>
      <w:r w:rsidRPr="00060CC7">
        <w:rPr>
          <w:rFonts w:eastAsia="Times New Roman" w:cstheme="minorHAnsi"/>
          <w:bCs/>
          <w:sz w:val="24"/>
          <w:szCs w:val="24"/>
        </w:rPr>
        <w:t>UK.</w:t>
      </w:r>
    </w:p>
    <w:p w14:paraId="0FC1800F"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3:</w:t>
      </w:r>
      <w:r>
        <w:rPr>
          <w:rFonts w:eastAsia="Times New Roman" w:cstheme="minorHAnsi"/>
          <w:bCs/>
          <w:sz w:val="24"/>
          <w:szCs w:val="24"/>
        </w:rPr>
        <w:tab/>
      </w:r>
      <w:r w:rsidRPr="00342A5B">
        <w:rPr>
          <w:rFonts w:eastAsia="Times New Roman" w:cstheme="minorHAnsi"/>
          <w:bCs/>
          <w:sz w:val="24"/>
          <w:szCs w:val="24"/>
        </w:rPr>
        <w:t>Centre for Computational Biology, University of Birmingham, Birmingham, UK.</w:t>
      </w:r>
    </w:p>
    <w:p w14:paraId="0D5A8BF4"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4:</w:t>
      </w:r>
      <w:r>
        <w:rPr>
          <w:rFonts w:eastAsia="Times New Roman" w:cstheme="minorHAnsi"/>
          <w:bCs/>
          <w:sz w:val="24"/>
          <w:szCs w:val="24"/>
        </w:rPr>
        <w:tab/>
      </w:r>
      <w:r w:rsidRPr="00342A5B">
        <w:rPr>
          <w:rFonts w:eastAsia="Times New Roman" w:cstheme="minorHAnsi"/>
          <w:bCs/>
          <w:sz w:val="24"/>
          <w:szCs w:val="24"/>
        </w:rPr>
        <w:t>CRUK Birmingham Centre, University of Birmingham, Birmingham, UK.</w:t>
      </w:r>
    </w:p>
    <w:p w14:paraId="65B7D493"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5:</w:t>
      </w:r>
      <w:r>
        <w:rPr>
          <w:rFonts w:eastAsia="Times New Roman" w:cstheme="minorHAnsi"/>
          <w:bCs/>
          <w:sz w:val="24"/>
          <w:szCs w:val="24"/>
        </w:rPr>
        <w:tab/>
        <w:t xml:space="preserve">School of Biosciences, </w:t>
      </w:r>
      <w:r w:rsidRPr="00060CC7">
        <w:rPr>
          <w:rFonts w:eastAsia="Times New Roman" w:cstheme="minorHAnsi"/>
          <w:bCs/>
          <w:sz w:val="24"/>
          <w:szCs w:val="24"/>
        </w:rPr>
        <w:t>University of Birmingham, Birmingham, UK.</w:t>
      </w:r>
    </w:p>
    <w:p w14:paraId="5862E970" w14:textId="77777777" w:rsidR="00462E3E" w:rsidRPr="00060CC7"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6:</w:t>
      </w:r>
      <w:r>
        <w:rPr>
          <w:rFonts w:eastAsia="Times New Roman" w:cstheme="minorHAnsi"/>
          <w:bCs/>
          <w:sz w:val="24"/>
          <w:szCs w:val="24"/>
        </w:rPr>
        <w:tab/>
      </w:r>
      <w:r w:rsidRPr="00060CC7">
        <w:rPr>
          <w:rFonts w:eastAsia="Times New Roman" w:cstheme="minorHAnsi"/>
          <w:bCs/>
          <w:sz w:val="24"/>
          <w:szCs w:val="24"/>
        </w:rPr>
        <w:t xml:space="preserve">Institute of Cancer Research, London, UK. </w:t>
      </w:r>
    </w:p>
    <w:p w14:paraId="65A245F3"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 xml:space="preserve">7: </w:t>
      </w:r>
      <w:r>
        <w:rPr>
          <w:rFonts w:eastAsia="Times New Roman" w:cstheme="minorHAnsi"/>
          <w:bCs/>
          <w:sz w:val="24"/>
          <w:szCs w:val="24"/>
        </w:rPr>
        <w:tab/>
      </w:r>
      <w:r w:rsidRPr="00060CC7">
        <w:rPr>
          <w:rFonts w:eastAsia="Times New Roman" w:cstheme="minorHAnsi"/>
          <w:bCs/>
          <w:sz w:val="24"/>
          <w:szCs w:val="24"/>
        </w:rPr>
        <w:t>The Royal Marsden NHS Foundation Trust, London, UK.</w:t>
      </w:r>
    </w:p>
    <w:p w14:paraId="1D627A6F"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8:</w:t>
      </w:r>
      <w:r>
        <w:rPr>
          <w:rFonts w:eastAsia="Times New Roman" w:cstheme="minorHAnsi"/>
          <w:bCs/>
          <w:sz w:val="24"/>
          <w:szCs w:val="24"/>
        </w:rPr>
        <w:tab/>
      </w:r>
      <w:r w:rsidRPr="00060CC7">
        <w:rPr>
          <w:rFonts w:eastAsia="Times New Roman" w:cstheme="minorHAnsi"/>
          <w:bCs/>
          <w:sz w:val="24"/>
          <w:szCs w:val="24"/>
        </w:rPr>
        <w:t xml:space="preserve">Department of Complex Genetics and Epidemiology, School of Nutrition and </w:t>
      </w:r>
      <w:r>
        <w:rPr>
          <w:rFonts w:eastAsia="Times New Roman" w:cstheme="minorHAnsi"/>
          <w:bCs/>
          <w:sz w:val="24"/>
          <w:szCs w:val="24"/>
        </w:rPr>
        <w:tab/>
      </w:r>
      <w:r w:rsidRPr="00060CC7">
        <w:rPr>
          <w:rFonts w:eastAsia="Times New Roman" w:cstheme="minorHAnsi"/>
          <w:bCs/>
          <w:sz w:val="24"/>
          <w:szCs w:val="24"/>
        </w:rPr>
        <w:t>Translational Research in</w:t>
      </w:r>
      <w:r>
        <w:rPr>
          <w:rFonts w:eastAsia="Times New Roman" w:cstheme="minorHAnsi"/>
          <w:bCs/>
          <w:sz w:val="24"/>
          <w:szCs w:val="24"/>
        </w:rPr>
        <w:t xml:space="preserve"> </w:t>
      </w:r>
      <w:r w:rsidRPr="00060CC7">
        <w:rPr>
          <w:rFonts w:eastAsia="Times New Roman" w:cstheme="minorHAnsi"/>
          <w:bCs/>
          <w:sz w:val="24"/>
          <w:szCs w:val="24"/>
        </w:rPr>
        <w:t xml:space="preserve">Metabolism, Maastricht University, Maastricht, The </w:t>
      </w:r>
      <w:r>
        <w:rPr>
          <w:rFonts w:eastAsia="Times New Roman" w:cstheme="minorHAnsi"/>
          <w:bCs/>
          <w:sz w:val="24"/>
          <w:szCs w:val="24"/>
        </w:rPr>
        <w:tab/>
      </w:r>
      <w:r w:rsidRPr="00060CC7">
        <w:rPr>
          <w:rFonts w:eastAsia="Times New Roman" w:cstheme="minorHAnsi"/>
          <w:bCs/>
          <w:sz w:val="24"/>
          <w:szCs w:val="24"/>
        </w:rPr>
        <w:t>Netherlands</w:t>
      </w:r>
      <w:r>
        <w:rPr>
          <w:rFonts w:eastAsia="Times New Roman" w:cstheme="minorHAnsi"/>
          <w:bCs/>
          <w:sz w:val="24"/>
          <w:szCs w:val="24"/>
        </w:rPr>
        <w:t>.</w:t>
      </w:r>
    </w:p>
    <w:p w14:paraId="65FFB12A"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9:</w:t>
      </w:r>
      <w:r>
        <w:rPr>
          <w:rFonts w:eastAsia="Times New Roman" w:cstheme="minorHAnsi"/>
          <w:bCs/>
          <w:sz w:val="24"/>
          <w:szCs w:val="24"/>
        </w:rPr>
        <w:tab/>
      </w:r>
      <w:r w:rsidRPr="001B08C5">
        <w:rPr>
          <w:rFonts w:eastAsia="Times New Roman" w:cstheme="minorHAnsi"/>
          <w:bCs/>
          <w:sz w:val="24"/>
          <w:szCs w:val="24"/>
        </w:rPr>
        <w:t xml:space="preserve">CAPHRI School for Public Health and Primary Care, University of Maastricht, </w:t>
      </w:r>
      <w:r>
        <w:rPr>
          <w:rFonts w:eastAsia="Times New Roman" w:cstheme="minorHAnsi"/>
          <w:bCs/>
          <w:sz w:val="24"/>
          <w:szCs w:val="24"/>
        </w:rPr>
        <w:tab/>
      </w:r>
      <w:r w:rsidRPr="001B08C5">
        <w:rPr>
          <w:rFonts w:eastAsia="Times New Roman" w:cstheme="minorHAnsi"/>
          <w:bCs/>
          <w:sz w:val="24"/>
          <w:szCs w:val="24"/>
        </w:rPr>
        <w:t>Maastricht, The Netherlands</w:t>
      </w:r>
      <w:r>
        <w:rPr>
          <w:rFonts w:eastAsia="Times New Roman" w:cstheme="minorHAnsi"/>
          <w:bCs/>
          <w:sz w:val="24"/>
          <w:szCs w:val="24"/>
        </w:rPr>
        <w:t>.</w:t>
      </w:r>
    </w:p>
    <w:p w14:paraId="1D3C84FB" w14:textId="77777777" w:rsidR="00462E3E" w:rsidRDefault="00462E3E" w:rsidP="00462E3E">
      <w:pPr>
        <w:spacing w:after="0" w:line="240" w:lineRule="auto"/>
        <w:jc w:val="both"/>
        <w:rPr>
          <w:rFonts w:eastAsia="Times New Roman" w:cstheme="minorHAnsi"/>
          <w:bCs/>
          <w:sz w:val="24"/>
          <w:szCs w:val="24"/>
        </w:rPr>
      </w:pPr>
      <w:r>
        <w:rPr>
          <w:rFonts w:eastAsia="Times New Roman" w:cstheme="minorHAnsi"/>
          <w:bCs/>
          <w:sz w:val="24"/>
          <w:szCs w:val="24"/>
        </w:rPr>
        <w:t>10:</w:t>
      </w:r>
      <w:r>
        <w:rPr>
          <w:rFonts w:eastAsia="Times New Roman" w:cstheme="minorHAnsi"/>
          <w:bCs/>
          <w:sz w:val="24"/>
          <w:szCs w:val="24"/>
        </w:rPr>
        <w:tab/>
      </w:r>
      <w:r w:rsidRPr="001B08C5">
        <w:rPr>
          <w:rFonts w:eastAsia="Times New Roman" w:cstheme="minorHAnsi"/>
          <w:bCs/>
          <w:sz w:val="24"/>
          <w:szCs w:val="24"/>
        </w:rPr>
        <w:t>Institute of Applied Health Research</w:t>
      </w:r>
      <w:r>
        <w:rPr>
          <w:rFonts w:eastAsia="Times New Roman" w:cstheme="minorHAnsi"/>
          <w:bCs/>
          <w:sz w:val="24"/>
          <w:szCs w:val="24"/>
        </w:rPr>
        <w:t xml:space="preserve">, </w:t>
      </w:r>
      <w:r w:rsidRPr="001B08C5">
        <w:rPr>
          <w:rFonts w:eastAsia="Times New Roman" w:cstheme="minorHAnsi"/>
          <w:bCs/>
          <w:sz w:val="24"/>
          <w:szCs w:val="24"/>
        </w:rPr>
        <w:t>University of Birmingham, Birmingham, UK.</w:t>
      </w:r>
    </w:p>
    <w:p w14:paraId="35C65A2A" w14:textId="77777777" w:rsidR="00462E3E" w:rsidRDefault="00462E3E" w:rsidP="00462E3E">
      <w:pPr>
        <w:spacing w:line="240" w:lineRule="auto"/>
        <w:jc w:val="both"/>
        <w:rPr>
          <w:rFonts w:eastAsia="Times New Roman" w:cstheme="minorHAnsi"/>
          <w:bCs/>
          <w:sz w:val="24"/>
          <w:szCs w:val="24"/>
        </w:rPr>
      </w:pPr>
      <w:r>
        <w:rPr>
          <w:rFonts w:eastAsia="Times New Roman" w:cstheme="minorHAnsi"/>
          <w:bCs/>
          <w:sz w:val="24"/>
          <w:szCs w:val="24"/>
        </w:rPr>
        <w:t>11:</w:t>
      </w:r>
      <w:r>
        <w:rPr>
          <w:rFonts w:eastAsia="Times New Roman" w:cstheme="minorHAnsi"/>
          <w:bCs/>
          <w:sz w:val="24"/>
          <w:szCs w:val="24"/>
        </w:rPr>
        <w:tab/>
        <w:t xml:space="preserve">Genomics Birmingham, </w:t>
      </w:r>
      <w:r w:rsidRPr="001B08C5">
        <w:rPr>
          <w:rFonts w:eastAsia="Times New Roman" w:cstheme="minorHAnsi"/>
          <w:bCs/>
          <w:sz w:val="24"/>
          <w:szCs w:val="24"/>
        </w:rPr>
        <w:t>University of Birmingham, Birmingham, UK.</w:t>
      </w:r>
    </w:p>
    <w:p w14:paraId="157DD3F4" w14:textId="77777777" w:rsidR="00462E3E" w:rsidRDefault="00462E3E" w:rsidP="00462E3E">
      <w:pPr>
        <w:spacing w:line="240" w:lineRule="auto"/>
        <w:jc w:val="both"/>
        <w:rPr>
          <w:rFonts w:eastAsia="Times New Roman" w:cstheme="minorHAnsi"/>
          <w:b/>
          <w:sz w:val="24"/>
          <w:szCs w:val="24"/>
        </w:rPr>
      </w:pPr>
    </w:p>
    <w:p w14:paraId="1738F130" w14:textId="77777777" w:rsidR="00462E3E" w:rsidRDefault="00462E3E" w:rsidP="00462E3E">
      <w:pPr>
        <w:spacing w:line="240" w:lineRule="auto"/>
        <w:jc w:val="both"/>
        <w:rPr>
          <w:rFonts w:eastAsia="Times New Roman" w:cstheme="minorHAnsi"/>
          <w:bCs/>
          <w:sz w:val="24"/>
          <w:szCs w:val="24"/>
          <w:u w:val="single"/>
        </w:rPr>
      </w:pPr>
    </w:p>
    <w:p w14:paraId="7E898517" w14:textId="43375526" w:rsidR="00462E3E" w:rsidRPr="00BF6F95" w:rsidRDefault="00462E3E" w:rsidP="00462E3E">
      <w:pPr>
        <w:spacing w:after="0" w:line="240" w:lineRule="auto"/>
        <w:jc w:val="both"/>
        <w:rPr>
          <w:rFonts w:eastAsia="Times New Roman" w:cstheme="minorHAnsi"/>
          <w:b/>
          <w:sz w:val="24"/>
          <w:szCs w:val="24"/>
        </w:rPr>
      </w:pPr>
      <w:r w:rsidRPr="00BF6F95">
        <w:rPr>
          <w:rFonts w:eastAsia="Times New Roman" w:cstheme="minorHAnsi"/>
          <w:b/>
          <w:sz w:val="24"/>
          <w:szCs w:val="24"/>
        </w:rPr>
        <w:t>Corresponding author</w:t>
      </w:r>
      <w:r w:rsidR="005B57A6">
        <w:rPr>
          <w:rFonts w:eastAsia="Times New Roman" w:cstheme="minorHAnsi"/>
          <w:b/>
          <w:sz w:val="24"/>
          <w:szCs w:val="24"/>
        </w:rPr>
        <w:t>s</w:t>
      </w:r>
    </w:p>
    <w:p w14:paraId="7CC3CE92" w14:textId="77777777" w:rsidR="00462E3E" w:rsidRPr="00C7269E" w:rsidRDefault="00462E3E" w:rsidP="00462E3E">
      <w:pPr>
        <w:spacing w:line="240" w:lineRule="auto"/>
        <w:jc w:val="both"/>
        <w:rPr>
          <w:rFonts w:eastAsia="Times New Roman" w:cstheme="minorHAnsi"/>
          <w:bCs/>
          <w:color w:val="000000" w:themeColor="text1"/>
          <w:sz w:val="24"/>
          <w:szCs w:val="24"/>
        </w:rPr>
      </w:pPr>
      <w:r>
        <w:rPr>
          <w:rFonts w:eastAsia="Times New Roman" w:cstheme="minorHAnsi"/>
          <w:bCs/>
          <w:sz w:val="24"/>
          <w:szCs w:val="24"/>
        </w:rPr>
        <w:t xml:space="preserve">Richard T Bryan, </w:t>
      </w:r>
      <w:r w:rsidRPr="001B08C5">
        <w:rPr>
          <w:rFonts w:eastAsia="Times New Roman" w:cstheme="minorHAnsi"/>
          <w:bCs/>
          <w:sz w:val="24"/>
          <w:szCs w:val="24"/>
        </w:rPr>
        <w:t>Bladder Cancer Research Centre, University of Birmingham, Birmingham, UK.</w:t>
      </w:r>
      <w:r>
        <w:rPr>
          <w:rFonts w:eastAsia="Times New Roman" w:cstheme="minorHAnsi"/>
          <w:bCs/>
          <w:sz w:val="24"/>
          <w:szCs w:val="24"/>
        </w:rPr>
        <w:t xml:space="preserve"> </w:t>
      </w:r>
      <w:hyperlink r:id="rId9" w:history="1">
        <w:r w:rsidRPr="00C7269E">
          <w:rPr>
            <w:rStyle w:val="Hyperlink"/>
            <w:rFonts w:eastAsia="Times New Roman" w:cstheme="minorHAnsi"/>
            <w:bCs/>
            <w:color w:val="000000" w:themeColor="text1"/>
            <w:sz w:val="24"/>
            <w:szCs w:val="24"/>
            <w:u w:val="none"/>
          </w:rPr>
          <w:t>r.t.bryan@bham.ac.uk</w:t>
        </w:r>
      </w:hyperlink>
      <w:r w:rsidRPr="00C7269E">
        <w:rPr>
          <w:rStyle w:val="Hyperlink"/>
          <w:rFonts w:eastAsia="Times New Roman" w:cstheme="minorHAnsi"/>
          <w:bCs/>
          <w:color w:val="000000" w:themeColor="text1"/>
          <w:sz w:val="24"/>
          <w:szCs w:val="24"/>
          <w:u w:val="none"/>
        </w:rPr>
        <w:t>,  +44 121 414 7870.</w:t>
      </w:r>
    </w:p>
    <w:p w14:paraId="7ED8A3C2" w14:textId="77777777" w:rsidR="00462E3E" w:rsidRDefault="00462E3E" w:rsidP="00462E3E">
      <w:pPr>
        <w:spacing w:line="240" w:lineRule="auto"/>
        <w:jc w:val="both"/>
        <w:rPr>
          <w:rFonts w:eastAsia="Times New Roman" w:cstheme="minorHAnsi"/>
          <w:bCs/>
          <w:sz w:val="24"/>
          <w:szCs w:val="24"/>
        </w:rPr>
      </w:pPr>
      <w:r>
        <w:rPr>
          <w:rFonts w:eastAsia="Times New Roman" w:cstheme="minorHAnsi"/>
          <w:bCs/>
          <w:sz w:val="24"/>
          <w:szCs w:val="24"/>
        </w:rPr>
        <w:t xml:space="preserve">Roland Arnold, </w:t>
      </w:r>
      <w:r w:rsidRPr="001B08C5">
        <w:rPr>
          <w:rFonts w:eastAsia="Times New Roman" w:cstheme="minorHAnsi"/>
          <w:bCs/>
          <w:sz w:val="24"/>
          <w:szCs w:val="24"/>
        </w:rPr>
        <w:t>Bladder Cancer Research Centre, University of Birmingham, Birmingham, UK.</w:t>
      </w:r>
      <w:r>
        <w:rPr>
          <w:rFonts w:eastAsia="Times New Roman" w:cstheme="minorHAnsi"/>
          <w:bCs/>
          <w:sz w:val="24"/>
          <w:szCs w:val="24"/>
        </w:rPr>
        <w:t xml:space="preserve"> </w:t>
      </w:r>
    </w:p>
    <w:p w14:paraId="580F38E5" w14:textId="77777777" w:rsidR="00462E3E" w:rsidRPr="00832963" w:rsidRDefault="00462E3E" w:rsidP="00462E3E">
      <w:pPr>
        <w:spacing w:line="240" w:lineRule="auto"/>
        <w:jc w:val="both"/>
        <w:rPr>
          <w:rFonts w:eastAsia="Times New Roman" w:cstheme="minorHAnsi"/>
          <w:bCs/>
          <w:sz w:val="24"/>
          <w:szCs w:val="24"/>
        </w:rPr>
      </w:pPr>
      <w:r w:rsidRPr="00832963">
        <w:rPr>
          <w:sz w:val="24"/>
          <w:szCs w:val="24"/>
        </w:rPr>
        <w:t>r.arnold.2@bham.ac.uk</w:t>
      </w:r>
      <w:r w:rsidRPr="00832963">
        <w:rPr>
          <w:rFonts w:eastAsia="Times New Roman" w:cstheme="minorHAnsi"/>
          <w:bCs/>
          <w:sz w:val="24"/>
          <w:szCs w:val="24"/>
        </w:rPr>
        <w:t xml:space="preserve"> </w:t>
      </w:r>
    </w:p>
    <w:p w14:paraId="5B0686ED" w14:textId="77777777" w:rsidR="00462E3E" w:rsidRDefault="00462E3E" w:rsidP="00462E3E">
      <w:pPr>
        <w:spacing w:line="480" w:lineRule="auto"/>
        <w:jc w:val="both"/>
        <w:rPr>
          <w:rFonts w:eastAsia="Times New Roman" w:cstheme="minorHAnsi"/>
          <w:bCs/>
          <w:sz w:val="24"/>
          <w:szCs w:val="24"/>
          <w:u w:val="single"/>
        </w:rPr>
      </w:pPr>
    </w:p>
    <w:p w14:paraId="24924C10" w14:textId="586D1636" w:rsidR="00EC33B0" w:rsidRPr="00462E3E" w:rsidRDefault="00462E3E" w:rsidP="00462E3E">
      <w:pPr>
        <w:spacing w:line="480" w:lineRule="auto"/>
        <w:jc w:val="both"/>
        <w:rPr>
          <w:b/>
          <w:bCs/>
          <w:sz w:val="28"/>
          <w:szCs w:val="28"/>
        </w:rPr>
      </w:pPr>
      <w:r>
        <w:rPr>
          <w:b/>
          <w:bCs/>
          <w:sz w:val="24"/>
          <w:szCs w:val="24"/>
        </w:rPr>
        <w:br w:type="page"/>
      </w:r>
      <w:r w:rsidR="00D37B38">
        <w:rPr>
          <w:b/>
          <w:bCs/>
          <w:sz w:val="28"/>
          <w:szCs w:val="28"/>
        </w:rPr>
        <w:lastRenderedPageBreak/>
        <w:t>Additional</w:t>
      </w:r>
      <w:r w:rsidRPr="00462E3E">
        <w:rPr>
          <w:b/>
          <w:bCs/>
          <w:sz w:val="28"/>
          <w:szCs w:val="28"/>
        </w:rPr>
        <w:t xml:space="preserve"> </w:t>
      </w:r>
      <w:r w:rsidR="00EC33B0" w:rsidRPr="00462E3E">
        <w:rPr>
          <w:rFonts w:cs="Times New Roman"/>
          <w:b/>
          <w:sz w:val="28"/>
          <w:szCs w:val="28"/>
        </w:rPr>
        <w:t>Methods</w:t>
      </w:r>
    </w:p>
    <w:p w14:paraId="7E8B5F4A" w14:textId="77777777" w:rsidR="00EC33B0" w:rsidRPr="00F438E9" w:rsidRDefault="00EC33B0" w:rsidP="00F438E9">
      <w:pPr>
        <w:spacing w:before="240" w:after="0" w:line="480" w:lineRule="auto"/>
        <w:jc w:val="both"/>
        <w:rPr>
          <w:rFonts w:cs="Times New Roman"/>
          <w:b/>
          <w:color w:val="000000" w:themeColor="text1"/>
          <w:sz w:val="24"/>
          <w:szCs w:val="24"/>
        </w:rPr>
      </w:pPr>
      <w:r w:rsidRPr="00F438E9">
        <w:rPr>
          <w:rFonts w:cs="Times New Roman"/>
          <w:b/>
          <w:color w:val="000000" w:themeColor="text1"/>
          <w:sz w:val="24"/>
          <w:szCs w:val="24"/>
        </w:rPr>
        <w:t>Patient sample collection</w:t>
      </w:r>
    </w:p>
    <w:p w14:paraId="5D3A598C" w14:textId="37B602DB" w:rsidR="00A7372D" w:rsidRPr="00F438E9" w:rsidRDefault="00EC33B0" w:rsidP="00F438E9">
      <w:pPr>
        <w:spacing w:line="480" w:lineRule="auto"/>
        <w:jc w:val="both"/>
        <w:rPr>
          <w:rFonts w:cs="Times New Roman"/>
          <w:color w:val="000000" w:themeColor="text1"/>
          <w:sz w:val="24"/>
          <w:szCs w:val="24"/>
        </w:rPr>
      </w:pPr>
      <w:r w:rsidRPr="00F438E9">
        <w:rPr>
          <w:rFonts w:cs="Times New Roman"/>
          <w:color w:val="000000" w:themeColor="text1"/>
          <w:sz w:val="24"/>
          <w:szCs w:val="24"/>
        </w:rPr>
        <w:t xml:space="preserve">Fresh frozen tumour specimens and paired blood samples were collected as part of the Bladder Cancer Prognosis Programme (BCPP, ethics approval 06/MRE04/65). </w:t>
      </w:r>
      <w:r w:rsidRPr="00F438E9">
        <w:rPr>
          <w:rFonts w:cs="Times New Roman"/>
          <w:color w:val="000000" w:themeColor="text1"/>
          <w:sz w:val="24"/>
          <w:szCs w:val="24"/>
          <w:lang w:val="en-US"/>
        </w:rPr>
        <w:t xml:space="preserve">Patients were recruited consecutively from 2005 to 2010 from ten hospitals in the West Midlands (UK), and gave informed consent for enrolment based upon initial </w:t>
      </w:r>
      <w:proofErr w:type="spellStart"/>
      <w:r w:rsidRPr="00F438E9">
        <w:rPr>
          <w:rFonts w:cs="Times New Roman"/>
          <w:color w:val="000000" w:themeColor="text1"/>
          <w:sz w:val="24"/>
          <w:szCs w:val="24"/>
          <w:lang w:val="en-US"/>
        </w:rPr>
        <w:t>cystoscopic</w:t>
      </w:r>
      <w:proofErr w:type="spellEnd"/>
      <w:r w:rsidRPr="00F438E9">
        <w:rPr>
          <w:rFonts w:cs="Times New Roman"/>
          <w:color w:val="000000" w:themeColor="text1"/>
          <w:sz w:val="24"/>
          <w:szCs w:val="24"/>
          <w:lang w:val="en-US"/>
        </w:rPr>
        <w:t xml:space="preserve"> findings suggestive of primary UBC (Urothelial Bladder cancer). All patients were newly diagnosed and treatment-naïve at biospecimen collection and were subsequently treated and monitored according to contemporary European Association of Urology (EAU) guidelines (including re-resection where indicated) and EAU risk groups (for NMIBC). Inclusion and exclusion criteria are detailed elsewhere.</w:t>
      </w:r>
      <w:r w:rsidRPr="00F438E9">
        <w:rPr>
          <w:rFonts w:cs="Times New Roman"/>
          <w:color w:val="000000" w:themeColor="text1"/>
          <w:sz w:val="24"/>
          <w:szCs w:val="24"/>
        </w:rPr>
        <w:t xml:space="preserve"> Where necessary, tumour grade and stage records were amended according to results of early re-resection or cystectomy. We used the 1973 grade classification as it was in universal use in the UK at the time of patient recruitment, is the basis for the EORTC and EAU NMIBC risk tables</w:t>
      </w:r>
      <w:r w:rsidR="00F41BDF" w:rsidRPr="00F438E9">
        <w:rPr>
          <w:rFonts w:cs="Times New Roman"/>
          <w:color w:val="000000" w:themeColor="text1"/>
          <w:sz w:val="24"/>
          <w:szCs w:val="24"/>
        </w:rPr>
        <w:t xml:space="preserve"> </w:t>
      </w:r>
      <w:r w:rsidRPr="00F438E9">
        <w:rPr>
          <w:rFonts w:cs="Times New Roman"/>
          <w:color w:val="000000" w:themeColor="text1"/>
          <w:sz w:val="24"/>
          <w:szCs w:val="24"/>
        </w:rPr>
        <w:t xml:space="preserve">and has comparable utility to the 2004/2016 classification. All included tumours were purely or predominantly transitional cell carcinomas. Patient demographics are shown in </w:t>
      </w:r>
      <w:r w:rsidR="00EC78A6" w:rsidRPr="00EC78A6">
        <w:rPr>
          <w:rFonts w:cs="Times New Roman"/>
          <w:b/>
          <w:color w:val="000000" w:themeColor="text1"/>
          <w:sz w:val="24"/>
          <w:szCs w:val="24"/>
        </w:rPr>
        <w:t>Additional file 1:</w:t>
      </w:r>
      <w:r w:rsidR="00EC78A6">
        <w:rPr>
          <w:rFonts w:cs="Times New Roman"/>
          <w:color w:val="000000" w:themeColor="text1"/>
          <w:sz w:val="24"/>
          <w:szCs w:val="24"/>
        </w:rPr>
        <w:t xml:space="preserve"> </w:t>
      </w:r>
      <w:r w:rsidRPr="00F438E9">
        <w:rPr>
          <w:rFonts w:cs="Times New Roman"/>
          <w:b/>
          <w:color w:val="000000" w:themeColor="text1"/>
          <w:sz w:val="24"/>
          <w:szCs w:val="24"/>
        </w:rPr>
        <w:t>Table S1</w:t>
      </w:r>
      <w:r w:rsidRPr="00F438E9">
        <w:rPr>
          <w:rFonts w:cs="Times New Roman"/>
          <w:color w:val="000000" w:themeColor="text1"/>
          <w:sz w:val="24"/>
          <w:szCs w:val="24"/>
        </w:rPr>
        <w:t xml:space="preserve">. </w:t>
      </w:r>
      <w:r w:rsidRPr="00F438E9">
        <w:rPr>
          <w:rFonts w:cs="Times New Roman"/>
          <w:color w:val="000000" w:themeColor="text1"/>
          <w:sz w:val="24"/>
          <w:szCs w:val="24"/>
          <w:lang w:val="en-US"/>
        </w:rPr>
        <w:t>Tissues were collected at transurethral resection (TURBT), snap-frozen, and</w:t>
      </w:r>
      <w:r w:rsidRPr="00F438E9">
        <w:rPr>
          <w:rFonts w:cs="Times New Roman"/>
          <w:color w:val="000000" w:themeColor="text1"/>
          <w:sz w:val="24"/>
          <w:szCs w:val="24"/>
        </w:rPr>
        <w:t xml:space="preserve"> stored at -80°C. </w:t>
      </w:r>
      <w:r w:rsidR="00A7372D" w:rsidRPr="00F438E9">
        <w:rPr>
          <w:rFonts w:cs="Times New Roman"/>
          <w:color w:val="000000" w:themeColor="text1"/>
          <w:sz w:val="24"/>
          <w:szCs w:val="24"/>
        </w:rPr>
        <w:t>During follow-up 3</w:t>
      </w:r>
      <w:r w:rsidR="007157ED" w:rsidRPr="00F438E9">
        <w:rPr>
          <w:rFonts w:cs="Times New Roman"/>
          <w:color w:val="000000" w:themeColor="text1"/>
          <w:sz w:val="24"/>
          <w:szCs w:val="24"/>
        </w:rPr>
        <w:t>2</w:t>
      </w:r>
      <w:r w:rsidR="00A7372D" w:rsidRPr="00F438E9">
        <w:rPr>
          <w:rFonts w:cs="Times New Roman"/>
          <w:color w:val="000000" w:themeColor="text1"/>
          <w:sz w:val="24"/>
          <w:szCs w:val="24"/>
        </w:rPr>
        <w:t xml:space="preserve"> of the </w:t>
      </w:r>
      <w:r w:rsidR="007157ED" w:rsidRPr="00F438E9">
        <w:rPr>
          <w:rFonts w:cs="Times New Roman"/>
          <w:color w:val="000000" w:themeColor="text1"/>
          <w:sz w:val="24"/>
          <w:szCs w:val="24"/>
        </w:rPr>
        <w:t>96</w:t>
      </w:r>
      <w:r w:rsidR="00A7372D" w:rsidRPr="00F438E9">
        <w:rPr>
          <w:rFonts w:cs="Times New Roman"/>
          <w:color w:val="000000" w:themeColor="text1"/>
          <w:sz w:val="24"/>
          <w:szCs w:val="24"/>
        </w:rPr>
        <w:t xml:space="preserve"> patients died.  In NMIBC patients, recurrence occurred in 50 cases, progression to MIBC in 26 cases, and UBC was recorded as the cause of death in 17 cases. Tissues and blood were stored at -80°C; DNA was extracted from 25mg tissue and 100μl paired blood using </w:t>
      </w:r>
      <w:proofErr w:type="spellStart"/>
      <w:r w:rsidR="00A7372D" w:rsidRPr="00F438E9">
        <w:rPr>
          <w:rFonts w:cs="Times New Roman"/>
          <w:color w:val="000000" w:themeColor="text1"/>
          <w:sz w:val="24"/>
          <w:szCs w:val="24"/>
        </w:rPr>
        <w:t>DNeasy</w:t>
      </w:r>
      <w:proofErr w:type="spellEnd"/>
      <w:r w:rsidR="00A7372D" w:rsidRPr="00F438E9">
        <w:rPr>
          <w:rFonts w:cs="Times New Roman"/>
          <w:color w:val="000000" w:themeColor="text1"/>
          <w:sz w:val="24"/>
          <w:szCs w:val="24"/>
        </w:rPr>
        <w:t xml:space="preserve"> Blood and Tissue kits, and RNA from 25 mg frozen tissue using RNeasy kits (Qiagen, Hilden, Germany). </w:t>
      </w:r>
    </w:p>
    <w:p w14:paraId="29630A38" w14:textId="1A44F625" w:rsidR="00A7372D" w:rsidRPr="00F438E9" w:rsidRDefault="00A7372D" w:rsidP="00F438E9">
      <w:pPr>
        <w:spacing w:line="480" w:lineRule="auto"/>
        <w:jc w:val="both"/>
        <w:rPr>
          <w:rFonts w:cs="Times New Roman"/>
          <w:b/>
          <w:sz w:val="24"/>
          <w:szCs w:val="24"/>
        </w:rPr>
      </w:pPr>
      <w:r w:rsidRPr="00F438E9">
        <w:rPr>
          <w:rFonts w:cs="Times New Roman"/>
          <w:b/>
          <w:sz w:val="24"/>
          <w:szCs w:val="24"/>
        </w:rPr>
        <w:t>Library preparation and sequencing</w:t>
      </w:r>
    </w:p>
    <w:p w14:paraId="62A3A276" w14:textId="46136841" w:rsidR="00A7372D" w:rsidRPr="00F438E9" w:rsidRDefault="00A7372D" w:rsidP="00F438E9">
      <w:pPr>
        <w:spacing w:line="480" w:lineRule="auto"/>
        <w:jc w:val="both"/>
        <w:rPr>
          <w:rFonts w:cs="Times New Roman"/>
          <w:sz w:val="24"/>
          <w:szCs w:val="24"/>
        </w:rPr>
      </w:pPr>
      <w:r w:rsidRPr="00F438E9">
        <w:rPr>
          <w:rFonts w:cs="Times New Roman"/>
          <w:sz w:val="24"/>
          <w:szCs w:val="24"/>
        </w:rPr>
        <w:lastRenderedPageBreak/>
        <w:t xml:space="preserve">Of </w:t>
      </w:r>
      <w:r w:rsidR="007157ED" w:rsidRPr="00F438E9">
        <w:rPr>
          <w:rFonts w:cs="Times New Roman"/>
          <w:sz w:val="24"/>
          <w:szCs w:val="24"/>
        </w:rPr>
        <w:t>96</w:t>
      </w:r>
      <w:r w:rsidRPr="00F438E9">
        <w:rPr>
          <w:rFonts w:cs="Times New Roman"/>
          <w:sz w:val="24"/>
          <w:szCs w:val="24"/>
        </w:rPr>
        <w:t xml:space="preserve"> tumours, </w:t>
      </w:r>
      <w:r w:rsidR="007157ED" w:rsidRPr="00F438E9">
        <w:rPr>
          <w:rFonts w:cs="Times New Roman"/>
          <w:sz w:val="24"/>
          <w:szCs w:val="24"/>
        </w:rPr>
        <w:t>93</w:t>
      </w:r>
      <w:r w:rsidRPr="00F438E9">
        <w:rPr>
          <w:rFonts w:cs="Times New Roman"/>
          <w:sz w:val="24"/>
          <w:szCs w:val="24"/>
        </w:rPr>
        <w:t xml:space="preserve"> underwent exome sequencing (with paired germline DNA) and </w:t>
      </w:r>
      <w:r w:rsidR="007157ED" w:rsidRPr="00F438E9">
        <w:rPr>
          <w:rFonts w:cs="Times New Roman"/>
          <w:sz w:val="24"/>
          <w:szCs w:val="24"/>
        </w:rPr>
        <w:t>78</w:t>
      </w:r>
      <w:r w:rsidRPr="00F438E9">
        <w:rPr>
          <w:rFonts w:cs="Times New Roman"/>
          <w:sz w:val="24"/>
          <w:szCs w:val="24"/>
        </w:rPr>
        <w:t xml:space="preserve"> underwent RNA sequencing, with a total of </w:t>
      </w:r>
      <w:r w:rsidR="007157ED" w:rsidRPr="00F438E9">
        <w:rPr>
          <w:rFonts w:cs="Times New Roman"/>
          <w:sz w:val="24"/>
          <w:szCs w:val="24"/>
        </w:rPr>
        <w:t>75</w:t>
      </w:r>
      <w:r w:rsidRPr="00F438E9">
        <w:rPr>
          <w:rFonts w:cs="Times New Roman"/>
          <w:sz w:val="24"/>
          <w:szCs w:val="24"/>
        </w:rPr>
        <w:t xml:space="preserve"> overlapping sequencing datasets.  Sequencing libraries were prepared using </w:t>
      </w:r>
      <w:proofErr w:type="spellStart"/>
      <w:r w:rsidRPr="00F438E9">
        <w:rPr>
          <w:rFonts w:cs="Times New Roman"/>
          <w:sz w:val="24"/>
          <w:szCs w:val="24"/>
        </w:rPr>
        <w:t>Nextera</w:t>
      </w:r>
      <w:proofErr w:type="spellEnd"/>
      <w:r w:rsidRPr="00F438E9">
        <w:rPr>
          <w:rFonts w:cs="Times New Roman"/>
          <w:sz w:val="24"/>
          <w:szCs w:val="24"/>
        </w:rPr>
        <w:t xml:space="preserve">® Rapid Capture </w:t>
      </w:r>
      <w:proofErr w:type="spellStart"/>
      <w:r w:rsidRPr="00F438E9">
        <w:rPr>
          <w:rFonts w:cs="Times New Roman"/>
          <w:sz w:val="24"/>
          <w:szCs w:val="24"/>
        </w:rPr>
        <w:t>Exome</w:t>
      </w:r>
      <w:proofErr w:type="spellEnd"/>
      <w:r w:rsidRPr="00F438E9">
        <w:rPr>
          <w:rFonts w:cs="Times New Roman"/>
          <w:sz w:val="24"/>
          <w:szCs w:val="24"/>
        </w:rPr>
        <w:t xml:space="preserve"> and </w:t>
      </w:r>
      <w:proofErr w:type="spellStart"/>
      <w:r w:rsidRPr="00F438E9">
        <w:rPr>
          <w:rFonts w:cs="Times New Roman"/>
          <w:sz w:val="24"/>
          <w:szCs w:val="24"/>
        </w:rPr>
        <w:t>TruSeq</w:t>
      </w:r>
      <w:proofErr w:type="spellEnd"/>
      <w:r w:rsidRPr="00F438E9">
        <w:rPr>
          <w:rFonts w:cs="Times New Roman"/>
          <w:sz w:val="24"/>
          <w:szCs w:val="24"/>
        </w:rPr>
        <w:t xml:space="preserve">® Stranded RNA LT kits (Illumina, San Diego, USA) and </w:t>
      </w:r>
      <w:proofErr w:type="spellStart"/>
      <w:r w:rsidRPr="00F438E9">
        <w:rPr>
          <w:rFonts w:cs="Times New Roman"/>
          <w:sz w:val="24"/>
          <w:szCs w:val="24"/>
        </w:rPr>
        <w:t>HiSeq</w:t>
      </w:r>
      <w:proofErr w:type="spellEnd"/>
      <w:r w:rsidRPr="00F438E9">
        <w:rPr>
          <w:rFonts w:cs="Times New Roman"/>
          <w:sz w:val="24"/>
          <w:szCs w:val="24"/>
        </w:rPr>
        <w:t>/</w:t>
      </w:r>
      <w:proofErr w:type="spellStart"/>
      <w:r w:rsidRPr="00F438E9">
        <w:rPr>
          <w:rFonts w:cs="Times New Roman"/>
          <w:sz w:val="24"/>
          <w:szCs w:val="24"/>
        </w:rPr>
        <w:t>NextSeq</w:t>
      </w:r>
      <w:proofErr w:type="spellEnd"/>
      <w:r w:rsidRPr="00F438E9">
        <w:rPr>
          <w:rFonts w:cs="Times New Roman"/>
          <w:sz w:val="24"/>
          <w:szCs w:val="24"/>
        </w:rPr>
        <w:t xml:space="preserve"> sequenced. The TERT promoter and the 5’ end of exon 7 of FGFR3 were sequenced separately using amplicon-based library preparation as they were not targeted/not captured well during exome library preparation.</w:t>
      </w:r>
    </w:p>
    <w:p w14:paraId="6A71BF8B" w14:textId="77777777" w:rsidR="00EC33B0" w:rsidRPr="00F438E9" w:rsidRDefault="00EC33B0" w:rsidP="00F438E9">
      <w:pPr>
        <w:spacing w:line="480" w:lineRule="auto"/>
        <w:outlineLvl w:val="0"/>
        <w:rPr>
          <w:rFonts w:cs="Times New Roman"/>
          <w:b/>
          <w:color w:val="000000" w:themeColor="text1"/>
          <w:sz w:val="24"/>
          <w:szCs w:val="24"/>
        </w:rPr>
      </w:pPr>
      <w:r w:rsidRPr="00F438E9">
        <w:rPr>
          <w:rFonts w:cs="Times New Roman"/>
          <w:b/>
          <w:sz w:val="24"/>
          <w:szCs w:val="24"/>
        </w:rPr>
        <w:t>Sample pair identity</w:t>
      </w:r>
    </w:p>
    <w:p w14:paraId="187CEABB" w14:textId="7C3E6C32" w:rsidR="00EC33B0" w:rsidRPr="00F438E9" w:rsidRDefault="00EC33B0" w:rsidP="00F438E9">
      <w:pPr>
        <w:spacing w:line="480" w:lineRule="auto"/>
        <w:jc w:val="both"/>
        <w:outlineLvl w:val="0"/>
        <w:rPr>
          <w:rFonts w:cs="Times New Roman"/>
          <w:sz w:val="24"/>
          <w:szCs w:val="24"/>
        </w:rPr>
      </w:pPr>
      <w:r w:rsidRPr="00F438E9">
        <w:rPr>
          <w:rFonts w:cs="Times New Roman"/>
          <w:sz w:val="24"/>
          <w:szCs w:val="24"/>
        </w:rPr>
        <w:t xml:space="preserve">To </w:t>
      </w:r>
      <w:r w:rsidR="00A52B46" w:rsidRPr="00F438E9">
        <w:rPr>
          <w:rFonts w:cs="Times New Roman"/>
          <w:sz w:val="24"/>
          <w:szCs w:val="24"/>
        </w:rPr>
        <w:t>confirm that</w:t>
      </w:r>
      <w:r w:rsidR="00C3418D" w:rsidRPr="00F438E9">
        <w:rPr>
          <w:rFonts w:cs="Times New Roman"/>
          <w:sz w:val="24"/>
          <w:szCs w:val="24"/>
        </w:rPr>
        <w:t xml:space="preserve"> </w:t>
      </w:r>
      <w:r w:rsidRPr="00F438E9">
        <w:rPr>
          <w:rFonts w:cs="Times New Roman"/>
          <w:sz w:val="24"/>
          <w:szCs w:val="24"/>
        </w:rPr>
        <w:t>the tumour</w:t>
      </w:r>
      <w:r w:rsidR="00A52B46" w:rsidRPr="00F438E9">
        <w:rPr>
          <w:rFonts w:cs="Times New Roman"/>
          <w:sz w:val="24"/>
          <w:szCs w:val="24"/>
        </w:rPr>
        <w:t xml:space="preserve"> and</w:t>
      </w:r>
      <w:r w:rsidRPr="00F438E9">
        <w:rPr>
          <w:rFonts w:cs="Times New Roman"/>
          <w:sz w:val="24"/>
          <w:szCs w:val="24"/>
        </w:rPr>
        <w:t xml:space="preserve"> paired germline</w:t>
      </w:r>
      <w:r w:rsidR="00A52B46" w:rsidRPr="00F438E9">
        <w:rPr>
          <w:rFonts w:cs="Times New Roman"/>
          <w:sz w:val="24"/>
          <w:szCs w:val="24"/>
        </w:rPr>
        <w:t xml:space="preserve"> exome sequencing</w:t>
      </w:r>
      <w:r w:rsidRPr="00F438E9">
        <w:rPr>
          <w:rFonts w:cs="Times New Roman"/>
          <w:sz w:val="24"/>
          <w:szCs w:val="24"/>
        </w:rPr>
        <w:t xml:space="preserve"> and the corresponding RNA-sequencing sample belong</w:t>
      </w:r>
      <w:r w:rsidR="00A52B46" w:rsidRPr="00F438E9">
        <w:rPr>
          <w:rFonts w:cs="Times New Roman"/>
          <w:sz w:val="24"/>
          <w:szCs w:val="24"/>
        </w:rPr>
        <w:t>ed</w:t>
      </w:r>
      <w:r w:rsidRPr="00F438E9">
        <w:rPr>
          <w:rFonts w:cs="Times New Roman"/>
          <w:sz w:val="24"/>
          <w:szCs w:val="24"/>
        </w:rPr>
        <w:t xml:space="preserve"> to the same individual, we compared variant allele read frequencies (proportion of reads carrying the non-reference allele) at hundreds of common SNPs (population-level minor allele frequency greater than 0.2) across the genome that had good coverage in all the samples. We used mean difference in variant read frequencies between 2 samples as a distance measure. </w:t>
      </w:r>
    </w:p>
    <w:p w14:paraId="672A6659" w14:textId="77777777" w:rsidR="00EC33B0" w:rsidRPr="00F438E9" w:rsidRDefault="00EC33B0" w:rsidP="00F438E9">
      <w:pPr>
        <w:spacing w:line="480" w:lineRule="auto"/>
        <w:jc w:val="both"/>
        <w:outlineLvl w:val="0"/>
        <w:rPr>
          <w:rFonts w:cs="Times New Roman"/>
          <w:sz w:val="24"/>
          <w:szCs w:val="24"/>
        </w:rPr>
      </w:pPr>
    </w:p>
    <w:p w14:paraId="0A2E9D87" w14:textId="77777777" w:rsidR="00EC33B0" w:rsidRPr="00F438E9" w:rsidRDefault="00EC33B0" w:rsidP="00F438E9">
      <w:pPr>
        <w:spacing w:line="480" w:lineRule="auto"/>
        <w:outlineLvl w:val="0"/>
        <w:rPr>
          <w:rFonts w:cs="Times New Roman"/>
          <w:b/>
          <w:sz w:val="24"/>
          <w:szCs w:val="24"/>
        </w:rPr>
      </w:pPr>
      <w:r w:rsidRPr="00F438E9">
        <w:rPr>
          <w:rFonts w:cs="Times New Roman"/>
          <w:b/>
          <w:sz w:val="24"/>
          <w:szCs w:val="24"/>
        </w:rPr>
        <w:t>Sequence data processing</w:t>
      </w:r>
    </w:p>
    <w:p w14:paraId="4B6CF431" w14:textId="77777777" w:rsidR="00EC33B0" w:rsidRPr="00F438E9" w:rsidRDefault="00EC33B0" w:rsidP="00F438E9">
      <w:pPr>
        <w:spacing w:line="480" w:lineRule="auto"/>
        <w:outlineLvl w:val="0"/>
        <w:rPr>
          <w:rFonts w:cs="Times New Roman"/>
          <w:b/>
          <w:sz w:val="24"/>
          <w:szCs w:val="24"/>
        </w:rPr>
      </w:pPr>
      <w:r w:rsidRPr="00F438E9">
        <w:rPr>
          <w:rFonts w:cs="Times New Roman"/>
          <w:b/>
          <w:sz w:val="24"/>
          <w:szCs w:val="24"/>
        </w:rPr>
        <w:t>Whole Exome Sequencing (WES)</w:t>
      </w:r>
    </w:p>
    <w:p w14:paraId="2E09A810" w14:textId="77777777" w:rsidR="00EC33B0" w:rsidRPr="00F438E9" w:rsidRDefault="00EC33B0" w:rsidP="00F438E9">
      <w:pPr>
        <w:spacing w:line="480" w:lineRule="auto"/>
        <w:jc w:val="both"/>
        <w:rPr>
          <w:rFonts w:cs="Times New Roman"/>
          <w:sz w:val="24"/>
          <w:szCs w:val="24"/>
        </w:rPr>
      </w:pPr>
      <w:r w:rsidRPr="00F438E9">
        <w:rPr>
          <w:rFonts w:cs="Times New Roman"/>
          <w:b/>
          <w:sz w:val="24"/>
          <w:szCs w:val="24"/>
        </w:rPr>
        <w:t>Quality control (QC)</w:t>
      </w:r>
    </w:p>
    <w:p w14:paraId="17066930" w14:textId="49F75A88" w:rsidR="00EC33B0" w:rsidRPr="00F438E9" w:rsidRDefault="00EC33B0" w:rsidP="00F438E9">
      <w:pPr>
        <w:spacing w:line="480" w:lineRule="auto"/>
        <w:jc w:val="both"/>
        <w:rPr>
          <w:rFonts w:cs="Times New Roman"/>
          <w:sz w:val="24"/>
          <w:szCs w:val="24"/>
        </w:rPr>
      </w:pPr>
      <w:r w:rsidRPr="00F438E9">
        <w:rPr>
          <w:rFonts w:cs="Times New Roman"/>
          <w:sz w:val="24"/>
          <w:szCs w:val="24"/>
        </w:rPr>
        <w:t xml:space="preserve">Raw </w:t>
      </w:r>
      <w:proofErr w:type="spellStart"/>
      <w:r w:rsidRPr="00F438E9">
        <w:rPr>
          <w:rFonts w:cs="Times New Roman"/>
          <w:sz w:val="24"/>
          <w:szCs w:val="24"/>
        </w:rPr>
        <w:t>fastq</w:t>
      </w:r>
      <w:proofErr w:type="spellEnd"/>
      <w:r w:rsidRPr="00F438E9">
        <w:rPr>
          <w:rFonts w:cs="Times New Roman"/>
          <w:sz w:val="24"/>
          <w:szCs w:val="24"/>
        </w:rPr>
        <w:t xml:space="preserve"> files were checked with </w:t>
      </w:r>
      <w:proofErr w:type="spellStart"/>
      <w:r w:rsidRPr="00F438E9">
        <w:rPr>
          <w:rFonts w:cs="Times New Roman"/>
          <w:sz w:val="24"/>
          <w:szCs w:val="24"/>
        </w:rPr>
        <w:t>FastQC</w:t>
      </w:r>
      <w:proofErr w:type="spellEnd"/>
      <w:r w:rsidRPr="00F438E9">
        <w:rPr>
          <w:rFonts w:cs="Times New Roman"/>
          <w:sz w:val="24"/>
          <w:szCs w:val="24"/>
        </w:rPr>
        <w:t xml:space="preserve"> (version 0.11)</w:t>
      </w:r>
      <w:r w:rsidR="00D20568" w:rsidRPr="00F438E9">
        <w:rPr>
          <w:rFonts w:cs="Times New Roman"/>
          <w:sz w:val="24"/>
          <w:szCs w:val="24"/>
        </w:rPr>
        <w:t xml:space="preserve"> </w:t>
      </w:r>
      <w:r w:rsidRPr="00F438E9">
        <w:rPr>
          <w:rFonts w:cs="Times New Roman"/>
          <w:sz w:val="24"/>
          <w:szCs w:val="24"/>
        </w:rPr>
        <w:t xml:space="preserve">for per base </w:t>
      </w:r>
      <w:proofErr w:type="spellStart"/>
      <w:r w:rsidRPr="00F438E9">
        <w:rPr>
          <w:rFonts w:cs="Times New Roman"/>
          <w:sz w:val="24"/>
          <w:szCs w:val="24"/>
        </w:rPr>
        <w:t>Phred</w:t>
      </w:r>
      <w:proofErr w:type="spellEnd"/>
      <w:r w:rsidRPr="00F438E9">
        <w:rPr>
          <w:rFonts w:cs="Times New Roman"/>
          <w:sz w:val="24"/>
          <w:szCs w:val="24"/>
        </w:rPr>
        <w:t xml:space="preserve"> score quality distribution and presence of adapter sequences. Subsequently, adapter sequences if present, were clipped and low-quality stretches from read ends were trimmed using </w:t>
      </w:r>
      <w:proofErr w:type="spellStart"/>
      <w:r w:rsidRPr="00F438E9">
        <w:rPr>
          <w:rFonts w:cs="Times New Roman"/>
          <w:sz w:val="24"/>
          <w:szCs w:val="24"/>
        </w:rPr>
        <w:lastRenderedPageBreak/>
        <w:t>Cutadapt</w:t>
      </w:r>
      <w:proofErr w:type="spellEnd"/>
      <w:r w:rsidRPr="00F438E9">
        <w:rPr>
          <w:rFonts w:cs="Times New Roman"/>
          <w:sz w:val="24"/>
          <w:szCs w:val="24"/>
        </w:rPr>
        <w:t xml:space="preserve"> (version 1.1) </w:t>
      </w:r>
      <w:r w:rsidR="009569EE" w:rsidRPr="00F438E9">
        <w:rPr>
          <w:rFonts w:cs="Times New Roman"/>
          <w:b/>
          <w:sz w:val="24"/>
          <w:szCs w:val="24"/>
        </w:rPr>
        <w:t>(1)</w:t>
      </w:r>
      <w:r w:rsidR="009569EE" w:rsidRPr="00F438E9">
        <w:rPr>
          <w:rFonts w:cs="Times New Roman"/>
          <w:sz w:val="24"/>
          <w:szCs w:val="24"/>
        </w:rPr>
        <w:t xml:space="preserve"> </w:t>
      </w:r>
      <w:r w:rsidRPr="00F438E9">
        <w:rPr>
          <w:rFonts w:cs="Times New Roman"/>
          <w:sz w:val="24"/>
          <w:szCs w:val="24"/>
        </w:rPr>
        <w:t xml:space="preserve">and </w:t>
      </w:r>
      <w:proofErr w:type="spellStart"/>
      <w:r w:rsidRPr="00F438E9">
        <w:rPr>
          <w:rFonts w:cs="Times New Roman"/>
          <w:sz w:val="24"/>
          <w:szCs w:val="24"/>
        </w:rPr>
        <w:t>Trimmomatic</w:t>
      </w:r>
      <w:proofErr w:type="spellEnd"/>
      <w:r w:rsidRPr="00F438E9">
        <w:rPr>
          <w:rFonts w:cs="Times New Roman"/>
          <w:sz w:val="24"/>
          <w:szCs w:val="24"/>
        </w:rPr>
        <w:t xml:space="preserve"> (version 0.36)</w:t>
      </w:r>
      <w:r w:rsidR="009569EE" w:rsidRPr="00F438E9">
        <w:rPr>
          <w:rFonts w:cs="Times New Roman"/>
          <w:b/>
          <w:sz w:val="24"/>
          <w:szCs w:val="24"/>
        </w:rPr>
        <w:t xml:space="preserve"> (2)</w:t>
      </w:r>
      <w:r w:rsidRPr="00F438E9">
        <w:rPr>
          <w:rFonts w:cs="Times New Roman"/>
          <w:sz w:val="24"/>
          <w:szCs w:val="24"/>
        </w:rPr>
        <w:t>, respectively. Only those read pairs were retained where both mates had &gt;=35 bases remaining after adapter clipping and quality-based trimming.</w:t>
      </w:r>
    </w:p>
    <w:p w14:paraId="595FEDD1" w14:textId="77777777" w:rsidR="00EC33B0" w:rsidRPr="00F438E9" w:rsidRDefault="00EC33B0" w:rsidP="00F438E9">
      <w:pPr>
        <w:spacing w:line="480" w:lineRule="auto"/>
        <w:jc w:val="both"/>
        <w:rPr>
          <w:rFonts w:cs="Times New Roman"/>
          <w:b/>
          <w:sz w:val="24"/>
          <w:szCs w:val="24"/>
        </w:rPr>
      </w:pPr>
      <w:r w:rsidRPr="00F438E9">
        <w:rPr>
          <w:rFonts w:cs="Times New Roman"/>
          <w:b/>
          <w:sz w:val="24"/>
          <w:szCs w:val="24"/>
        </w:rPr>
        <w:t>Alignment and mapping</w:t>
      </w:r>
    </w:p>
    <w:p w14:paraId="72BBCA8A" w14:textId="0E6A99EF" w:rsidR="00EC33B0" w:rsidRPr="00F438E9" w:rsidRDefault="00EC33B0" w:rsidP="00F438E9">
      <w:pPr>
        <w:spacing w:line="480" w:lineRule="auto"/>
        <w:jc w:val="both"/>
        <w:rPr>
          <w:rFonts w:cs="Times New Roman"/>
          <w:sz w:val="24"/>
          <w:szCs w:val="24"/>
        </w:rPr>
      </w:pPr>
      <w:r w:rsidRPr="00F438E9">
        <w:rPr>
          <w:rFonts w:cs="Times New Roman"/>
          <w:sz w:val="24"/>
          <w:szCs w:val="24"/>
        </w:rPr>
        <w:t>QC processed reads were mapped to the human genome (version GRCh37) using</w:t>
      </w:r>
      <w:r w:rsidR="008E4132" w:rsidRPr="00F438E9">
        <w:rPr>
          <w:rFonts w:cs="Times New Roman"/>
          <w:sz w:val="24"/>
          <w:szCs w:val="24"/>
        </w:rPr>
        <w:t xml:space="preserve"> the</w:t>
      </w:r>
      <w:r w:rsidRPr="00F438E9">
        <w:rPr>
          <w:rFonts w:cs="Times New Roman"/>
          <w:sz w:val="24"/>
          <w:szCs w:val="24"/>
        </w:rPr>
        <w:t xml:space="preserve"> </w:t>
      </w:r>
      <w:r w:rsidRPr="00F438E9">
        <w:rPr>
          <w:rFonts w:cs="Times New Roman"/>
          <w:i/>
          <w:sz w:val="24"/>
          <w:szCs w:val="24"/>
        </w:rPr>
        <w:t>mem</w:t>
      </w:r>
      <w:r w:rsidRPr="00F438E9">
        <w:rPr>
          <w:rFonts w:cs="Times New Roman"/>
          <w:sz w:val="24"/>
          <w:szCs w:val="24"/>
        </w:rPr>
        <w:t xml:space="preserve"> algorithm of </w:t>
      </w:r>
      <w:r w:rsidR="008E4132" w:rsidRPr="00F438E9">
        <w:rPr>
          <w:rFonts w:cs="Times New Roman"/>
          <w:sz w:val="24"/>
          <w:szCs w:val="24"/>
        </w:rPr>
        <w:t xml:space="preserve">the </w:t>
      </w:r>
      <w:r w:rsidRPr="00F438E9">
        <w:rPr>
          <w:rFonts w:cs="Times New Roman"/>
          <w:sz w:val="24"/>
          <w:szCs w:val="24"/>
        </w:rPr>
        <w:t xml:space="preserve">Burrows-Wheeler Aligner (BWA version 0.7.15) </w:t>
      </w:r>
      <w:r w:rsidR="009569EE" w:rsidRPr="00F438E9">
        <w:rPr>
          <w:rFonts w:cs="Times New Roman"/>
          <w:b/>
          <w:sz w:val="24"/>
          <w:szCs w:val="24"/>
        </w:rPr>
        <w:t xml:space="preserve">(3) </w:t>
      </w:r>
      <w:r w:rsidRPr="00F438E9">
        <w:rPr>
          <w:rFonts w:cs="Times New Roman"/>
          <w:sz w:val="24"/>
          <w:szCs w:val="24"/>
        </w:rPr>
        <w:t>to obtain SAM (Sequence Alignment and Mapping) format files, which were then coordinate sorted, converted to binary (BAM) format and flagged for PCR duplicates using Picard tools (version 1.14.0)</w:t>
      </w:r>
      <w:r w:rsidRPr="00F438E9">
        <w:rPr>
          <w:rFonts w:cs="Times New Roman"/>
          <w:b/>
          <w:sz w:val="24"/>
          <w:szCs w:val="24"/>
        </w:rPr>
        <w:t>.</w:t>
      </w:r>
      <w:r w:rsidRPr="00F438E9">
        <w:rPr>
          <w:rFonts w:cs="Times New Roman"/>
          <w:sz w:val="24"/>
          <w:szCs w:val="24"/>
        </w:rPr>
        <w:t xml:space="preserve"> The resultant BAM files were then put through local realignment (using </w:t>
      </w:r>
      <w:proofErr w:type="spellStart"/>
      <w:r w:rsidRPr="00F438E9">
        <w:rPr>
          <w:rFonts w:cs="Times New Roman"/>
          <w:sz w:val="24"/>
          <w:szCs w:val="24"/>
        </w:rPr>
        <w:t>InDels</w:t>
      </w:r>
      <w:proofErr w:type="spellEnd"/>
      <w:r w:rsidRPr="00F438E9">
        <w:rPr>
          <w:rFonts w:cs="Times New Roman"/>
          <w:sz w:val="24"/>
          <w:szCs w:val="24"/>
        </w:rPr>
        <w:t xml:space="preserve"> and SNPs from 1000Genomes) and base quality score recalibration, using GATK (Genome Analysis Tool Kit; version 3.6). The final BAM files thus obtained were used for calculating depth of sequencing coverage statistics and were the starting point for mutation calling.</w:t>
      </w:r>
    </w:p>
    <w:p w14:paraId="0B690A48" w14:textId="77777777" w:rsidR="00EC33B0" w:rsidRPr="00F438E9" w:rsidRDefault="00EC33B0" w:rsidP="00F438E9">
      <w:pPr>
        <w:spacing w:line="480" w:lineRule="auto"/>
        <w:jc w:val="both"/>
        <w:rPr>
          <w:rFonts w:cs="Times New Roman"/>
          <w:b/>
          <w:sz w:val="24"/>
          <w:szCs w:val="24"/>
        </w:rPr>
      </w:pPr>
      <w:r w:rsidRPr="00F438E9">
        <w:rPr>
          <w:rFonts w:cs="Times New Roman"/>
          <w:b/>
          <w:sz w:val="24"/>
          <w:szCs w:val="24"/>
        </w:rPr>
        <w:t>Somatic mutation calling, filtering and variant annotation</w:t>
      </w:r>
    </w:p>
    <w:p w14:paraId="41739ACD" w14:textId="4771AF34" w:rsidR="00EC33B0" w:rsidRPr="00F438E9" w:rsidRDefault="00EC33B0" w:rsidP="00F438E9">
      <w:pPr>
        <w:spacing w:line="480" w:lineRule="auto"/>
        <w:jc w:val="both"/>
        <w:rPr>
          <w:rFonts w:cs="Times New Roman"/>
          <w:sz w:val="24"/>
          <w:szCs w:val="24"/>
        </w:rPr>
      </w:pPr>
      <w:r w:rsidRPr="00F438E9">
        <w:rPr>
          <w:rFonts w:cs="Times New Roman"/>
          <w:sz w:val="24"/>
          <w:szCs w:val="24"/>
        </w:rPr>
        <w:t xml:space="preserve">Somatic SNVs (Single Nucleotide Variants) and Indels (Insertions/ Deletions) were identified using MuTect2 and GATK4 (version 4.1.4.0) </w:t>
      </w:r>
      <w:r w:rsidR="009569EE" w:rsidRPr="00F438E9">
        <w:rPr>
          <w:rFonts w:cs="Times New Roman"/>
          <w:b/>
          <w:sz w:val="24"/>
          <w:szCs w:val="24"/>
        </w:rPr>
        <w:t xml:space="preserve">(4) </w:t>
      </w:r>
      <w:r w:rsidRPr="00F438E9">
        <w:rPr>
          <w:rFonts w:cs="Times New Roman"/>
          <w:sz w:val="24"/>
          <w:szCs w:val="24"/>
        </w:rPr>
        <w:t xml:space="preserve">on each of the tumour-normal pairs separately as following. A panel of </w:t>
      </w:r>
      <w:proofErr w:type="spellStart"/>
      <w:r w:rsidRPr="00F438E9">
        <w:rPr>
          <w:rFonts w:cs="Times New Roman"/>
          <w:sz w:val="24"/>
          <w:szCs w:val="24"/>
        </w:rPr>
        <w:t>normals</w:t>
      </w:r>
      <w:proofErr w:type="spellEnd"/>
      <w:r w:rsidRPr="00F438E9">
        <w:rPr>
          <w:rFonts w:cs="Times New Roman"/>
          <w:sz w:val="24"/>
          <w:szCs w:val="24"/>
        </w:rPr>
        <w:t xml:space="preserve"> (</w:t>
      </w:r>
      <w:proofErr w:type="spellStart"/>
      <w:r w:rsidRPr="00F438E9">
        <w:rPr>
          <w:rFonts w:cs="Times New Roman"/>
          <w:sz w:val="24"/>
          <w:szCs w:val="24"/>
        </w:rPr>
        <w:t>PoN</w:t>
      </w:r>
      <w:proofErr w:type="spellEnd"/>
      <w:r w:rsidRPr="00F438E9">
        <w:rPr>
          <w:rFonts w:cs="Times New Roman"/>
          <w:sz w:val="24"/>
          <w:szCs w:val="24"/>
        </w:rPr>
        <w:t>) was created using the</w:t>
      </w:r>
      <w:r w:rsidR="007157ED" w:rsidRPr="00F438E9">
        <w:rPr>
          <w:rFonts w:cs="Times New Roman"/>
          <w:sz w:val="24"/>
          <w:szCs w:val="24"/>
        </w:rPr>
        <w:t xml:space="preserve"> </w:t>
      </w:r>
      <w:r w:rsidRPr="00F438E9">
        <w:rPr>
          <w:rFonts w:cs="Times New Roman"/>
          <w:sz w:val="24"/>
          <w:szCs w:val="24"/>
        </w:rPr>
        <w:t xml:space="preserve">germline samples (GATK tool </w:t>
      </w:r>
      <w:proofErr w:type="spellStart"/>
      <w:r w:rsidRPr="00F438E9">
        <w:rPr>
          <w:rFonts w:cs="Times New Roman"/>
          <w:sz w:val="24"/>
          <w:szCs w:val="24"/>
        </w:rPr>
        <w:t>CreateSomaticPanelOfNormals</w:t>
      </w:r>
      <w:proofErr w:type="spellEnd"/>
      <w:r w:rsidRPr="00F438E9">
        <w:rPr>
          <w:rFonts w:cs="Times New Roman"/>
          <w:sz w:val="24"/>
          <w:szCs w:val="24"/>
        </w:rPr>
        <w:t xml:space="preserve">). Then MuTect2 (version 2.2) was run for each of the tumour-normal pairs using the </w:t>
      </w:r>
      <w:proofErr w:type="spellStart"/>
      <w:r w:rsidRPr="00F438E9">
        <w:rPr>
          <w:rFonts w:cs="Times New Roman"/>
          <w:sz w:val="24"/>
          <w:szCs w:val="24"/>
        </w:rPr>
        <w:t>PoN</w:t>
      </w:r>
      <w:proofErr w:type="spellEnd"/>
      <w:r w:rsidRPr="00F438E9">
        <w:rPr>
          <w:rFonts w:cs="Times New Roman"/>
          <w:sz w:val="24"/>
          <w:szCs w:val="24"/>
        </w:rPr>
        <w:t xml:space="preserve"> as well as </w:t>
      </w:r>
      <w:proofErr w:type="spellStart"/>
      <w:r w:rsidRPr="00F438E9">
        <w:rPr>
          <w:rFonts w:cs="Times New Roman"/>
          <w:sz w:val="24"/>
          <w:szCs w:val="24"/>
        </w:rPr>
        <w:t>gnomAD</w:t>
      </w:r>
      <w:proofErr w:type="spellEnd"/>
      <w:r w:rsidRPr="00F438E9">
        <w:rPr>
          <w:rFonts w:cs="Times New Roman"/>
          <w:sz w:val="24"/>
          <w:szCs w:val="24"/>
        </w:rPr>
        <w:t xml:space="preserve"> (Genome Aggregation Database v2)</w:t>
      </w:r>
      <w:r w:rsidR="009569EE" w:rsidRPr="00F438E9">
        <w:rPr>
          <w:rFonts w:cs="Times New Roman"/>
          <w:sz w:val="24"/>
          <w:szCs w:val="24"/>
        </w:rPr>
        <w:t xml:space="preserve"> </w:t>
      </w:r>
      <w:r w:rsidR="009569EE" w:rsidRPr="00F438E9">
        <w:rPr>
          <w:rFonts w:cs="Times New Roman"/>
          <w:b/>
          <w:sz w:val="24"/>
          <w:szCs w:val="24"/>
        </w:rPr>
        <w:t>(5)</w:t>
      </w:r>
      <w:r w:rsidR="000B3268" w:rsidRPr="00F438E9">
        <w:rPr>
          <w:rFonts w:cs="Times New Roman"/>
          <w:sz w:val="24"/>
          <w:szCs w:val="24"/>
        </w:rPr>
        <w:t xml:space="preserve"> </w:t>
      </w:r>
      <w:r w:rsidRPr="00F438E9">
        <w:rPr>
          <w:rFonts w:cs="Times New Roman"/>
          <w:sz w:val="24"/>
          <w:szCs w:val="24"/>
        </w:rPr>
        <w:t xml:space="preserve">VCF as a germline resource. The call set thus obtained was further filtered (GATK tool </w:t>
      </w:r>
      <w:proofErr w:type="spellStart"/>
      <w:r w:rsidRPr="00F438E9">
        <w:rPr>
          <w:rFonts w:cs="Times New Roman"/>
          <w:sz w:val="24"/>
          <w:szCs w:val="24"/>
        </w:rPr>
        <w:t>FilterMutectCalls</w:t>
      </w:r>
      <w:proofErr w:type="spellEnd"/>
      <w:r w:rsidRPr="00F438E9">
        <w:rPr>
          <w:rFonts w:cs="Times New Roman"/>
          <w:sz w:val="24"/>
          <w:szCs w:val="24"/>
        </w:rPr>
        <w:t xml:space="preserve">) using contamination estimates and read-orientation model metrics. After selecting for ‘PASS’ calls only in the somatic VCF (Variant Call Format) thus obtained per tumour-normal pair, additional filtering was applied on quality metrics of TLOD (Log10 </w:t>
      </w:r>
      <w:r w:rsidRPr="00F438E9">
        <w:rPr>
          <w:rFonts w:cs="Times New Roman"/>
          <w:sz w:val="24"/>
          <w:szCs w:val="24"/>
        </w:rPr>
        <w:lastRenderedPageBreak/>
        <w:t>likelihood ratio score of variant existing versus not existing), CONTQ (</w:t>
      </w:r>
      <w:proofErr w:type="spellStart"/>
      <w:r w:rsidRPr="00F438E9">
        <w:rPr>
          <w:rFonts w:cs="Times New Roman"/>
          <w:sz w:val="24"/>
          <w:szCs w:val="24"/>
        </w:rPr>
        <w:t>Phred</w:t>
      </w:r>
      <w:proofErr w:type="spellEnd"/>
      <w:r w:rsidRPr="00F438E9">
        <w:rPr>
          <w:rFonts w:cs="Times New Roman"/>
          <w:sz w:val="24"/>
          <w:szCs w:val="24"/>
        </w:rPr>
        <w:t>-scaled qualities that alt alleles are not due to contamination), ROQ (</w:t>
      </w:r>
      <w:proofErr w:type="spellStart"/>
      <w:r w:rsidRPr="00F438E9">
        <w:rPr>
          <w:rFonts w:cs="Times New Roman"/>
          <w:sz w:val="24"/>
          <w:szCs w:val="24"/>
        </w:rPr>
        <w:t>Phred</w:t>
      </w:r>
      <w:proofErr w:type="spellEnd"/>
      <w:r w:rsidRPr="00F438E9">
        <w:rPr>
          <w:rFonts w:cs="Times New Roman"/>
          <w:sz w:val="24"/>
          <w:szCs w:val="24"/>
        </w:rPr>
        <w:t>-scaled qualities that alt alleles are not sequencing errors), GERMQ (</w:t>
      </w:r>
      <w:proofErr w:type="spellStart"/>
      <w:r w:rsidRPr="00F438E9">
        <w:rPr>
          <w:rFonts w:cs="Times New Roman"/>
          <w:sz w:val="24"/>
          <w:szCs w:val="24"/>
        </w:rPr>
        <w:t>Phred</w:t>
      </w:r>
      <w:proofErr w:type="spellEnd"/>
      <w:r w:rsidRPr="00F438E9">
        <w:rPr>
          <w:rFonts w:cs="Times New Roman"/>
          <w:sz w:val="24"/>
          <w:szCs w:val="24"/>
        </w:rPr>
        <w:t>-scale quality that alt alleles are not germline variants) and STRANDQ (</w:t>
      </w:r>
      <w:proofErr w:type="spellStart"/>
      <w:r w:rsidRPr="00F438E9">
        <w:rPr>
          <w:rFonts w:cs="Times New Roman"/>
          <w:sz w:val="24"/>
          <w:szCs w:val="24"/>
        </w:rPr>
        <w:t>Phred</w:t>
      </w:r>
      <w:proofErr w:type="spellEnd"/>
      <w:r w:rsidRPr="00F438E9">
        <w:rPr>
          <w:rFonts w:cs="Times New Roman"/>
          <w:sz w:val="24"/>
          <w:szCs w:val="24"/>
        </w:rPr>
        <w:t>-scaled quality of strand bias artifact) using empirically determined thresholds. Finally, each of the calls had to clear read-depth support thresholds of &gt;=10 overall for the variant locus in both the tumour and the paired germline sample and additionally &gt;=5 for the alternate allele specifically in the tumour sample.</w:t>
      </w:r>
    </w:p>
    <w:p w14:paraId="77AB1B8A" w14:textId="09A485FE" w:rsidR="00EC33B0" w:rsidRDefault="00EC33B0" w:rsidP="00F438E9">
      <w:pPr>
        <w:spacing w:line="480" w:lineRule="auto"/>
        <w:jc w:val="both"/>
        <w:rPr>
          <w:rFonts w:cs="Times New Roman"/>
          <w:sz w:val="24"/>
          <w:szCs w:val="24"/>
        </w:rPr>
      </w:pPr>
      <w:r w:rsidRPr="00F438E9">
        <w:rPr>
          <w:rFonts w:cs="Times New Roman"/>
          <w:sz w:val="24"/>
          <w:szCs w:val="24"/>
        </w:rPr>
        <w:t xml:space="preserve">Variant Effect Predictor (VEP version 94 cache on GRCh37) </w:t>
      </w:r>
      <w:r w:rsidR="009569EE" w:rsidRPr="00F438E9">
        <w:rPr>
          <w:rFonts w:cs="Times New Roman"/>
          <w:b/>
          <w:sz w:val="24"/>
          <w:szCs w:val="24"/>
        </w:rPr>
        <w:t>(6)</w:t>
      </w:r>
      <w:r w:rsidR="000B3268" w:rsidRPr="00F438E9">
        <w:rPr>
          <w:rFonts w:cs="Times New Roman"/>
          <w:sz w:val="24"/>
          <w:szCs w:val="24"/>
        </w:rPr>
        <w:t xml:space="preserve"> </w:t>
      </w:r>
      <w:r w:rsidRPr="00F438E9">
        <w:rPr>
          <w:rFonts w:cs="Times New Roman"/>
          <w:sz w:val="24"/>
          <w:szCs w:val="24"/>
        </w:rPr>
        <w:t xml:space="preserve">was used to annotate the somatic SNVs and Indel calls, using additional annotation datasets of </w:t>
      </w:r>
      <w:proofErr w:type="spellStart"/>
      <w:r w:rsidRPr="00F438E9">
        <w:rPr>
          <w:rFonts w:cs="Times New Roman"/>
          <w:sz w:val="24"/>
          <w:szCs w:val="24"/>
        </w:rPr>
        <w:t>gnomAD</w:t>
      </w:r>
      <w:proofErr w:type="spellEnd"/>
      <w:r w:rsidRPr="00F438E9">
        <w:rPr>
          <w:rFonts w:cs="Times New Roman"/>
          <w:sz w:val="24"/>
          <w:szCs w:val="24"/>
        </w:rPr>
        <w:t xml:space="preserve"> genomes-based population frequencies and </w:t>
      </w:r>
      <w:proofErr w:type="spellStart"/>
      <w:r w:rsidRPr="00F438E9">
        <w:rPr>
          <w:rFonts w:cs="Times New Roman"/>
          <w:sz w:val="24"/>
          <w:szCs w:val="24"/>
        </w:rPr>
        <w:t>dbscSNV</w:t>
      </w:r>
      <w:proofErr w:type="spellEnd"/>
      <w:r w:rsidRPr="00F438E9">
        <w:rPr>
          <w:rFonts w:cs="Times New Roman"/>
          <w:sz w:val="24"/>
          <w:szCs w:val="24"/>
        </w:rPr>
        <w:t xml:space="preserve"> (database of splicing-consensus SNVs) predictions. Variants were designated as polymorphic loci and filtered off if present in any of the population datasets of 1000genomes, </w:t>
      </w:r>
      <w:proofErr w:type="spellStart"/>
      <w:r w:rsidRPr="00F438E9">
        <w:rPr>
          <w:rFonts w:cs="Times New Roman"/>
          <w:sz w:val="24"/>
          <w:szCs w:val="24"/>
        </w:rPr>
        <w:t>HapMap</w:t>
      </w:r>
      <w:proofErr w:type="spellEnd"/>
      <w:r w:rsidRPr="00F438E9">
        <w:rPr>
          <w:rFonts w:cs="Times New Roman"/>
          <w:sz w:val="24"/>
          <w:szCs w:val="24"/>
        </w:rPr>
        <w:t xml:space="preserve">, </w:t>
      </w:r>
      <w:proofErr w:type="spellStart"/>
      <w:r w:rsidRPr="00F438E9">
        <w:rPr>
          <w:rFonts w:cs="Times New Roman"/>
          <w:sz w:val="24"/>
          <w:szCs w:val="24"/>
        </w:rPr>
        <w:t>ExAC</w:t>
      </w:r>
      <w:proofErr w:type="spellEnd"/>
      <w:r w:rsidRPr="00F438E9">
        <w:rPr>
          <w:rFonts w:cs="Times New Roman"/>
          <w:sz w:val="24"/>
          <w:szCs w:val="24"/>
        </w:rPr>
        <w:t xml:space="preserve"> or </w:t>
      </w:r>
      <w:proofErr w:type="spellStart"/>
      <w:r w:rsidRPr="00F438E9">
        <w:rPr>
          <w:rFonts w:cs="Times New Roman"/>
          <w:sz w:val="24"/>
          <w:szCs w:val="24"/>
        </w:rPr>
        <w:t>gnomAD</w:t>
      </w:r>
      <w:proofErr w:type="spellEnd"/>
      <w:r w:rsidRPr="00F438E9">
        <w:rPr>
          <w:rFonts w:cs="Times New Roman"/>
          <w:sz w:val="24"/>
          <w:szCs w:val="24"/>
        </w:rPr>
        <w:t xml:space="preserve"> at frequency of 10</w:t>
      </w:r>
      <w:r w:rsidRPr="00F438E9">
        <w:rPr>
          <w:rFonts w:cs="Times New Roman"/>
          <w:sz w:val="24"/>
          <w:szCs w:val="24"/>
          <w:vertAlign w:val="superscript"/>
        </w:rPr>
        <w:t>-3</w:t>
      </w:r>
      <w:r w:rsidRPr="00F438E9">
        <w:rPr>
          <w:rFonts w:cs="Times New Roman"/>
          <w:sz w:val="24"/>
          <w:szCs w:val="24"/>
        </w:rPr>
        <w:t xml:space="preserve"> or higher. Candidate genes affected were identified if the variant impact was classified as HIGH or MODERATE, or if predicted to be splice-altering in </w:t>
      </w:r>
      <w:proofErr w:type="spellStart"/>
      <w:r w:rsidRPr="00F438E9">
        <w:rPr>
          <w:rFonts w:cs="Times New Roman"/>
          <w:sz w:val="24"/>
          <w:szCs w:val="24"/>
        </w:rPr>
        <w:t>dbscSNV</w:t>
      </w:r>
      <w:proofErr w:type="spellEnd"/>
      <w:r w:rsidRPr="00F438E9">
        <w:rPr>
          <w:rFonts w:cs="Times New Roman"/>
          <w:sz w:val="24"/>
          <w:szCs w:val="24"/>
        </w:rPr>
        <w:t>.</w:t>
      </w:r>
    </w:p>
    <w:p w14:paraId="06F50E4B" w14:textId="77777777" w:rsidR="0091663D" w:rsidRPr="0091663D" w:rsidRDefault="0091663D" w:rsidP="0091663D">
      <w:pPr>
        <w:spacing w:line="480" w:lineRule="auto"/>
        <w:jc w:val="both"/>
        <w:rPr>
          <w:rFonts w:cs="Times New Roman"/>
          <w:b/>
          <w:sz w:val="24"/>
          <w:szCs w:val="24"/>
        </w:rPr>
      </w:pPr>
      <w:r w:rsidRPr="0091663D">
        <w:rPr>
          <w:rFonts w:cs="Times New Roman"/>
          <w:b/>
          <w:sz w:val="24"/>
          <w:szCs w:val="24"/>
        </w:rPr>
        <w:t>Distribution of somatic mutation genes across cellular pathways</w:t>
      </w:r>
    </w:p>
    <w:p w14:paraId="47CD91BF" w14:textId="19ED7FCD" w:rsidR="0091663D" w:rsidRPr="005B57A6" w:rsidRDefault="0091663D" w:rsidP="0091663D">
      <w:pPr>
        <w:spacing w:line="480" w:lineRule="auto"/>
        <w:jc w:val="both"/>
        <w:rPr>
          <w:rFonts w:cs="Times New Roman"/>
          <w:sz w:val="24"/>
          <w:szCs w:val="24"/>
        </w:rPr>
      </w:pPr>
      <w:r w:rsidRPr="005B57A6">
        <w:rPr>
          <w:rFonts w:cs="Times New Roman"/>
          <w:sz w:val="24"/>
          <w:szCs w:val="24"/>
        </w:rPr>
        <w:t>The gene sets provided in the TCGA-MIBC 2017 publication were used to determine the alteration frequency of RTK/RAS/PI3K, histone modification, TP53/ Cell cycle, DNA damage repair and cohesion complex pathways in our NMIBC cohort.</w:t>
      </w:r>
    </w:p>
    <w:p w14:paraId="7F5F16F8" w14:textId="77777777" w:rsidR="00EC33B0" w:rsidRPr="00F438E9" w:rsidRDefault="00EC33B0" w:rsidP="00F438E9">
      <w:pPr>
        <w:spacing w:line="480" w:lineRule="auto"/>
        <w:jc w:val="both"/>
        <w:rPr>
          <w:rFonts w:cs="Times New Roman"/>
          <w:b/>
          <w:sz w:val="24"/>
          <w:szCs w:val="24"/>
        </w:rPr>
      </w:pPr>
      <w:r w:rsidRPr="00F438E9">
        <w:rPr>
          <w:rFonts w:cs="Times New Roman"/>
          <w:b/>
          <w:sz w:val="24"/>
          <w:szCs w:val="24"/>
        </w:rPr>
        <w:t>Mutational signature analysis</w:t>
      </w:r>
    </w:p>
    <w:p w14:paraId="2FBE3485" w14:textId="2862E981" w:rsidR="00EC33B0" w:rsidRPr="00F438E9" w:rsidRDefault="00EC33B0" w:rsidP="00F438E9">
      <w:pPr>
        <w:spacing w:line="480" w:lineRule="auto"/>
        <w:jc w:val="both"/>
        <w:rPr>
          <w:rFonts w:cs="Times New Roman"/>
          <w:sz w:val="24"/>
          <w:szCs w:val="24"/>
        </w:rPr>
      </w:pPr>
      <w:r w:rsidRPr="00F438E9">
        <w:rPr>
          <w:rFonts w:cs="Times New Roman"/>
          <w:sz w:val="24"/>
          <w:szCs w:val="24"/>
        </w:rPr>
        <w:t>The total set of somatic SNVs identified per tumour-normal pair was used for estimation of the six-base substitution (C &gt; A/G/T and/or T &gt; A/C/G) frequencies using</w:t>
      </w:r>
      <w:r w:rsidR="008E4132" w:rsidRPr="00F438E9">
        <w:rPr>
          <w:rFonts w:cs="Times New Roman"/>
          <w:sz w:val="24"/>
          <w:szCs w:val="24"/>
        </w:rPr>
        <w:t xml:space="preserve"> the</w:t>
      </w:r>
      <w:r w:rsidRPr="00F438E9">
        <w:rPr>
          <w:rFonts w:cs="Times New Roman"/>
          <w:sz w:val="24"/>
          <w:szCs w:val="24"/>
        </w:rPr>
        <w:t xml:space="preserve"> R package </w:t>
      </w:r>
      <w:proofErr w:type="spellStart"/>
      <w:r w:rsidRPr="00F438E9">
        <w:rPr>
          <w:rFonts w:cs="Times New Roman"/>
          <w:sz w:val="24"/>
          <w:szCs w:val="24"/>
        </w:rPr>
        <w:t>deconstructSigs</w:t>
      </w:r>
      <w:proofErr w:type="spellEnd"/>
      <w:r w:rsidRPr="00F438E9">
        <w:rPr>
          <w:rFonts w:cs="Times New Roman"/>
          <w:sz w:val="24"/>
          <w:szCs w:val="24"/>
        </w:rPr>
        <w:t xml:space="preserve"> (version 1.8.0)</w:t>
      </w:r>
      <w:r w:rsidR="000420CA" w:rsidRPr="00F438E9">
        <w:rPr>
          <w:rFonts w:cs="Times New Roman"/>
          <w:sz w:val="24"/>
          <w:szCs w:val="24"/>
        </w:rPr>
        <w:t xml:space="preserve"> </w:t>
      </w:r>
      <w:r w:rsidR="009569EE" w:rsidRPr="00F438E9">
        <w:rPr>
          <w:rFonts w:cs="Times New Roman"/>
          <w:b/>
          <w:sz w:val="24"/>
          <w:szCs w:val="24"/>
        </w:rPr>
        <w:t>(</w:t>
      </w:r>
      <w:r w:rsidR="0091663D">
        <w:rPr>
          <w:rFonts w:cs="Times New Roman"/>
          <w:b/>
          <w:sz w:val="24"/>
          <w:szCs w:val="24"/>
        </w:rPr>
        <w:t>7</w:t>
      </w:r>
      <w:r w:rsidR="009569EE" w:rsidRPr="00F438E9">
        <w:rPr>
          <w:rFonts w:cs="Times New Roman"/>
          <w:b/>
          <w:sz w:val="24"/>
          <w:szCs w:val="24"/>
        </w:rPr>
        <w:t xml:space="preserve">) </w:t>
      </w:r>
      <w:r w:rsidRPr="00F438E9">
        <w:rPr>
          <w:rFonts w:cs="Times New Roman"/>
          <w:sz w:val="24"/>
          <w:szCs w:val="24"/>
        </w:rPr>
        <w:t xml:space="preserve">to predict contribution from each of the 30 mutational </w:t>
      </w:r>
      <w:r w:rsidRPr="00F438E9">
        <w:rPr>
          <w:rFonts w:cs="Times New Roman"/>
          <w:sz w:val="24"/>
          <w:szCs w:val="24"/>
        </w:rPr>
        <w:lastRenderedPageBreak/>
        <w:t xml:space="preserve">signatures </w:t>
      </w:r>
      <w:r w:rsidR="0008317E" w:rsidRPr="00F438E9">
        <w:rPr>
          <w:rFonts w:cs="Times New Roman"/>
          <w:sz w:val="24"/>
          <w:szCs w:val="24"/>
        </w:rPr>
        <w:t xml:space="preserve">(version 2) </w:t>
      </w:r>
      <w:r w:rsidRPr="00F438E9">
        <w:rPr>
          <w:rFonts w:cs="Times New Roman"/>
          <w:sz w:val="24"/>
          <w:szCs w:val="24"/>
        </w:rPr>
        <w:t xml:space="preserve">from COSMIC, per tumour sample. Using </w:t>
      </w:r>
      <w:r w:rsidR="0091663D">
        <w:rPr>
          <w:rFonts w:cs="Times New Roman"/>
          <w:sz w:val="24"/>
          <w:szCs w:val="24"/>
        </w:rPr>
        <w:t xml:space="preserve">the estimated </w:t>
      </w:r>
      <w:r w:rsidRPr="00F438E9">
        <w:rPr>
          <w:rFonts w:cs="Times New Roman"/>
          <w:sz w:val="24"/>
          <w:szCs w:val="24"/>
        </w:rPr>
        <w:t xml:space="preserve">percentages extracted for the signature types per sample, hierarchical clustering </w:t>
      </w:r>
      <w:r w:rsidR="00D15456" w:rsidRPr="00F438E9">
        <w:rPr>
          <w:rFonts w:cs="Times New Roman"/>
          <w:sz w:val="24"/>
          <w:szCs w:val="24"/>
        </w:rPr>
        <w:t xml:space="preserve">was performed </w:t>
      </w:r>
      <w:r w:rsidRPr="00F438E9">
        <w:rPr>
          <w:rFonts w:cs="Times New Roman"/>
          <w:sz w:val="24"/>
          <w:szCs w:val="24"/>
        </w:rPr>
        <w:t>using ward.D2 method implemented in R.</w:t>
      </w:r>
    </w:p>
    <w:p w14:paraId="5AC9D26A" w14:textId="77777777" w:rsidR="00EC33B0" w:rsidRPr="00F438E9" w:rsidRDefault="00EC33B0" w:rsidP="00F438E9">
      <w:pPr>
        <w:spacing w:line="480" w:lineRule="auto"/>
        <w:jc w:val="both"/>
        <w:rPr>
          <w:rFonts w:cs="Times New Roman"/>
          <w:b/>
          <w:sz w:val="24"/>
          <w:szCs w:val="24"/>
        </w:rPr>
      </w:pPr>
      <w:r w:rsidRPr="00F438E9">
        <w:rPr>
          <w:rFonts w:cs="Times New Roman"/>
          <w:b/>
          <w:sz w:val="24"/>
          <w:szCs w:val="24"/>
        </w:rPr>
        <w:t>Copy number analysis</w:t>
      </w:r>
    </w:p>
    <w:p w14:paraId="4E9148EF" w14:textId="6705FA4A" w:rsidR="00EC33B0" w:rsidRDefault="56D7204F" w:rsidP="00F438E9">
      <w:pPr>
        <w:spacing w:line="480" w:lineRule="auto"/>
        <w:jc w:val="both"/>
        <w:rPr>
          <w:rFonts w:cs="Times New Roman"/>
          <w:sz w:val="24"/>
          <w:szCs w:val="24"/>
        </w:rPr>
      </w:pPr>
      <w:proofErr w:type="spellStart"/>
      <w:r w:rsidRPr="00F438E9">
        <w:rPr>
          <w:rFonts w:cs="Times New Roman"/>
          <w:sz w:val="24"/>
          <w:szCs w:val="24"/>
        </w:rPr>
        <w:t>CNVkit</w:t>
      </w:r>
      <w:proofErr w:type="spellEnd"/>
      <w:r w:rsidRPr="00F438E9">
        <w:rPr>
          <w:rFonts w:cs="Times New Roman"/>
          <w:sz w:val="24"/>
          <w:szCs w:val="24"/>
        </w:rPr>
        <w:t xml:space="preserve"> (version 0.8.3) </w:t>
      </w:r>
      <w:r w:rsidR="009569EE" w:rsidRPr="00F438E9">
        <w:rPr>
          <w:rFonts w:cs="Times New Roman"/>
          <w:b/>
          <w:sz w:val="24"/>
          <w:szCs w:val="24"/>
        </w:rPr>
        <w:t>(</w:t>
      </w:r>
      <w:r w:rsidR="0091663D">
        <w:rPr>
          <w:rFonts w:cs="Times New Roman"/>
          <w:b/>
          <w:sz w:val="24"/>
          <w:szCs w:val="24"/>
        </w:rPr>
        <w:t>8</w:t>
      </w:r>
      <w:r w:rsidR="009569EE" w:rsidRPr="00F438E9">
        <w:rPr>
          <w:rFonts w:cs="Times New Roman"/>
          <w:b/>
          <w:sz w:val="24"/>
          <w:szCs w:val="24"/>
        </w:rPr>
        <w:t>)</w:t>
      </w:r>
      <w:r w:rsidR="009569EE" w:rsidRPr="00F438E9">
        <w:rPr>
          <w:rFonts w:cs="Times New Roman"/>
          <w:sz w:val="24"/>
          <w:szCs w:val="24"/>
        </w:rPr>
        <w:t xml:space="preserve"> </w:t>
      </w:r>
      <w:r w:rsidRPr="00F438E9">
        <w:rPr>
          <w:rFonts w:cs="Times New Roman"/>
          <w:sz w:val="24"/>
          <w:szCs w:val="24"/>
        </w:rPr>
        <w:t>was used on paired tumour-normal samples</w:t>
      </w:r>
      <w:r w:rsidR="007157ED" w:rsidRPr="00F438E9">
        <w:rPr>
          <w:rFonts w:cs="Times New Roman"/>
          <w:sz w:val="24"/>
          <w:szCs w:val="24"/>
        </w:rPr>
        <w:t>.</w:t>
      </w:r>
      <w:r w:rsidRPr="00F438E9">
        <w:rPr>
          <w:rFonts w:cs="Times New Roman"/>
          <w:sz w:val="24"/>
          <w:szCs w:val="24"/>
        </w:rPr>
        <w:t xml:space="preserve"> BAM files from whole exome sequencing to estimate tumour-specific genome wide copy number changes. Briefly, somatic log2 copy number ratio was estimated and segmentation algorithm applied to infer discrete copy number segments for each tumour sample. Two </w:t>
      </w:r>
      <w:r w:rsidR="00D73DDE" w:rsidRPr="00F438E9">
        <w:rPr>
          <w:rFonts w:cs="Times New Roman"/>
          <w:sz w:val="24"/>
          <w:szCs w:val="24"/>
        </w:rPr>
        <w:t>outlying tumours</w:t>
      </w:r>
      <w:r w:rsidRPr="00F438E9">
        <w:rPr>
          <w:rFonts w:cs="Times New Roman"/>
          <w:sz w:val="24"/>
          <w:szCs w:val="24"/>
        </w:rPr>
        <w:t xml:space="preserve"> with </w:t>
      </w:r>
      <w:r w:rsidR="00D73DDE" w:rsidRPr="00F438E9">
        <w:rPr>
          <w:rFonts w:cs="Times New Roman"/>
          <w:sz w:val="24"/>
          <w:szCs w:val="24"/>
        </w:rPr>
        <w:t xml:space="preserve">extremely high </w:t>
      </w:r>
      <w:r w:rsidRPr="00F438E9">
        <w:rPr>
          <w:rFonts w:cs="Times New Roman"/>
          <w:sz w:val="24"/>
          <w:szCs w:val="24"/>
        </w:rPr>
        <w:t>number</w:t>
      </w:r>
      <w:r w:rsidR="00D73DDE" w:rsidRPr="00F438E9">
        <w:rPr>
          <w:rFonts w:cs="Times New Roman"/>
          <w:sz w:val="24"/>
          <w:szCs w:val="24"/>
        </w:rPr>
        <w:t>s</w:t>
      </w:r>
      <w:r w:rsidRPr="00F438E9">
        <w:rPr>
          <w:rFonts w:cs="Times New Roman"/>
          <w:sz w:val="24"/>
          <w:szCs w:val="24"/>
        </w:rPr>
        <w:t xml:space="preserve"> of segments were </w:t>
      </w:r>
      <w:r w:rsidR="00D73DDE" w:rsidRPr="00F438E9">
        <w:rPr>
          <w:rFonts w:cs="Times New Roman"/>
          <w:sz w:val="24"/>
          <w:szCs w:val="24"/>
        </w:rPr>
        <w:t>excluded</w:t>
      </w:r>
      <w:r w:rsidRPr="00F438E9">
        <w:rPr>
          <w:rFonts w:cs="Times New Roman"/>
          <w:sz w:val="24"/>
          <w:szCs w:val="24"/>
        </w:rPr>
        <w:t xml:space="preserve">. GISTIC (version 2.0.23) </w:t>
      </w:r>
      <w:r w:rsidR="009569EE" w:rsidRPr="00F438E9">
        <w:rPr>
          <w:rFonts w:cs="Times New Roman"/>
          <w:b/>
          <w:sz w:val="24"/>
          <w:szCs w:val="24"/>
        </w:rPr>
        <w:t>(</w:t>
      </w:r>
      <w:r w:rsidR="0091663D">
        <w:rPr>
          <w:rFonts w:cs="Times New Roman"/>
          <w:b/>
          <w:sz w:val="24"/>
          <w:szCs w:val="24"/>
        </w:rPr>
        <w:t>9</w:t>
      </w:r>
      <w:r w:rsidR="009569EE" w:rsidRPr="00F438E9">
        <w:rPr>
          <w:rFonts w:cs="Times New Roman"/>
          <w:b/>
          <w:sz w:val="24"/>
          <w:szCs w:val="24"/>
        </w:rPr>
        <w:t xml:space="preserve">) </w:t>
      </w:r>
      <w:r w:rsidRPr="00F438E9">
        <w:rPr>
          <w:rFonts w:cs="Times New Roman"/>
          <w:sz w:val="24"/>
          <w:szCs w:val="24"/>
        </w:rPr>
        <w:t>was then used to identify focal copy number peaks in the tumour exome. After examining the output for potential false</w:t>
      </w:r>
      <w:r w:rsidR="0091663D">
        <w:rPr>
          <w:rFonts w:cs="Times New Roman"/>
          <w:sz w:val="24"/>
          <w:szCs w:val="24"/>
        </w:rPr>
        <w:t xml:space="preserve"> </w:t>
      </w:r>
      <w:r w:rsidRPr="00F438E9">
        <w:rPr>
          <w:rFonts w:cs="Times New Roman"/>
          <w:sz w:val="24"/>
          <w:szCs w:val="24"/>
        </w:rPr>
        <w:t>positives when ran using default parameters, GISITC was given threshold</w:t>
      </w:r>
      <w:r w:rsidR="00662DF5" w:rsidRPr="00F438E9">
        <w:rPr>
          <w:rFonts w:cs="Times New Roman"/>
          <w:sz w:val="24"/>
          <w:szCs w:val="24"/>
        </w:rPr>
        <w:t>s</w:t>
      </w:r>
      <w:r w:rsidRPr="00F438E9">
        <w:rPr>
          <w:rFonts w:cs="Times New Roman"/>
          <w:sz w:val="24"/>
          <w:szCs w:val="24"/>
        </w:rPr>
        <w:t xml:space="preserve"> of 0.3 for both amplification and deletion to identify the final peaks. The results from GISTIC on tumour samples, were imported into </w:t>
      </w:r>
      <w:proofErr w:type="spellStart"/>
      <w:r w:rsidRPr="00F438E9">
        <w:rPr>
          <w:rFonts w:cs="Times New Roman"/>
          <w:sz w:val="24"/>
          <w:szCs w:val="24"/>
        </w:rPr>
        <w:t>maftools</w:t>
      </w:r>
      <w:proofErr w:type="spellEnd"/>
      <w:r w:rsidRPr="00F438E9">
        <w:rPr>
          <w:rFonts w:cs="Times New Roman"/>
          <w:sz w:val="24"/>
          <w:szCs w:val="24"/>
        </w:rPr>
        <w:t xml:space="preserve"> (v1.4.28) </w:t>
      </w:r>
      <w:r w:rsidR="009569EE" w:rsidRPr="00F438E9">
        <w:rPr>
          <w:rFonts w:cs="Times New Roman"/>
          <w:b/>
          <w:sz w:val="24"/>
          <w:szCs w:val="24"/>
        </w:rPr>
        <w:t>(1</w:t>
      </w:r>
      <w:r w:rsidR="0091663D">
        <w:rPr>
          <w:rFonts w:cs="Times New Roman"/>
          <w:b/>
          <w:sz w:val="24"/>
          <w:szCs w:val="24"/>
        </w:rPr>
        <w:t>0</w:t>
      </w:r>
      <w:r w:rsidR="009569EE" w:rsidRPr="00F438E9">
        <w:rPr>
          <w:rFonts w:cs="Times New Roman"/>
          <w:b/>
          <w:sz w:val="24"/>
          <w:szCs w:val="24"/>
        </w:rPr>
        <w:t xml:space="preserve">) </w:t>
      </w:r>
      <w:r w:rsidRPr="00F438E9">
        <w:rPr>
          <w:rFonts w:cs="Times New Roman"/>
          <w:sz w:val="24"/>
          <w:szCs w:val="24"/>
        </w:rPr>
        <w:t>in the R environment, for tabulating and plotting the results at the gene level and focal copy number peak level.</w:t>
      </w:r>
      <w:r w:rsidR="00D73DDE" w:rsidRPr="00F438E9">
        <w:rPr>
          <w:rFonts w:cs="Times New Roman"/>
          <w:sz w:val="24"/>
          <w:szCs w:val="24"/>
        </w:rPr>
        <w:t xml:space="preserve"> </w:t>
      </w:r>
      <w:r w:rsidR="00662DF5" w:rsidRPr="00F438E9">
        <w:rPr>
          <w:rFonts w:cs="Times New Roman"/>
          <w:sz w:val="24"/>
          <w:szCs w:val="24"/>
        </w:rPr>
        <w:t>The</w:t>
      </w:r>
      <w:r w:rsidRPr="00F438E9">
        <w:rPr>
          <w:rFonts w:cs="Times New Roman"/>
          <w:sz w:val="24"/>
          <w:szCs w:val="24"/>
        </w:rPr>
        <w:t xml:space="preserve"> effect of </w:t>
      </w:r>
      <w:r w:rsidR="00662DF5" w:rsidRPr="00F438E9">
        <w:rPr>
          <w:rFonts w:cs="Times New Roman"/>
          <w:sz w:val="24"/>
          <w:szCs w:val="24"/>
        </w:rPr>
        <w:t xml:space="preserve">CNVs on </w:t>
      </w:r>
      <w:r w:rsidRPr="00F438E9">
        <w:rPr>
          <w:rFonts w:cs="Times New Roman"/>
          <w:sz w:val="24"/>
          <w:szCs w:val="24"/>
        </w:rPr>
        <w:t xml:space="preserve">gene expression </w:t>
      </w:r>
      <w:r w:rsidR="00662DF5" w:rsidRPr="00F438E9">
        <w:rPr>
          <w:rFonts w:cs="Times New Roman"/>
          <w:sz w:val="24"/>
          <w:szCs w:val="24"/>
        </w:rPr>
        <w:t xml:space="preserve">was evaluated by </w:t>
      </w:r>
      <w:r w:rsidRPr="00F438E9">
        <w:rPr>
          <w:rFonts w:cs="Times New Roman"/>
          <w:sz w:val="24"/>
          <w:szCs w:val="24"/>
        </w:rPr>
        <w:t xml:space="preserve">comparing </w:t>
      </w:r>
      <w:r w:rsidR="00662DF5" w:rsidRPr="00F438E9">
        <w:rPr>
          <w:rFonts w:cs="Times New Roman"/>
          <w:sz w:val="24"/>
          <w:szCs w:val="24"/>
        </w:rPr>
        <w:t xml:space="preserve">gene expression levels in </w:t>
      </w:r>
      <w:r w:rsidRPr="00F438E9">
        <w:rPr>
          <w:rFonts w:cs="Times New Roman"/>
          <w:sz w:val="24"/>
          <w:szCs w:val="24"/>
        </w:rPr>
        <w:t>tumours with</w:t>
      </w:r>
      <w:r w:rsidR="00662DF5" w:rsidRPr="00F438E9">
        <w:rPr>
          <w:rFonts w:cs="Times New Roman"/>
          <w:sz w:val="24"/>
          <w:szCs w:val="24"/>
        </w:rPr>
        <w:t xml:space="preserve"> or without</w:t>
      </w:r>
      <w:r w:rsidRPr="00F438E9">
        <w:rPr>
          <w:rFonts w:cs="Times New Roman"/>
          <w:sz w:val="24"/>
          <w:szCs w:val="24"/>
        </w:rPr>
        <w:t xml:space="preserve"> </w:t>
      </w:r>
      <w:r w:rsidR="00662DF5" w:rsidRPr="00F438E9">
        <w:rPr>
          <w:rFonts w:cs="Times New Roman"/>
          <w:sz w:val="24"/>
          <w:szCs w:val="24"/>
        </w:rPr>
        <w:t>copy number gain</w:t>
      </w:r>
      <w:r w:rsidR="00D73DDE" w:rsidRPr="00F438E9">
        <w:rPr>
          <w:rFonts w:cs="Times New Roman"/>
          <w:sz w:val="24"/>
          <w:szCs w:val="24"/>
        </w:rPr>
        <w:t xml:space="preserve"> or </w:t>
      </w:r>
      <w:r w:rsidR="00662DF5" w:rsidRPr="00F438E9">
        <w:rPr>
          <w:rFonts w:cs="Times New Roman"/>
          <w:sz w:val="24"/>
          <w:szCs w:val="24"/>
        </w:rPr>
        <w:t>loss</w:t>
      </w:r>
      <w:r w:rsidRPr="00F438E9">
        <w:rPr>
          <w:rFonts w:cs="Times New Roman"/>
          <w:sz w:val="24"/>
          <w:szCs w:val="24"/>
        </w:rPr>
        <w:t>.</w:t>
      </w:r>
    </w:p>
    <w:p w14:paraId="2E240C5C" w14:textId="77777777" w:rsidR="0091663D" w:rsidRPr="005B57A6" w:rsidRDefault="0091663D" w:rsidP="0091663D">
      <w:pPr>
        <w:spacing w:line="480" w:lineRule="auto"/>
        <w:jc w:val="both"/>
        <w:rPr>
          <w:rFonts w:cs="Times New Roman"/>
          <w:b/>
          <w:sz w:val="24"/>
          <w:szCs w:val="24"/>
        </w:rPr>
      </w:pPr>
      <w:r w:rsidRPr="005B57A6">
        <w:rPr>
          <w:rFonts w:cs="Times New Roman"/>
          <w:b/>
          <w:sz w:val="24"/>
          <w:szCs w:val="24"/>
        </w:rPr>
        <w:t>Tumour mutational burden (TMB) and Copy-number burden (CNB)</w:t>
      </w:r>
    </w:p>
    <w:p w14:paraId="2E223BD2" w14:textId="37FAE3D7" w:rsidR="0091663D" w:rsidRPr="00F438E9" w:rsidRDefault="0091663D" w:rsidP="0091663D">
      <w:pPr>
        <w:spacing w:line="480" w:lineRule="auto"/>
        <w:jc w:val="both"/>
        <w:rPr>
          <w:rFonts w:cs="Times New Roman"/>
          <w:sz w:val="24"/>
          <w:szCs w:val="24"/>
        </w:rPr>
      </w:pPr>
      <w:r w:rsidRPr="0091663D">
        <w:rPr>
          <w:rFonts w:cs="Times New Roman"/>
          <w:sz w:val="24"/>
          <w:szCs w:val="24"/>
        </w:rPr>
        <w:t xml:space="preserve">For each sample, the total number of somatic nucleotide variants (SNVs) were divided by the total number of bases sequenced (at &gt;=10x read depth with mapping quality score &gt;= 30 and </w:t>
      </w:r>
      <w:proofErr w:type="spellStart"/>
      <w:r w:rsidRPr="0091663D">
        <w:rPr>
          <w:rFonts w:cs="Times New Roman"/>
          <w:sz w:val="24"/>
          <w:szCs w:val="24"/>
        </w:rPr>
        <w:t>phred</w:t>
      </w:r>
      <w:proofErr w:type="spellEnd"/>
      <w:r w:rsidRPr="0091663D">
        <w:rPr>
          <w:rFonts w:cs="Times New Roman"/>
          <w:sz w:val="24"/>
          <w:szCs w:val="24"/>
        </w:rPr>
        <w:t xml:space="preserve"> score quality &gt;=20), to get the value of mutation count per sequenced base. This value was expressed in per </w:t>
      </w:r>
      <w:proofErr w:type="spellStart"/>
      <w:r w:rsidRPr="0091663D">
        <w:rPr>
          <w:rFonts w:cs="Times New Roman"/>
          <w:sz w:val="24"/>
          <w:szCs w:val="24"/>
        </w:rPr>
        <w:t>Megabase</w:t>
      </w:r>
      <w:proofErr w:type="spellEnd"/>
      <w:r w:rsidRPr="0091663D">
        <w:rPr>
          <w:rFonts w:cs="Times New Roman"/>
          <w:sz w:val="24"/>
          <w:szCs w:val="24"/>
        </w:rPr>
        <w:t xml:space="preserve"> to derive the tumour mutational burden. For copy-number burden calculation, the total size of segments with mean value &gt;=0.1 or, &lt;= -0.1 </w:t>
      </w:r>
      <w:r w:rsidRPr="0091663D">
        <w:rPr>
          <w:rFonts w:cs="Times New Roman"/>
          <w:sz w:val="24"/>
          <w:szCs w:val="24"/>
        </w:rPr>
        <w:lastRenderedPageBreak/>
        <w:t>were calculated per sample and divided by the total size of the autosomal genome (</w:t>
      </w:r>
      <w:proofErr w:type="spellStart"/>
      <w:r w:rsidRPr="0091663D">
        <w:rPr>
          <w:rFonts w:cs="Times New Roman"/>
          <w:sz w:val="24"/>
          <w:szCs w:val="24"/>
        </w:rPr>
        <w:t>chrX</w:t>
      </w:r>
      <w:proofErr w:type="spellEnd"/>
      <w:r w:rsidRPr="0091663D">
        <w:rPr>
          <w:rFonts w:cs="Times New Roman"/>
          <w:sz w:val="24"/>
          <w:szCs w:val="24"/>
        </w:rPr>
        <w:t xml:space="preserve"> and </w:t>
      </w:r>
      <w:proofErr w:type="spellStart"/>
      <w:r w:rsidRPr="0091663D">
        <w:rPr>
          <w:rFonts w:cs="Times New Roman"/>
          <w:sz w:val="24"/>
          <w:szCs w:val="24"/>
        </w:rPr>
        <w:t>chrY</w:t>
      </w:r>
      <w:proofErr w:type="spellEnd"/>
      <w:r w:rsidRPr="0091663D">
        <w:rPr>
          <w:rFonts w:cs="Times New Roman"/>
          <w:sz w:val="24"/>
          <w:szCs w:val="24"/>
        </w:rPr>
        <w:t xml:space="preserve"> were excluded) to derive the fraction of genome under copy-number.</w:t>
      </w:r>
    </w:p>
    <w:p w14:paraId="7A0C4502" w14:textId="77777777" w:rsidR="00EC33B0" w:rsidRPr="00F438E9" w:rsidRDefault="00EC33B0" w:rsidP="00F438E9">
      <w:pPr>
        <w:spacing w:line="480" w:lineRule="auto"/>
        <w:rPr>
          <w:rFonts w:cs="Times New Roman"/>
          <w:b/>
          <w:bCs/>
          <w:sz w:val="24"/>
          <w:szCs w:val="24"/>
        </w:rPr>
      </w:pPr>
      <w:r w:rsidRPr="00F438E9">
        <w:rPr>
          <w:rFonts w:cs="Times New Roman"/>
          <w:b/>
          <w:bCs/>
          <w:i/>
          <w:iCs/>
          <w:sz w:val="24"/>
          <w:szCs w:val="24"/>
        </w:rPr>
        <w:t>In-silico</w:t>
      </w:r>
      <w:r w:rsidRPr="00F438E9">
        <w:rPr>
          <w:rFonts w:cs="Times New Roman"/>
          <w:b/>
          <w:bCs/>
          <w:sz w:val="24"/>
          <w:szCs w:val="24"/>
        </w:rPr>
        <w:t xml:space="preserve"> estimation of tumour purity</w:t>
      </w:r>
    </w:p>
    <w:p w14:paraId="1679ADFD" w14:textId="13E19CCD" w:rsidR="00EC33B0" w:rsidRPr="00F438E9" w:rsidRDefault="00EC33B0" w:rsidP="00F438E9">
      <w:pPr>
        <w:spacing w:line="480" w:lineRule="auto"/>
        <w:jc w:val="both"/>
        <w:rPr>
          <w:rFonts w:cs="Times New Roman"/>
          <w:sz w:val="24"/>
          <w:szCs w:val="24"/>
        </w:rPr>
      </w:pPr>
      <w:r w:rsidRPr="00F438E9">
        <w:rPr>
          <w:rFonts w:cs="Times New Roman"/>
          <w:sz w:val="24"/>
          <w:szCs w:val="24"/>
        </w:rPr>
        <w:t xml:space="preserve">Tumour cellularity estimation as a surrogate marker for tumour purity, was done using </w:t>
      </w:r>
      <w:proofErr w:type="spellStart"/>
      <w:r w:rsidRPr="00F438E9">
        <w:rPr>
          <w:rFonts w:cs="Times New Roman"/>
          <w:sz w:val="24"/>
          <w:szCs w:val="24"/>
        </w:rPr>
        <w:t>Sequenza</w:t>
      </w:r>
      <w:proofErr w:type="spellEnd"/>
      <w:r w:rsidRPr="00F438E9">
        <w:rPr>
          <w:rFonts w:cs="Times New Roman"/>
          <w:sz w:val="24"/>
          <w:szCs w:val="24"/>
        </w:rPr>
        <w:t xml:space="preserve"> </w:t>
      </w:r>
      <w:r w:rsidR="003F40EF" w:rsidRPr="00F438E9">
        <w:rPr>
          <w:rFonts w:cs="Times New Roman"/>
          <w:sz w:val="24"/>
          <w:szCs w:val="24"/>
        </w:rPr>
        <w:t>(version 3.0.0)</w:t>
      </w:r>
      <w:r w:rsidRPr="00F438E9">
        <w:rPr>
          <w:rFonts w:cs="Times New Roman"/>
          <w:sz w:val="24"/>
          <w:szCs w:val="24"/>
        </w:rPr>
        <w:t xml:space="preserve"> </w:t>
      </w:r>
      <w:r w:rsidR="009569EE" w:rsidRPr="00F438E9">
        <w:rPr>
          <w:rFonts w:cs="Times New Roman"/>
          <w:b/>
          <w:sz w:val="24"/>
          <w:szCs w:val="24"/>
        </w:rPr>
        <w:t>(1</w:t>
      </w:r>
      <w:r w:rsidR="0091663D">
        <w:rPr>
          <w:rFonts w:cs="Times New Roman"/>
          <w:b/>
          <w:sz w:val="24"/>
          <w:szCs w:val="24"/>
        </w:rPr>
        <w:t>1</w:t>
      </w:r>
      <w:r w:rsidR="009569EE" w:rsidRPr="00F438E9">
        <w:rPr>
          <w:rFonts w:cs="Times New Roman"/>
          <w:b/>
          <w:sz w:val="24"/>
          <w:szCs w:val="24"/>
        </w:rPr>
        <w:t xml:space="preserve">) </w:t>
      </w:r>
      <w:r w:rsidRPr="00F438E9">
        <w:rPr>
          <w:rFonts w:cs="Times New Roman"/>
          <w:sz w:val="24"/>
          <w:szCs w:val="24"/>
        </w:rPr>
        <w:t xml:space="preserve">method by comparing somatic variant allele frequencies and the log-ratio of read-depth in tumour versus the paired normal WES. Briefly, homozygous and heterozygous position and read-depth ratio information are extracted from the alignment data in genomic window bins of 50bp along with GC content normalisation. A probabilistic model is then fit to estimate the tumour cellularity (or, purity) and overall ploidy </w:t>
      </w:r>
      <w:r w:rsidR="0091663D">
        <w:rPr>
          <w:rFonts w:cs="Times New Roman"/>
          <w:sz w:val="24"/>
          <w:szCs w:val="24"/>
        </w:rPr>
        <w:t>on a per</w:t>
      </w:r>
      <w:r w:rsidRPr="00F438E9">
        <w:rPr>
          <w:rFonts w:cs="Times New Roman"/>
          <w:sz w:val="24"/>
          <w:szCs w:val="24"/>
        </w:rPr>
        <w:t xml:space="preserve"> sample</w:t>
      </w:r>
      <w:r w:rsidR="0091663D">
        <w:rPr>
          <w:rFonts w:cs="Times New Roman"/>
          <w:sz w:val="24"/>
          <w:szCs w:val="24"/>
        </w:rPr>
        <w:t xml:space="preserve"> basis</w:t>
      </w:r>
      <w:r w:rsidRPr="00F438E9">
        <w:rPr>
          <w:rFonts w:cs="Times New Roman"/>
          <w:sz w:val="24"/>
          <w:szCs w:val="24"/>
        </w:rPr>
        <w:t>.</w:t>
      </w:r>
    </w:p>
    <w:p w14:paraId="353C2086" w14:textId="77777777" w:rsidR="00EC33B0" w:rsidRPr="00F438E9" w:rsidRDefault="00EC33B0" w:rsidP="00F438E9">
      <w:pPr>
        <w:spacing w:line="480" w:lineRule="auto"/>
        <w:rPr>
          <w:rFonts w:cs="Times New Roman"/>
          <w:b/>
          <w:sz w:val="24"/>
          <w:szCs w:val="24"/>
        </w:rPr>
      </w:pPr>
      <w:r w:rsidRPr="00F438E9">
        <w:rPr>
          <w:rFonts w:cs="Times New Roman"/>
          <w:b/>
          <w:sz w:val="24"/>
          <w:szCs w:val="24"/>
        </w:rPr>
        <w:t>Homologous recombination deficiency (HRD) estimation</w:t>
      </w:r>
    </w:p>
    <w:p w14:paraId="125738F3" w14:textId="4415E300" w:rsidR="00EC33B0" w:rsidRPr="00F438E9" w:rsidRDefault="00EC33B0" w:rsidP="00F438E9">
      <w:pPr>
        <w:spacing w:line="480" w:lineRule="auto"/>
        <w:jc w:val="both"/>
        <w:rPr>
          <w:rFonts w:cs="Times New Roman"/>
          <w:sz w:val="24"/>
          <w:szCs w:val="24"/>
        </w:rPr>
      </w:pPr>
      <w:r w:rsidRPr="00F438E9">
        <w:rPr>
          <w:rFonts w:cs="Times New Roman"/>
          <w:sz w:val="24"/>
          <w:szCs w:val="24"/>
        </w:rPr>
        <w:t xml:space="preserve">The three indices of HR deficiency: Telomeric Allelic Imbalance (HRD-TAI), Loss-Of-Heterozygosity profiles (HRD-LOH) and Large-scale State Transitions (HRD-LST) were estimated per tumour sample using </w:t>
      </w:r>
      <w:proofErr w:type="spellStart"/>
      <w:r w:rsidRPr="00F438E9">
        <w:rPr>
          <w:rFonts w:cs="Times New Roman"/>
          <w:sz w:val="24"/>
          <w:szCs w:val="24"/>
        </w:rPr>
        <w:t>scarHRD</w:t>
      </w:r>
      <w:proofErr w:type="spellEnd"/>
      <w:r w:rsidRPr="00F438E9">
        <w:rPr>
          <w:rFonts w:cs="Times New Roman"/>
          <w:sz w:val="24"/>
          <w:szCs w:val="24"/>
        </w:rPr>
        <w:t xml:space="preserve"> package </w:t>
      </w:r>
      <w:r w:rsidR="009569EE" w:rsidRPr="00F438E9">
        <w:rPr>
          <w:rFonts w:cs="Times New Roman"/>
          <w:b/>
          <w:sz w:val="24"/>
          <w:szCs w:val="24"/>
        </w:rPr>
        <w:t>(1</w:t>
      </w:r>
      <w:r w:rsidR="0091663D">
        <w:rPr>
          <w:rFonts w:cs="Times New Roman"/>
          <w:b/>
          <w:sz w:val="24"/>
          <w:szCs w:val="24"/>
        </w:rPr>
        <w:t>2</w:t>
      </w:r>
      <w:r w:rsidR="009569EE" w:rsidRPr="00F438E9">
        <w:rPr>
          <w:rFonts w:cs="Times New Roman"/>
          <w:b/>
          <w:sz w:val="24"/>
          <w:szCs w:val="24"/>
        </w:rPr>
        <w:t>)</w:t>
      </w:r>
      <w:r w:rsidR="000420CA" w:rsidRPr="00F438E9">
        <w:rPr>
          <w:rFonts w:cs="Times New Roman"/>
          <w:sz w:val="24"/>
          <w:szCs w:val="24"/>
        </w:rPr>
        <w:t xml:space="preserve"> </w:t>
      </w:r>
      <w:r w:rsidRPr="00F438E9">
        <w:rPr>
          <w:rFonts w:cs="Times New Roman"/>
          <w:sz w:val="24"/>
          <w:szCs w:val="24"/>
        </w:rPr>
        <w:t xml:space="preserve">on the processed output from </w:t>
      </w:r>
      <w:proofErr w:type="spellStart"/>
      <w:r w:rsidRPr="00F438E9">
        <w:rPr>
          <w:rFonts w:cs="Times New Roman"/>
          <w:sz w:val="24"/>
          <w:szCs w:val="24"/>
        </w:rPr>
        <w:t>Sequenza</w:t>
      </w:r>
      <w:proofErr w:type="spellEnd"/>
      <w:r w:rsidRPr="00F438E9">
        <w:rPr>
          <w:rFonts w:cs="Times New Roman"/>
          <w:sz w:val="24"/>
          <w:szCs w:val="24"/>
        </w:rPr>
        <w:t>. To create a homogenized score from the sum of the scores of the three indices, z-score transformation was applied.</w:t>
      </w:r>
    </w:p>
    <w:p w14:paraId="0A37501D" w14:textId="77777777" w:rsidR="00EC33B0" w:rsidRPr="00F438E9" w:rsidRDefault="00EC33B0" w:rsidP="00F438E9">
      <w:pPr>
        <w:spacing w:line="480" w:lineRule="auto"/>
        <w:rPr>
          <w:rFonts w:cs="Times New Roman"/>
          <w:sz w:val="24"/>
          <w:szCs w:val="24"/>
        </w:rPr>
      </w:pPr>
    </w:p>
    <w:p w14:paraId="45A7C8A9" w14:textId="77777777" w:rsidR="00EC33B0" w:rsidRPr="00F438E9" w:rsidRDefault="00EC33B0" w:rsidP="00F438E9">
      <w:pPr>
        <w:spacing w:line="480" w:lineRule="auto"/>
        <w:rPr>
          <w:rFonts w:cs="Times New Roman"/>
          <w:b/>
          <w:sz w:val="24"/>
          <w:szCs w:val="24"/>
        </w:rPr>
      </w:pPr>
      <w:r w:rsidRPr="00F438E9">
        <w:rPr>
          <w:rFonts w:cs="Times New Roman"/>
          <w:b/>
          <w:sz w:val="24"/>
          <w:szCs w:val="24"/>
        </w:rPr>
        <w:t>RNA Sequencing</w:t>
      </w:r>
    </w:p>
    <w:p w14:paraId="2A1D75B0" w14:textId="77777777" w:rsidR="00EC33B0" w:rsidRPr="00F438E9" w:rsidRDefault="00EC33B0" w:rsidP="00F438E9">
      <w:pPr>
        <w:spacing w:line="480" w:lineRule="auto"/>
        <w:outlineLvl w:val="0"/>
        <w:rPr>
          <w:rFonts w:cs="Times New Roman"/>
          <w:sz w:val="24"/>
          <w:szCs w:val="24"/>
        </w:rPr>
      </w:pPr>
      <w:r w:rsidRPr="00F438E9">
        <w:rPr>
          <w:rFonts w:cs="Times New Roman"/>
          <w:b/>
          <w:sz w:val="24"/>
          <w:szCs w:val="24"/>
        </w:rPr>
        <w:t>Alignment and expression quantification</w:t>
      </w:r>
      <w:r w:rsidRPr="00F438E9">
        <w:rPr>
          <w:rFonts w:cs="Times New Roman"/>
          <w:sz w:val="24"/>
          <w:szCs w:val="24"/>
        </w:rPr>
        <w:t xml:space="preserve"> </w:t>
      </w:r>
    </w:p>
    <w:p w14:paraId="64291A74" w14:textId="19662A73" w:rsidR="00EC33B0" w:rsidRPr="00F438E9" w:rsidRDefault="00EC33B0" w:rsidP="00F438E9">
      <w:pPr>
        <w:spacing w:line="480" w:lineRule="auto"/>
        <w:jc w:val="both"/>
        <w:outlineLvl w:val="0"/>
        <w:rPr>
          <w:rFonts w:cs="Times New Roman"/>
          <w:sz w:val="24"/>
          <w:szCs w:val="24"/>
        </w:rPr>
      </w:pPr>
      <w:r w:rsidRPr="00F438E9">
        <w:rPr>
          <w:rFonts w:cs="Times New Roman"/>
          <w:sz w:val="24"/>
          <w:szCs w:val="24"/>
        </w:rPr>
        <w:t xml:space="preserve">QC processed reads were mapped to the human reference genome (GRCh37) and the transcriptome (GTF annotation reference </w:t>
      </w:r>
      <w:proofErr w:type="spellStart"/>
      <w:r w:rsidRPr="00F438E9">
        <w:rPr>
          <w:rFonts w:cs="Times New Roman"/>
          <w:sz w:val="24"/>
          <w:szCs w:val="24"/>
        </w:rPr>
        <w:t>Ensembl</w:t>
      </w:r>
      <w:proofErr w:type="spellEnd"/>
      <w:r w:rsidRPr="00F438E9">
        <w:rPr>
          <w:rFonts w:cs="Times New Roman"/>
          <w:sz w:val="24"/>
          <w:szCs w:val="24"/>
        </w:rPr>
        <w:t xml:space="preserve"> rel.87) using STAR aligner (ver. 2.5.2b)</w:t>
      </w:r>
      <w:r w:rsidR="000420CA" w:rsidRPr="00F438E9">
        <w:rPr>
          <w:rFonts w:cs="Times New Roman"/>
          <w:sz w:val="24"/>
          <w:szCs w:val="24"/>
        </w:rPr>
        <w:t xml:space="preserve"> </w:t>
      </w:r>
      <w:r w:rsidR="009569EE" w:rsidRPr="00F438E9">
        <w:rPr>
          <w:rFonts w:cs="Times New Roman"/>
          <w:b/>
          <w:sz w:val="24"/>
          <w:szCs w:val="24"/>
        </w:rPr>
        <w:lastRenderedPageBreak/>
        <w:t>(1</w:t>
      </w:r>
      <w:r w:rsidR="0091663D">
        <w:rPr>
          <w:rFonts w:cs="Times New Roman"/>
          <w:b/>
          <w:sz w:val="24"/>
          <w:szCs w:val="24"/>
        </w:rPr>
        <w:t>3</w:t>
      </w:r>
      <w:r w:rsidR="009569EE" w:rsidRPr="00F438E9">
        <w:rPr>
          <w:rFonts w:cs="Times New Roman"/>
          <w:b/>
          <w:sz w:val="24"/>
          <w:szCs w:val="24"/>
        </w:rPr>
        <w:t>)</w:t>
      </w:r>
      <w:r w:rsidRPr="00F438E9">
        <w:rPr>
          <w:rFonts w:cs="Times New Roman"/>
          <w:sz w:val="24"/>
          <w:szCs w:val="24"/>
        </w:rPr>
        <w:t xml:space="preserve">. Gene level count data was obtained for each of the </w:t>
      </w:r>
      <w:r w:rsidR="007157ED" w:rsidRPr="00F438E9">
        <w:rPr>
          <w:rFonts w:cs="Times New Roman"/>
          <w:sz w:val="24"/>
          <w:szCs w:val="24"/>
        </w:rPr>
        <w:t xml:space="preserve">78 </w:t>
      </w:r>
      <w:r w:rsidRPr="00F438E9">
        <w:rPr>
          <w:rFonts w:cs="Times New Roman"/>
          <w:sz w:val="24"/>
          <w:szCs w:val="24"/>
        </w:rPr>
        <w:t>samples using the –</w:t>
      </w:r>
      <w:proofErr w:type="spellStart"/>
      <w:r w:rsidRPr="00F438E9">
        <w:rPr>
          <w:rFonts w:cs="Times New Roman"/>
          <w:sz w:val="24"/>
          <w:szCs w:val="24"/>
        </w:rPr>
        <w:t>quantMode</w:t>
      </w:r>
      <w:proofErr w:type="spellEnd"/>
      <w:r w:rsidRPr="00F438E9">
        <w:rPr>
          <w:rFonts w:cs="Times New Roman"/>
          <w:sz w:val="24"/>
          <w:szCs w:val="24"/>
        </w:rPr>
        <w:t xml:space="preserve"> option in STAR.</w:t>
      </w:r>
    </w:p>
    <w:p w14:paraId="4EE63B8D" w14:textId="77777777" w:rsidR="00EC33B0" w:rsidRPr="00F438E9" w:rsidRDefault="00EC33B0" w:rsidP="00F438E9">
      <w:pPr>
        <w:spacing w:line="480" w:lineRule="auto"/>
        <w:outlineLvl w:val="0"/>
        <w:rPr>
          <w:rFonts w:cs="Times New Roman"/>
          <w:b/>
          <w:sz w:val="24"/>
          <w:szCs w:val="24"/>
        </w:rPr>
      </w:pPr>
      <w:r w:rsidRPr="00F438E9">
        <w:rPr>
          <w:rFonts w:cs="Times New Roman"/>
          <w:b/>
          <w:sz w:val="24"/>
          <w:szCs w:val="24"/>
        </w:rPr>
        <w:t>Normalization and differential expression</w:t>
      </w:r>
    </w:p>
    <w:p w14:paraId="14EBB4E7" w14:textId="46259A3A" w:rsidR="00EC33B0" w:rsidRPr="00F438E9" w:rsidRDefault="00EC33B0" w:rsidP="00F438E9">
      <w:pPr>
        <w:spacing w:line="480" w:lineRule="auto"/>
        <w:jc w:val="both"/>
        <w:outlineLvl w:val="0"/>
        <w:rPr>
          <w:rFonts w:cs="Times New Roman"/>
          <w:sz w:val="24"/>
          <w:szCs w:val="24"/>
        </w:rPr>
      </w:pPr>
      <w:r w:rsidRPr="00F438E9">
        <w:rPr>
          <w:rFonts w:cs="Times New Roman"/>
          <w:sz w:val="24"/>
          <w:szCs w:val="24"/>
        </w:rPr>
        <w:t xml:space="preserve">Gene level raw read counts from all samples were combined and used as input to </w:t>
      </w:r>
      <w:proofErr w:type="spellStart"/>
      <w:r w:rsidRPr="00F438E9">
        <w:rPr>
          <w:rFonts w:cs="Times New Roman"/>
          <w:sz w:val="24"/>
          <w:szCs w:val="24"/>
        </w:rPr>
        <w:t>limma</w:t>
      </w:r>
      <w:proofErr w:type="spellEnd"/>
      <w:r w:rsidRPr="00F438E9">
        <w:rPr>
          <w:rFonts w:cs="Times New Roman"/>
          <w:sz w:val="24"/>
          <w:szCs w:val="24"/>
        </w:rPr>
        <w:t xml:space="preserve"> package in R (ver. 3.4.0), where the data was normalised using the </w:t>
      </w:r>
      <w:proofErr w:type="spellStart"/>
      <w:r w:rsidRPr="00F438E9">
        <w:rPr>
          <w:rFonts w:cs="Times New Roman"/>
          <w:sz w:val="24"/>
          <w:szCs w:val="24"/>
        </w:rPr>
        <w:t>voom</w:t>
      </w:r>
      <w:proofErr w:type="spellEnd"/>
      <w:r w:rsidRPr="00F438E9">
        <w:rPr>
          <w:rFonts w:cs="Times New Roman"/>
          <w:sz w:val="24"/>
          <w:szCs w:val="24"/>
        </w:rPr>
        <w:t xml:space="preserve"> method </w:t>
      </w:r>
      <w:r w:rsidR="000420CA" w:rsidRPr="00F438E9">
        <w:rPr>
          <w:rFonts w:cs="Times New Roman"/>
          <w:b/>
          <w:sz w:val="24"/>
          <w:szCs w:val="24"/>
        </w:rPr>
        <w:t>(1</w:t>
      </w:r>
      <w:r w:rsidR="0091663D">
        <w:rPr>
          <w:rFonts w:cs="Times New Roman"/>
          <w:b/>
          <w:sz w:val="24"/>
          <w:szCs w:val="24"/>
        </w:rPr>
        <w:t>4</w:t>
      </w:r>
      <w:r w:rsidR="000420CA" w:rsidRPr="00F438E9">
        <w:rPr>
          <w:rFonts w:cs="Times New Roman"/>
          <w:b/>
          <w:sz w:val="24"/>
          <w:szCs w:val="24"/>
        </w:rPr>
        <w:t>)</w:t>
      </w:r>
      <w:r w:rsidR="000420CA" w:rsidRPr="00F438E9">
        <w:rPr>
          <w:rFonts w:cs="Times New Roman"/>
          <w:sz w:val="24"/>
          <w:szCs w:val="24"/>
        </w:rPr>
        <w:t xml:space="preserve"> </w:t>
      </w:r>
      <w:r w:rsidRPr="00F438E9">
        <w:rPr>
          <w:rFonts w:cs="Times New Roman"/>
          <w:sz w:val="24"/>
          <w:szCs w:val="24"/>
        </w:rPr>
        <w:t xml:space="preserve">which performs variance stabilisation and returns log-transformed normalized count values. These values were then used for differential expression comparisons using the empirical Bayes method within the </w:t>
      </w:r>
      <w:proofErr w:type="spellStart"/>
      <w:r w:rsidRPr="00F438E9">
        <w:rPr>
          <w:rFonts w:cs="Times New Roman"/>
          <w:sz w:val="24"/>
          <w:szCs w:val="24"/>
        </w:rPr>
        <w:t>limma</w:t>
      </w:r>
      <w:proofErr w:type="spellEnd"/>
      <w:r w:rsidRPr="00F438E9">
        <w:rPr>
          <w:rFonts w:cs="Times New Roman"/>
          <w:sz w:val="24"/>
          <w:szCs w:val="24"/>
        </w:rPr>
        <w:t xml:space="preserve"> (version 3.4</w:t>
      </w:r>
      <w:r w:rsidR="00A62861" w:rsidRPr="00F438E9">
        <w:rPr>
          <w:rFonts w:cs="Times New Roman"/>
          <w:sz w:val="24"/>
          <w:szCs w:val="24"/>
        </w:rPr>
        <w:t>4.1</w:t>
      </w:r>
      <w:r w:rsidRPr="00F438E9">
        <w:rPr>
          <w:rFonts w:cs="Times New Roman"/>
          <w:sz w:val="24"/>
          <w:szCs w:val="24"/>
        </w:rPr>
        <w:t>) package.</w:t>
      </w:r>
    </w:p>
    <w:p w14:paraId="38B2771C" w14:textId="77777777" w:rsidR="00EC33B0" w:rsidRPr="00F438E9" w:rsidRDefault="00EC33B0" w:rsidP="00F438E9">
      <w:pPr>
        <w:spacing w:line="480" w:lineRule="auto"/>
        <w:jc w:val="both"/>
        <w:outlineLvl w:val="0"/>
        <w:rPr>
          <w:rFonts w:cs="Times New Roman"/>
          <w:b/>
          <w:sz w:val="24"/>
          <w:szCs w:val="24"/>
        </w:rPr>
      </w:pPr>
      <w:r w:rsidRPr="00F438E9">
        <w:rPr>
          <w:rFonts w:cs="Times New Roman"/>
          <w:b/>
          <w:sz w:val="24"/>
          <w:szCs w:val="24"/>
        </w:rPr>
        <w:t>Functional enrichment analysis</w:t>
      </w:r>
    </w:p>
    <w:p w14:paraId="2E228F44" w14:textId="1D500550" w:rsidR="00EC33B0" w:rsidRPr="005B57A6" w:rsidRDefault="00EC33B0" w:rsidP="00F438E9">
      <w:pPr>
        <w:spacing w:line="480" w:lineRule="auto"/>
        <w:jc w:val="both"/>
        <w:outlineLvl w:val="0"/>
        <w:rPr>
          <w:rFonts w:cs="Times New Roman"/>
          <w:color w:val="000000" w:themeColor="text1"/>
          <w:sz w:val="24"/>
          <w:szCs w:val="24"/>
        </w:rPr>
      </w:pPr>
      <w:r w:rsidRPr="00F438E9">
        <w:rPr>
          <w:rFonts w:cs="Times New Roman"/>
          <w:sz w:val="24"/>
          <w:szCs w:val="24"/>
        </w:rPr>
        <w:t xml:space="preserve">To further assess function of differentially expressed genes (DEGs), we carried out </w:t>
      </w:r>
      <w:r w:rsidR="0072153E" w:rsidRPr="00F438E9">
        <w:rPr>
          <w:rFonts w:cs="Times New Roman"/>
          <w:sz w:val="24"/>
          <w:szCs w:val="24"/>
        </w:rPr>
        <w:t>g</w:t>
      </w:r>
      <w:r w:rsidRPr="00F438E9">
        <w:rPr>
          <w:rFonts w:cs="Times New Roman"/>
          <w:sz w:val="24"/>
          <w:szCs w:val="24"/>
        </w:rPr>
        <w:t>ene set enrichment analys</w:t>
      </w:r>
      <w:r w:rsidR="0072153E" w:rsidRPr="00F438E9">
        <w:rPr>
          <w:rFonts w:cs="Times New Roman"/>
          <w:sz w:val="24"/>
          <w:szCs w:val="24"/>
        </w:rPr>
        <w:t>i</w:t>
      </w:r>
      <w:r w:rsidRPr="00F438E9">
        <w:rPr>
          <w:rFonts w:cs="Times New Roman"/>
          <w:sz w:val="24"/>
          <w:szCs w:val="24"/>
        </w:rPr>
        <w:t xml:space="preserve">s using </w:t>
      </w:r>
      <w:r w:rsidR="00662DF5" w:rsidRPr="00F438E9">
        <w:rPr>
          <w:rFonts w:cs="Times New Roman"/>
          <w:sz w:val="24"/>
          <w:szCs w:val="24"/>
        </w:rPr>
        <w:t xml:space="preserve">the </w:t>
      </w:r>
      <w:proofErr w:type="spellStart"/>
      <w:r w:rsidRPr="00F438E9">
        <w:rPr>
          <w:rFonts w:cs="Times New Roman"/>
          <w:sz w:val="24"/>
          <w:szCs w:val="24"/>
        </w:rPr>
        <w:t>Enrichr</w:t>
      </w:r>
      <w:proofErr w:type="spellEnd"/>
      <w:r w:rsidRPr="00F438E9">
        <w:rPr>
          <w:rFonts w:cs="Times New Roman"/>
          <w:sz w:val="24"/>
          <w:szCs w:val="24"/>
        </w:rPr>
        <w:t xml:space="preserve"> online tool</w:t>
      </w:r>
      <w:r w:rsidR="000420CA" w:rsidRPr="00F438E9">
        <w:rPr>
          <w:rFonts w:cs="Times New Roman"/>
          <w:sz w:val="24"/>
          <w:szCs w:val="24"/>
        </w:rPr>
        <w:t xml:space="preserve"> </w:t>
      </w:r>
      <w:r w:rsidR="000420CA" w:rsidRPr="00F438E9">
        <w:rPr>
          <w:rFonts w:cs="Times New Roman"/>
          <w:b/>
          <w:sz w:val="24"/>
          <w:szCs w:val="24"/>
        </w:rPr>
        <w:t>(1</w:t>
      </w:r>
      <w:r w:rsidR="0091663D">
        <w:rPr>
          <w:rFonts w:cs="Times New Roman"/>
          <w:b/>
          <w:sz w:val="24"/>
          <w:szCs w:val="24"/>
        </w:rPr>
        <w:t>5</w:t>
      </w:r>
      <w:r w:rsidR="000420CA" w:rsidRPr="00F438E9">
        <w:rPr>
          <w:rFonts w:cs="Times New Roman"/>
          <w:b/>
          <w:sz w:val="24"/>
          <w:szCs w:val="24"/>
        </w:rPr>
        <w:t>)</w:t>
      </w:r>
      <w:r w:rsidRPr="00F438E9">
        <w:rPr>
          <w:rFonts w:cs="Times New Roman"/>
          <w:sz w:val="24"/>
          <w:szCs w:val="24"/>
        </w:rPr>
        <w:t>. The biological processes affected by the DEGs</w:t>
      </w:r>
      <w:r w:rsidR="00E63C83" w:rsidRPr="00F438E9">
        <w:rPr>
          <w:rFonts w:cs="Times New Roman"/>
          <w:sz w:val="24"/>
          <w:szCs w:val="24"/>
        </w:rPr>
        <w:t xml:space="preserve"> (adjusted p-value </w:t>
      </w:r>
      <w:proofErr w:type="spellStart"/>
      <w:r w:rsidR="00E63C83" w:rsidRPr="00F438E9">
        <w:rPr>
          <w:rFonts w:cs="Times New Roman"/>
          <w:sz w:val="24"/>
          <w:szCs w:val="24"/>
        </w:rPr>
        <w:t>cutoff</w:t>
      </w:r>
      <w:proofErr w:type="spellEnd"/>
      <w:r w:rsidR="00E63C83" w:rsidRPr="00F438E9">
        <w:rPr>
          <w:rFonts w:cs="Times New Roman"/>
          <w:sz w:val="24"/>
          <w:szCs w:val="24"/>
        </w:rPr>
        <w:t xml:space="preserve"> 0.05)</w:t>
      </w:r>
      <w:r w:rsidRPr="00F438E9">
        <w:rPr>
          <w:rFonts w:cs="Times New Roman"/>
          <w:sz w:val="24"/>
          <w:szCs w:val="24"/>
        </w:rPr>
        <w:t xml:space="preserve"> were adjudged based on enrichment in gene sets of KEGG (Kyoto </w:t>
      </w:r>
      <w:proofErr w:type="spellStart"/>
      <w:r w:rsidRPr="00F438E9">
        <w:rPr>
          <w:rFonts w:cs="Times New Roman"/>
          <w:sz w:val="24"/>
          <w:szCs w:val="24"/>
        </w:rPr>
        <w:t>Encyclopedia</w:t>
      </w:r>
      <w:proofErr w:type="spellEnd"/>
      <w:r w:rsidRPr="00F438E9">
        <w:rPr>
          <w:rFonts w:cs="Times New Roman"/>
          <w:sz w:val="24"/>
          <w:szCs w:val="24"/>
        </w:rPr>
        <w:t xml:space="preserve"> of Genes and Genomes) pathways.</w:t>
      </w:r>
      <w:r w:rsidR="00E63C83" w:rsidRPr="00F438E9">
        <w:rPr>
          <w:rFonts w:cs="Times New Roman"/>
          <w:sz w:val="24"/>
          <w:szCs w:val="24"/>
        </w:rPr>
        <w:t xml:space="preserve"> We also used a </w:t>
      </w:r>
      <w:proofErr w:type="spellStart"/>
      <w:r w:rsidR="00E63C83" w:rsidRPr="00F438E9">
        <w:rPr>
          <w:rFonts w:cs="Times New Roman"/>
          <w:sz w:val="24"/>
          <w:szCs w:val="24"/>
        </w:rPr>
        <w:t>cutoff</w:t>
      </w:r>
      <w:proofErr w:type="spellEnd"/>
      <w:r w:rsidR="00E63C83" w:rsidRPr="00F438E9">
        <w:rPr>
          <w:rFonts w:cs="Times New Roman"/>
          <w:sz w:val="24"/>
          <w:szCs w:val="24"/>
        </w:rPr>
        <w:t>-free approach implemented in GAGE</w:t>
      </w:r>
      <w:r w:rsidR="007B1B04" w:rsidRPr="00F438E9">
        <w:rPr>
          <w:rFonts w:cs="Times New Roman"/>
          <w:sz w:val="24"/>
          <w:szCs w:val="24"/>
        </w:rPr>
        <w:t xml:space="preserve"> </w:t>
      </w:r>
      <w:r w:rsidR="00E37324" w:rsidRPr="00F438E9">
        <w:rPr>
          <w:rFonts w:cs="Times New Roman"/>
          <w:b/>
          <w:sz w:val="24"/>
          <w:szCs w:val="24"/>
        </w:rPr>
        <w:t>(</w:t>
      </w:r>
      <w:r w:rsidR="009569EE" w:rsidRPr="00F438E9">
        <w:rPr>
          <w:rFonts w:cs="Times New Roman"/>
          <w:b/>
          <w:sz w:val="24"/>
          <w:szCs w:val="24"/>
        </w:rPr>
        <w:t>1</w:t>
      </w:r>
      <w:r w:rsidR="0091663D">
        <w:rPr>
          <w:rFonts w:cs="Times New Roman"/>
          <w:b/>
          <w:sz w:val="24"/>
          <w:szCs w:val="24"/>
        </w:rPr>
        <w:t>6</w:t>
      </w:r>
      <w:r w:rsidR="00E37324" w:rsidRPr="00F438E9">
        <w:rPr>
          <w:rFonts w:cs="Times New Roman"/>
          <w:b/>
          <w:sz w:val="24"/>
          <w:szCs w:val="24"/>
        </w:rPr>
        <w:t>)</w:t>
      </w:r>
      <w:r w:rsidR="00E63C83" w:rsidRPr="00F438E9">
        <w:rPr>
          <w:rFonts w:cs="Times New Roman"/>
          <w:sz w:val="24"/>
          <w:szCs w:val="24"/>
        </w:rPr>
        <w:t xml:space="preserve"> R Bioconductor package (</w:t>
      </w:r>
      <w:r w:rsidR="00A62861" w:rsidRPr="00F438E9">
        <w:rPr>
          <w:rFonts w:cs="Times New Roman"/>
          <w:sz w:val="24"/>
          <w:szCs w:val="24"/>
        </w:rPr>
        <w:t xml:space="preserve">version </w:t>
      </w:r>
      <w:r w:rsidR="00E63C83" w:rsidRPr="00F438E9">
        <w:rPr>
          <w:rFonts w:cs="Times New Roman"/>
          <w:sz w:val="24"/>
          <w:szCs w:val="24"/>
        </w:rPr>
        <w:t xml:space="preserve">2.36.0) to compare the differential expression of genes in </w:t>
      </w:r>
      <w:r w:rsidR="00E37324" w:rsidRPr="00F438E9">
        <w:rPr>
          <w:rFonts w:cs="Times New Roman"/>
          <w:sz w:val="24"/>
          <w:szCs w:val="24"/>
        </w:rPr>
        <w:t>a</w:t>
      </w:r>
      <w:r w:rsidR="00E63C83" w:rsidRPr="00F438E9">
        <w:rPr>
          <w:rFonts w:cs="Times New Roman"/>
          <w:sz w:val="24"/>
          <w:szCs w:val="24"/>
        </w:rPr>
        <w:t xml:space="preserve"> given set to the background of all genes</w:t>
      </w:r>
      <w:r w:rsidR="00E37324" w:rsidRPr="00F438E9">
        <w:rPr>
          <w:rFonts w:cs="Times New Roman"/>
          <w:sz w:val="24"/>
          <w:szCs w:val="24"/>
        </w:rPr>
        <w:t>.</w:t>
      </w:r>
      <w:r w:rsidR="00E63C83" w:rsidRPr="00F438E9">
        <w:rPr>
          <w:rFonts w:cs="Times New Roman"/>
          <w:sz w:val="24"/>
          <w:szCs w:val="24"/>
        </w:rPr>
        <w:t xml:space="preserve"> </w:t>
      </w:r>
      <w:r w:rsidR="00E37324" w:rsidRPr="00F438E9">
        <w:rPr>
          <w:rFonts w:cs="Times New Roman"/>
          <w:sz w:val="24"/>
          <w:szCs w:val="24"/>
        </w:rPr>
        <w:t xml:space="preserve">We </w:t>
      </w:r>
      <w:r w:rsidR="00E63C83" w:rsidRPr="00F438E9">
        <w:rPr>
          <w:rFonts w:cs="Times New Roman"/>
          <w:sz w:val="24"/>
          <w:szCs w:val="24"/>
        </w:rPr>
        <w:t xml:space="preserve">applied </w:t>
      </w:r>
      <w:r w:rsidR="00E37324" w:rsidRPr="00F438E9">
        <w:rPr>
          <w:rFonts w:cs="Times New Roman"/>
          <w:sz w:val="24"/>
          <w:szCs w:val="24"/>
        </w:rPr>
        <w:t xml:space="preserve">the tool </w:t>
      </w:r>
      <w:r w:rsidR="00E63C83" w:rsidRPr="00F438E9">
        <w:rPr>
          <w:rFonts w:cs="Times New Roman"/>
          <w:sz w:val="24"/>
          <w:szCs w:val="24"/>
        </w:rPr>
        <w:t xml:space="preserve">to </w:t>
      </w:r>
      <w:r w:rsidR="00E37324" w:rsidRPr="00F438E9">
        <w:rPr>
          <w:rFonts w:cs="Times New Roman"/>
          <w:sz w:val="24"/>
          <w:szCs w:val="24"/>
        </w:rPr>
        <w:t xml:space="preserve">the </w:t>
      </w:r>
      <w:proofErr w:type="spellStart"/>
      <w:r w:rsidR="00E63C83" w:rsidRPr="00F438E9">
        <w:rPr>
          <w:rFonts w:cs="Times New Roman"/>
          <w:sz w:val="24"/>
          <w:szCs w:val="24"/>
        </w:rPr>
        <w:t>MSigDB</w:t>
      </w:r>
      <w:proofErr w:type="spellEnd"/>
      <w:r w:rsidR="00E63C83" w:rsidRPr="00F438E9">
        <w:rPr>
          <w:rFonts w:cs="Times New Roman"/>
          <w:sz w:val="24"/>
          <w:szCs w:val="24"/>
        </w:rPr>
        <w:t xml:space="preserve"> hallmark gene set</w:t>
      </w:r>
      <w:r w:rsidR="00E37324" w:rsidRPr="00F438E9">
        <w:rPr>
          <w:rFonts w:cs="Times New Roman"/>
          <w:sz w:val="24"/>
          <w:szCs w:val="24"/>
        </w:rPr>
        <w:t xml:space="preserve"> collection available from</w:t>
      </w:r>
      <w:r w:rsidR="005B57A6">
        <w:rPr>
          <w:rFonts w:cs="Times New Roman"/>
          <w:sz w:val="24"/>
          <w:szCs w:val="24"/>
        </w:rPr>
        <w:t xml:space="preserve"> </w:t>
      </w:r>
      <w:r w:rsidR="005B57A6" w:rsidRPr="005B57A6">
        <w:rPr>
          <w:rFonts w:cs="Times New Roman"/>
          <w:sz w:val="24"/>
          <w:szCs w:val="24"/>
        </w:rPr>
        <w:t>https://www.gsea-msigdb.org/gsea/msigdb/collections.jsp.</w:t>
      </w:r>
    </w:p>
    <w:p w14:paraId="464C751D" w14:textId="77777777" w:rsidR="0091663D" w:rsidRPr="005B57A6" w:rsidRDefault="0091663D" w:rsidP="0091663D">
      <w:pPr>
        <w:spacing w:line="480" w:lineRule="auto"/>
        <w:jc w:val="both"/>
        <w:outlineLvl w:val="0"/>
        <w:rPr>
          <w:rFonts w:cs="Times New Roman"/>
          <w:b/>
          <w:sz w:val="24"/>
          <w:szCs w:val="24"/>
        </w:rPr>
      </w:pPr>
      <w:r w:rsidRPr="005B57A6">
        <w:rPr>
          <w:rFonts w:cs="Times New Roman"/>
          <w:b/>
          <w:sz w:val="24"/>
          <w:szCs w:val="24"/>
        </w:rPr>
        <w:t>Genetic alteration versus gene expression</w:t>
      </w:r>
    </w:p>
    <w:p w14:paraId="14F8F9FA" w14:textId="7E35B4A5" w:rsidR="0091663D" w:rsidRPr="00F438E9" w:rsidRDefault="0091663D" w:rsidP="0091663D">
      <w:pPr>
        <w:spacing w:line="480" w:lineRule="auto"/>
        <w:jc w:val="both"/>
        <w:outlineLvl w:val="0"/>
        <w:rPr>
          <w:rFonts w:cs="Times New Roman"/>
          <w:sz w:val="24"/>
          <w:szCs w:val="24"/>
        </w:rPr>
      </w:pPr>
      <w:r w:rsidRPr="0091663D">
        <w:rPr>
          <w:rFonts w:cs="Times New Roman"/>
          <w:sz w:val="24"/>
          <w:szCs w:val="24"/>
        </w:rPr>
        <w:t xml:space="preserve">Samples altered for either ARNT or ERBB2, were compared with the samples wild-type for the respective gene. Differential gene expression using R package </w:t>
      </w:r>
      <w:proofErr w:type="spellStart"/>
      <w:r w:rsidRPr="0091663D">
        <w:rPr>
          <w:rFonts w:cs="Times New Roman"/>
          <w:sz w:val="24"/>
          <w:szCs w:val="24"/>
        </w:rPr>
        <w:t>limma</w:t>
      </w:r>
      <w:proofErr w:type="spellEnd"/>
      <w:r w:rsidRPr="0091663D">
        <w:rPr>
          <w:rFonts w:cs="Times New Roman"/>
          <w:sz w:val="24"/>
          <w:szCs w:val="24"/>
        </w:rPr>
        <w:t xml:space="preserve"> (v.3.50.0), was assessed with adjustment for tumour grade and at adjusted (</w:t>
      </w:r>
      <w:proofErr w:type="spellStart"/>
      <w:r w:rsidRPr="0091663D">
        <w:rPr>
          <w:rFonts w:cs="Times New Roman"/>
          <w:sz w:val="24"/>
          <w:szCs w:val="24"/>
        </w:rPr>
        <w:t>Benjamini</w:t>
      </w:r>
      <w:proofErr w:type="spellEnd"/>
      <w:r w:rsidRPr="0091663D">
        <w:rPr>
          <w:rFonts w:cs="Times New Roman"/>
          <w:sz w:val="24"/>
          <w:szCs w:val="24"/>
        </w:rPr>
        <w:t xml:space="preserve">-Hochberg) p-value threshold of &lt; 0.05. Gene set enrichment analysis was performed using </w:t>
      </w:r>
      <w:proofErr w:type="spellStart"/>
      <w:r w:rsidRPr="0091663D">
        <w:rPr>
          <w:rFonts w:cs="Times New Roman"/>
          <w:sz w:val="24"/>
          <w:szCs w:val="24"/>
        </w:rPr>
        <w:t>fgsea</w:t>
      </w:r>
      <w:proofErr w:type="spellEnd"/>
      <w:r w:rsidRPr="0091663D">
        <w:rPr>
          <w:rFonts w:cs="Times New Roman"/>
          <w:sz w:val="24"/>
          <w:szCs w:val="24"/>
        </w:rPr>
        <w:t xml:space="preserve"> (</w:t>
      </w:r>
      <w:r w:rsidRPr="005B57A6">
        <w:rPr>
          <w:rFonts w:cs="Times New Roman"/>
          <w:b/>
          <w:sz w:val="24"/>
          <w:szCs w:val="24"/>
        </w:rPr>
        <w:t>17</w:t>
      </w:r>
      <w:r w:rsidRPr="0091663D">
        <w:rPr>
          <w:rFonts w:cs="Times New Roman"/>
          <w:sz w:val="24"/>
          <w:szCs w:val="24"/>
        </w:rPr>
        <w:t xml:space="preserve">) R </w:t>
      </w:r>
      <w:proofErr w:type="spellStart"/>
      <w:r w:rsidRPr="0091663D">
        <w:rPr>
          <w:rFonts w:cs="Times New Roman"/>
          <w:sz w:val="24"/>
          <w:szCs w:val="24"/>
        </w:rPr>
        <w:lastRenderedPageBreak/>
        <w:t>BioConductor</w:t>
      </w:r>
      <w:proofErr w:type="spellEnd"/>
      <w:r w:rsidRPr="0091663D">
        <w:rPr>
          <w:rFonts w:cs="Times New Roman"/>
          <w:sz w:val="24"/>
          <w:szCs w:val="24"/>
        </w:rPr>
        <w:t xml:space="preserve"> package (v.1.20.0), on genes ranked by the t-statistic from the differential expression output. </w:t>
      </w:r>
      <w:proofErr w:type="spellStart"/>
      <w:r w:rsidRPr="0091663D">
        <w:rPr>
          <w:rFonts w:cs="Times New Roman"/>
          <w:sz w:val="24"/>
          <w:szCs w:val="24"/>
        </w:rPr>
        <w:t>MSigDb</w:t>
      </w:r>
      <w:proofErr w:type="spellEnd"/>
      <w:r w:rsidRPr="0091663D">
        <w:rPr>
          <w:rFonts w:cs="Times New Roman"/>
          <w:sz w:val="24"/>
          <w:szCs w:val="24"/>
        </w:rPr>
        <w:t xml:space="preserve"> (v.7.5.1) hallmark pathway set (n=50 pathways) was examined using </w:t>
      </w:r>
      <w:proofErr w:type="spellStart"/>
      <w:r w:rsidRPr="0091663D">
        <w:rPr>
          <w:rFonts w:cs="Times New Roman"/>
          <w:sz w:val="24"/>
          <w:szCs w:val="24"/>
        </w:rPr>
        <w:t>fgsea</w:t>
      </w:r>
      <w:proofErr w:type="spellEnd"/>
      <w:r w:rsidRPr="0091663D">
        <w:rPr>
          <w:rFonts w:cs="Times New Roman"/>
          <w:sz w:val="24"/>
          <w:szCs w:val="24"/>
        </w:rPr>
        <w:t xml:space="preserve"> and pathways with normalised enrichment score (NES) &gt;=2 and adjusted p-value &lt; 0.01 were considered significant.</w:t>
      </w:r>
    </w:p>
    <w:p w14:paraId="7503E6D8" w14:textId="77777777" w:rsidR="00EC33B0" w:rsidRPr="00F438E9" w:rsidRDefault="00EC33B0" w:rsidP="00F438E9">
      <w:pPr>
        <w:spacing w:line="480" w:lineRule="auto"/>
        <w:outlineLvl w:val="0"/>
        <w:rPr>
          <w:rFonts w:cs="Times New Roman"/>
          <w:b/>
          <w:sz w:val="24"/>
          <w:szCs w:val="24"/>
        </w:rPr>
      </w:pPr>
      <w:r w:rsidRPr="00F438E9">
        <w:rPr>
          <w:rFonts w:cs="Times New Roman"/>
          <w:b/>
          <w:sz w:val="24"/>
          <w:szCs w:val="24"/>
        </w:rPr>
        <w:t>Consensus clustering</w:t>
      </w:r>
    </w:p>
    <w:p w14:paraId="4D8E1FD8" w14:textId="5C540C73" w:rsidR="00EC33B0" w:rsidRPr="00F438E9" w:rsidRDefault="00EC33B0" w:rsidP="00F438E9">
      <w:pPr>
        <w:spacing w:line="480" w:lineRule="auto"/>
        <w:jc w:val="both"/>
        <w:outlineLvl w:val="0"/>
        <w:rPr>
          <w:rFonts w:cs="Times New Roman"/>
          <w:sz w:val="24"/>
          <w:szCs w:val="24"/>
        </w:rPr>
      </w:pPr>
      <w:r w:rsidRPr="00F438E9">
        <w:rPr>
          <w:rFonts w:cs="Times New Roman"/>
          <w:sz w:val="24"/>
          <w:szCs w:val="24"/>
        </w:rPr>
        <w:t>Stratification of the BCPP RNA-</w:t>
      </w:r>
      <w:proofErr w:type="spellStart"/>
      <w:r w:rsidRPr="00F438E9">
        <w:rPr>
          <w:rFonts w:cs="Times New Roman"/>
          <w:sz w:val="24"/>
          <w:szCs w:val="24"/>
        </w:rPr>
        <w:t>seq</w:t>
      </w:r>
      <w:proofErr w:type="spellEnd"/>
      <w:r w:rsidRPr="00F438E9">
        <w:rPr>
          <w:rFonts w:cs="Times New Roman"/>
          <w:sz w:val="24"/>
          <w:szCs w:val="24"/>
        </w:rPr>
        <w:t xml:space="preserve"> samples based on consensus clustering was performed using the </w:t>
      </w:r>
      <w:proofErr w:type="spellStart"/>
      <w:r w:rsidRPr="00F438E9">
        <w:rPr>
          <w:rFonts w:cs="Times New Roman"/>
          <w:sz w:val="24"/>
          <w:szCs w:val="24"/>
        </w:rPr>
        <w:t>ConsensusClusterPlus</w:t>
      </w:r>
      <w:proofErr w:type="spellEnd"/>
      <w:r w:rsidRPr="00F438E9">
        <w:rPr>
          <w:rFonts w:cs="Times New Roman"/>
          <w:sz w:val="24"/>
          <w:szCs w:val="24"/>
        </w:rPr>
        <w:t xml:space="preserve"> (version </w:t>
      </w:r>
      <w:r w:rsidR="00133D86" w:rsidRPr="00F438E9">
        <w:rPr>
          <w:rFonts w:cs="Times New Roman"/>
          <w:sz w:val="24"/>
          <w:szCs w:val="24"/>
        </w:rPr>
        <w:t>1.50</w:t>
      </w:r>
      <w:r w:rsidRPr="00F438E9">
        <w:rPr>
          <w:rFonts w:cs="Times New Roman"/>
          <w:sz w:val="24"/>
          <w:szCs w:val="24"/>
        </w:rPr>
        <w:t xml:space="preserve">) </w:t>
      </w:r>
      <w:r w:rsidR="000420CA" w:rsidRPr="00F438E9">
        <w:rPr>
          <w:rFonts w:cs="Times New Roman"/>
          <w:b/>
          <w:sz w:val="24"/>
          <w:szCs w:val="24"/>
        </w:rPr>
        <w:t>(</w:t>
      </w:r>
      <w:r w:rsidR="009569EE" w:rsidRPr="00F438E9">
        <w:rPr>
          <w:rFonts w:cs="Times New Roman"/>
          <w:b/>
          <w:sz w:val="24"/>
          <w:szCs w:val="24"/>
        </w:rPr>
        <w:t>18</w:t>
      </w:r>
      <w:r w:rsidR="000420CA" w:rsidRPr="00F438E9">
        <w:rPr>
          <w:rFonts w:cs="Times New Roman"/>
          <w:b/>
          <w:sz w:val="24"/>
          <w:szCs w:val="24"/>
        </w:rPr>
        <w:t>)</w:t>
      </w:r>
      <w:r w:rsidR="000420CA" w:rsidRPr="00F438E9">
        <w:rPr>
          <w:rFonts w:cs="Times New Roman"/>
          <w:sz w:val="24"/>
          <w:szCs w:val="24"/>
        </w:rPr>
        <w:t xml:space="preserve"> </w:t>
      </w:r>
      <w:r w:rsidRPr="00F438E9">
        <w:rPr>
          <w:rFonts w:cs="Times New Roman"/>
          <w:sz w:val="24"/>
          <w:szCs w:val="24"/>
        </w:rPr>
        <w:t xml:space="preserve">implemented in R. Briefly, increasing sets of </w:t>
      </w:r>
      <w:r w:rsidR="00662DF5" w:rsidRPr="00F438E9">
        <w:rPr>
          <w:rFonts w:cs="Times New Roman"/>
          <w:sz w:val="24"/>
          <w:szCs w:val="24"/>
        </w:rPr>
        <w:t>the most</w:t>
      </w:r>
      <w:r w:rsidRPr="00F438E9">
        <w:rPr>
          <w:rFonts w:cs="Times New Roman"/>
          <w:sz w:val="24"/>
          <w:szCs w:val="24"/>
        </w:rPr>
        <w:t xml:space="preserve"> variable genes (as per median absolute deviation across samples) were taken to perform consensus clustering to identify the optimal k (number of clusters) each time. Further, for the optimal k, only samples with positive silhouette width were considered to perform differential gene expression using </w:t>
      </w:r>
      <w:proofErr w:type="spellStart"/>
      <w:r w:rsidRPr="00F438E9">
        <w:rPr>
          <w:rFonts w:cs="Times New Roman"/>
          <w:sz w:val="24"/>
          <w:szCs w:val="24"/>
        </w:rPr>
        <w:t>limma</w:t>
      </w:r>
      <w:proofErr w:type="spellEnd"/>
      <w:r w:rsidRPr="00F438E9">
        <w:rPr>
          <w:rFonts w:cs="Times New Roman"/>
          <w:sz w:val="24"/>
          <w:szCs w:val="24"/>
        </w:rPr>
        <w:t xml:space="preserve"> (version 3.4</w:t>
      </w:r>
      <w:r w:rsidR="00D15456" w:rsidRPr="00F438E9">
        <w:rPr>
          <w:rFonts w:cs="Times New Roman"/>
          <w:sz w:val="24"/>
          <w:szCs w:val="24"/>
        </w:rPr>
        <w:t>2</w:t>
      </w:r>
      <w:r w:rsidRPr="00F438E9">
        <w:rPr>
          <w:rFonts w:cs="Times New Roman"/>
          <w:sz w:val="24"/>
          <w:szCs w:val="24"/>
        </w:rPr>
        <w:t xml:space="preserve">) package, among the clusters. Doing so for gene sets from 2,000 to 10,000 (in steps of 2,000), the intersection set was identified that was differentially expressed every time and the constituent genes further filtered to be above baseline expression level (raw count &gt;=5 in &gt;=8 samples). This set of </w:t>
      </w:r>
      <w:r w:rsidR="007157ED" w:rsidRPr="00F438E9">
        <w:rPr>
          <w:rFonts w:cs="Times New Roman"/>
          <w:sz w:val="24"/>
          <w:szCs w:val="24"/>
        </w:rPr>
        <w:t>5,019</w:t>
      </w:r>
      <w:r w:rsidRPr="00F438E9">
        <w:rPr>
          <w:rFonts w:cs="Times New Roman"/>
          <w:sz w:val="24"/>
          <w:szCs w:val="24"/>
        </w:rPr>
        <w:t xml:space="preserve"> genes across the </w:t>
      </w:r>
      <w:r w:rsidR="007157ED" w:rsidRPr="00F438E9">
        <w:rPr>
          <w:rFonts w:cs="Times New Roman"/>
          <w:sz w:val="24"/>
          <w:szCs w:val="24"/>
        </w:rPr>
        <w:t xml:space="preserve">78 </w:t>
      </w:r>
      <w:r w:rsidRPr="00F438E9">
        <w:rPr>
          <w:rFonts w:cs="Times New Roman"/>
          <w:sz w:val="24"/>
          <w:szCs w:val="24"/>
        </w:rPr>
        <w:t>samples was again subjected to consensus clustering for the final assignment of cluster membership.</w:t>
      </w:r>
    </w:p>
    <w:p w14:paraId="12959A95" w14:textId="77777777" w:rsidR="00EC33B0" w:rsidRPr="00F438E9" w:rsidRDefault="00EC33B0" w:rsidP="00F438E9">
      <w:pPr>
        <w:spacing w:line="480" w:lineRule="auto"/>
        <w:outlineLvl w:val="0"/>
        <w:rPr>
          <w:rFonts w:cs="Times New Roman"/>
          <w:b/>
          <w:sz w:val="24"/>
          <w:szCs w:val="24"/>
        </w:rPr>
      </w:pPr>
      <w:r w:rsidRPr="00F438E9">
        <w:rPr>
          <w:rFonts w:cs="Times New Roman"/>
          <w:b/>
          <w:sz w:val="24"/>
          <w:szCs w:val="24"/>
        </w:rPr>
        <w:t>Regulon analysis</w:t>
      </w:r>
    </w:p>
    <w:p w14:paraId="5DAB6C7B" w14:textId="4968ED2D" w:rsidR="00EC33B0" w:rsidRPr="00F438E9" w:rsidRDefault="00EC33B0" w:rsidP="00F438E9">
      <w:pPr>
        <w:spacing w:line="480" w:lineRule="auto"/>
        <w:jc w:val="both"/>
        <w:outlineLvl w:val="0"/>
        <w:rPr>
          <w:rFonts w:cs="Times New Roman"/>
          <w:bCs/>
          <w:sz w:val="24"/>
          <w:szCs w:val="24"/>
        </w:rPr>
      </w:pPr>
      <w:r w:rsidRPr="00F438E9">
        <w:rPr>
          <w:rFonts w:cs="Times New Roman"/>
          <w:bCs/>
          <w:sz w:val="24"/>
          <w:szCs w:val="24"/>
        </w:rPr>
        <w:t>The activity level of the 23 regulons previously reported in UBC</w:t>
      </w:r>
      <w:r w:rsidR="000420CA" w:rsidRPr="00F438E9">
        <w:rPr>
          <w:rFonts w:cs="Times New Roman"/>
          <w:bCs/>
          <w:sz w:val="24"/>
          <w:szCs w:val="24"/>
        </w:rPr>
        <w:t xml:space="preserve"> </w:t>
      </w:r>
      <w:r w:rsidR="000420CA" w:rsidRPr="00F438E9">
        <w:rPr>
          <w:rFonts w:cs="Times New Roman"/>
          <w:b/>
          <w:bCs/>
          <w:sz w:val="24"/>
          <w:szCs w:val="24"/>
        </w:rPr>
        <w:t>(</w:t>
      </w:r>
      <w:r w:rsidR="009569EE" w:rsidRPr="00F438E9">
        <w:rPr>
          <w:rFonts w:cs="Times New Roman"/>
          <w:b/>
          <w:bCs/>
          <w:sz w:val="24"/>
          <w:szCs w:val="24"/>
        </w:rPr>
        <w:t>19</w:t>
      </w:r>
      <w:r w:rsidR="000420CA" w:rsidRPr="00F438E9">
        <w:rPr>
          <w:rFonts w:cs="Times New Roman"/>
          <w:b/>
          <w:bCs/>
          <w:sz w:val="24"/>
          <w:szCs w:val="24"/>
        </w:rPr>
        <w:t>)</w:t>
      </w:r>
      <w:r w:rsidRPr="00F438E9">
        <w:rPr>
          <w:rFonts w:cs="Times New Roman"/>
          <w:bCs/>
          <w:sz w:val="24"/>
          <w:szCs w:val="24"/>
        </w:rPr>
        <w:t>, was assessed in the BCPP RNA-</w:t>
      </w:r>
      <w:proofErr w:type="spellStart"/>
      <w:r w:rsidRPr="00F438E9">
        <w:rPr>
          <w:rFonts w:cs="Times New Roman"/>
          <w:bCs/>
          <w:sz w:val="24"/>
          <w:szCs w:val="24"/>
        </w:rPr>
        <w:t>seq</w:t>
      </w:r>
      <w:proofErr w:type="spellEnd"/>
      <w:r w:rsidRPr="00F438E9">
        <w:rPr>
          <w:rFonts w:cs="Times New Roman"/>
          <w:bCs/>
          <w:sz w:val="24"/>
          <w:szCs w:val="24"/>
        </w:rPr>
        <w:t xml:space="preserve"> cohort using the RTN (Reconstruction of Transcriptional regulatory Networks and analysis of regulons) package (version 2.14.1)</w:t>
      </w:r>
      <w:r w:rsidR="0091721B" w:rsidRPr="00F438E9">
        <w:rPr>
          <w:rFonts w:cs="Times New Roman"/>
          <w:bCs/>
          <w:sz w:val="24"/>
          <w:szCs w:val="24"/>
        </w:rPr>
        <w:t xml:space="preserve"> </w:t>
      </w:r>
      <w:r w:rsidR="0091721B" w:rsidRPr="00F438E9">
        <w:rPr>
          <w:rFonts w:cs="Times New Roman"/>
          <w:b/>
          <w:bCs/>
          <w:sz w:val="24"/>
          <w:szCs w:val="24"/>
        </w:rPr>
        <w:t>(2</w:t>
      </w:r>
      <w:r w:rsidR="00E6320D" w:rsidRPr="00F438E9">
        <w:rPr>
          <w:rFonts w:cs="Times New Roman"/>
          <w:b/>
          <w:bCs/>
          <w:sz w:val="24"/>
          <w:szCs w:val="24"/>
        </w:rPr>
        <w:t>0</w:t>
      </w:r>
      <w:r w:rsidR="0091721B" w:rsidRPr="00F438E9">
        <w:rPr>
          <w:rFonts w:cs="Times New Roman"/>
          <w:b/>
          <w:bCs/>
          <w:sz w:val="24"/>
          <w:szCs w:val="24"/>
        </w:rPr>
        <w:t>)</w:t>
      </w:r>
      <w:r w:rsidRPr="00F438E9">
        <w:rPr>
          <w:rFonts w:cs="Times New Roman"/>
          <w:bCs/>
          <w:sz w:val="24"/>
          <w:szCs w:val="24"/>
        </w:rPr>
        <w:t xml:space="preserve">. Briefly, the normalised gene expression along with sample phenotype traits (which included tumour grade, stage, consensus cluster membership, tumour mutational burden, copy number burden etc.) are </w:t>
      </w:r>
      <w:r w:rsidRPr="00F438E9">
        <w:rPr>
          <w:rFonts w:cs="Times New Roman"/>
          <w:bCs/>
          <w:sz w:val="24"/>
          <w:szCs w:val="24"/>
        </w:rPr>
        <w:lastRenderedPageBreak/>
        <w:t xml:space="preserve">evaluated for inferring transcriptional network activity for the regulon list provided. By computing mutual information content for each of the regulon to be tested and its target genes, using permutation analysis to filter out non-significant associations and finally using the </w:t>
      </w:r>
      <w:proofErr w:type="spellStart"/>
      <w:r w:rsidRPr="00F438E9">
        <w:rPr>
          <w:rFonts w:cs="Times New Roman"/>
          <w:bCs/>
          <w:sz w:val="24"/>
          <w:szCs w:val="24"/>
        </w:rPr>
        <w:t>ARACNe</w:t>
      </w:r>
      <w:proofErr w:type="spellEnd"/>
      <w:r w:rsidRPr="00F438E9">
        <w:rPr>
          <w:rFonts w:cs="Times New Roman"/>
          <w:bCs/>
          <w:sz w:val="24"/>
          <w:szCs w:val="24"/>
        </w:rPr>
        <w:t xml:space="preserve"> algorithm to further select direct as opposed to indirect interactions, regulon activities are inferred that are specific to the input gene expression. The direction of the activity (positive or negative) is inferred then through applying a two-tailed GSEA test that returns the regulons with statistically significant activity. For the regulons with statistical significance, </w:t>
      </w:r>
      <w:r w:rsidR="00662DF5" w:rsidRPr="00F438E9">
        <w:rPr>
          <w:rFonts w:cs="Times New Roman"/>
          <w:bCs/>
          <w:sz w:val="24"/>
          <w:szCs w:val="24"/>
        </w:rPr>
        <w:t xml:space="preserve">a </w:t>
      </w:r>
      <w:r w:rsidRPr="00F438E9">
        <w:rPr>
          <w:rFonts w:cs="Times New Roman"/>
          <w:bCs/>
          <w:sz w:val="24"/>
          <w:szCs w:val="24"/>
        </w:rPr>
        <w:t>per-sample activity score was estimated to correlate with sample phenotypes such as tumour grade and stage.</w:t>
      </w:r>
    </w:p>
    <w:p w14:paraId="7F934937" w14:textId="77777777" w:rsidR="00EC33B0" w:rsidRPr="00F438E9" w:rsidRDefault="00EC33B0" w:rsidP="00F438E9">
      <w:pPr>
        <w:spacing w:line="480" w:lineRule="auto"/>
        <w:outlineLvl w:val="0"/>
        <w:rPr>
          <w:rFonts w:cs="Times New Roman"/>
          <w:b/>
          <w:bCs/>
          <w:sz w:val="24"/>
          <w:szCs w:val="24"/>
        </w:rPr>
      </w:pPr>
      <w:r w:rsidRPr="00F438E9">
        <w:rPr>
          <w:rFonts w:cs="Times New Roman"/>
          <w:b/>
          <w:bCs/>
          <w:sz w:val="24"/>
          <w:szCs w:val="24"/>
        </w:rPr>
        <w:t>Estimation of immune cell composition</w:t>
      </w:r>
    </w:p>
    <w:p w14:paraId="02EB378F" w14:textId="595FBA67" w:rsidR="00EC33B0" w:rsidRPr="00F438E9" w:rsidRDefault="00EC33B0" w:rsidP="00F438E9">
      <w:pPr>
        <w:spacing w:line="480" w:lineRule="auto"/>
        <w:jc w:val="both"/>
        <w:outlineLvl w:val="0"/>
        <w:rPr>
          <w:rFonts w:cs="Times New Roman"/>
          <w:bCs/>
          <w:sz w:val="24"/>
          <w:szCs w:val="24"/>
        </w:rPr>
      </w:pPr>
      <w:r w:rsidRPr="00F438E9">
        <w:rPr>
          <w:rFonts w:cs="Times New Roman"/>
          <w:bCs/>
          <w:sz w:val="24"/>
          <w:szCs w:val="24"/>
        </w:rPr>
        <w:t xml:space="preserve">Immune cell composition of the bulk tumour tissue was estimated by deconvolution of the RNA-sequencing read counts using </w:t>
      </w:r>
      <w:proofErr w:type="spellStart"/>
      <w:r w:rsidRPr="00F438E9">
        <w:rPr>
          <w:rFonts w:cs="Times New Roman"/>
          <w:bCs/>
          <w:sz w:val="24"/>
          <w:szCs w:val="24"/>
        </w:rPr>
        <w:t>ConsensusTME</w:t>
      </w:r>
      <w:proofErr w:type="spellEnd"/>
      <w:r w:rsidRPr="00F438E9">
        <w:rPr>
          <w:rFonts w:cs="Times New Roman"/>
          <w:bCs/>
          <w:sz w:val="24"/>
          <w:szCs w:val="24"/>
        </w:rPr>
        <w:t xml:space="preserve"> (version 0.0.1.9)</w:t>
      </w:r>
      <w:r w:rsidR="000420CA" w:rsidRPr="00F438E9">
        <w:rPr>
          <w:rFonts w:cs="Times New Roman"/>
          <w:bCs/>
          <w:sz w:val="24"/>
          <w:szCs w:val="24"/>
        </w:rPr>
        <w:t xml:space="preserve"> </w:t>
      </w:r>
      <w:r w:rsidR="000420CA" w:rsidRPr="00F438E9">
        <w:rPr>
          <w:rFonts w:cs="Times New Roman"/>
          <w:b/>
          <w:bCs/>
          <w:sz w:val="24"/>
          <w:szCs w:val="24"/>
        </w:rPr>
        <w:t>(2</w:t>
      </w:r>
      <w:r w:rsidR="00E6320D" w:rsidRPr="00F438E9">
        <w:rPr>
          <w:rFonts w:cs="Times New Roman"/>
          <w:b/>
          <w:bCs/>
          <w:sz w:val="24"/>
          <w:szCs w:val="24"/>
        </w:rPr>
        <w:t>1</w:t>
      </w:r>
      <w:r w:rsidR="000420CA" w:rsidRPr="00F438E9">
        <w:rPr>
          <w:rFonts w:cs="Times New Roman"/>
          <w:b/>
          <w:bCs/>
          <w:sz w:val="24"/>
          <w:szCs w:val="24"/>
        </w:rPr>
        <w:t>)</w:t>
      </w:r>
      <w:r w:rsidRPr="00F438E9">
        <w:rPr>
          <w:rFonts w:cs="Times New Roman"/>
          <w:bCs/>
          <w:sz w:val="24"/>
          <w:szCs w:val="24"/>
        </w:rPr>
        <w:t xml:space="preserve">. Briefly, rather than using a single method or gene set, </w:t>
      </w:r>
      <w:proofErr w:type="spellStart"/>
      <w:r w:rsidRPr="00F438E9">
        <w:rPr>
          <w:rFonts w:cs="Times New Roman"/>
          <w:bCs/>
          <w:sz w:val="24"/>
          <w:szCs w:val="24"/>
        </w:rPr>
        <w:t>ConsensusTME</w:t>
      </w:r>
      <w:proofErr w:type="spellEnd"/>
      <w:r w:rsidRPr="00F438E9">
        <w:rPr>
          <w:rFonts w:cs="Times New Roman"/>
          <w:bCs/>
          <w:sz w:val="24"/>
          <w:szCs w:val="24"/>
        </w:rPr>
        <w:t xml:space="preserve"> is a consensus of immune cell deconvolution estimates from multiple methods like CIBERSORT, ESTIMATE, MCP-Counter, </w:t>
      </w:r>
      <w:proofErr w:type="spellStart"/>
      <w:r w:rsidRPr="00F438E9">
        <w:rPr>
          <w:rFonts w:cs="Times New Roman"/>
          <w:bCs/>
          <w:sz w:val="24"/>
          <w:szCs w:val="24"/>
        </w:rPr>
        <w:t>xCell</w:t>
      </w:r>
      <w:proofErr w:type="spellEnd"/>
      <w:r w:rsidRPr="00F438E9">
        <w:rPr>
          <w:rFonts w:cs="Times New Roman"/>
          <w:bCs/>
          <w:sz w:val="24"/>
          <w:szCs w:val="24"/>
        </w:rPr>
        <w:t xml:space="preserve"> etc. Using enrichment score</w:t>
      </w:r>
      <w:r w:rsidR="00662DF5" w:rsidRPr="00F438E9">
        <w:rPr>
          <w:rFonts w:cs="Times New Roman"/>
          <w:bCs/>
          <w:sz w:val="24"/>
          <w:szCs w:val="24"/>
        </w:rPr>
        <w:t>s</w:t>
      </w:r>
      <w:r w:rsidRPr="00F438E9">
        <w:rPr>
          <w:rFonts w:cs="Times New Roman"/>
          <w:bCs/>
          <w:sz w:val="24"/>
          <w:szCs w:val="24"/>
        </w:rPr>
        <w:t xml:space="preserve"> calculated using single-sample GSEA (</w:t>
      </w:r>
      <w:proofErr w:type="spellStart"/>
      <w:r w:rsidRPr="00F438E9">
        <w:rPr>
          <w:rFonts w:cs="Times New Roman"/>
          <w:bCs/>
          <w:sz w:val="24"/>
          <w:szCs w:val="24"/>
        </w:rPr>
        <w:t>ssGSEA</w:t>
      </w:r>
      <w:proofErr w:type="spellEnd"/>
      <w:r w:rsidRPr="00F438E9">
        <w:rPr>
          <w:rFonts w:cs="Times New Roman"/>
          <w:bCs/>
          <w:sz w:val="24"/>
          <w:szCs w:val="24"/>
        </w:rPr>
        <w:t xml:space="preserve">) for each of the gene sets across the methods, a normalised enrichment score (NES) is calculated for 18 different immune cell types. The NES </w:t>
      </w:r>
      <w:r w:rsidR="00D15456" w:rsidRPr="00F438E9">
        <w:rPr>
          <w:rFonts w:cs="Times New Roman"/>
          <w:bCs/>
          <w:sz w:val="24"/>
          <w:szCs w:val="24"/>
        </w:rPr>
        <w:t xml:space="preserve">thus obtained from </w:t>
      </w:r>
      <w:proofErr w:type="spellStart"/>
      <w:r w:rsidR="00D15456" w:rsidRPr="00F438E9">
        <w:rPr>
          <w:rFonts w:cs="Times New Roman"/>
          <w:bCs/>
          <w:sz w:val="24"/>
          <w:szCs w:val="24"/>
        </w:rPr>
        <w:t>ConsensusTME</w:t>
      </w:r>
      <w:proofErr w:type="spellEnd"/>
      <w:r w:rsidR="00D15456" w:rsidRPr="00F438E9">
        <w:rPr>
          <w:rFonts w:cs="Times New Roman"/>
          <w:bCs/>
          <w:sz w:val="24"/>
          <w:szCs w:val="24"/>
        </w:rPr>
        <w:t xml:space="preserve"> </w:t>
      </w:r>
      <w:r w:rsidRPr="00F438E9">
        <w:rPr>
          <w:rFonts w:cs="Times New Roman"/>
          <w:bCs/>
          <w:sz w:val="24"/>
          <w:szCs w:val="24"/>
        </w:rPr>
        <w:t>is then taken as a sample phenotype measure while correlating with gene expression or DNA alteration level subtypes.</w:t>
      </w:r>
    </w:p>
    <w:p w14:paraId="7B8E9287" w14:textId="77777777" w:rsidR="00EC33B0" w:rsidRPr="00F438E9" w:rsidRDefault="00EC33B0" w:rsidP="00F438E9">
      <w:pPr>
        <w:spacing w:line="480" w:lineRule="auto"/>
        <w:jc w:val="both"/>
        <w:outlineLvl w:val="0"/>
        <w:rPr>
          <w:rFonts w:cs="Times New Roman"/>
          <w:b/>
          <w:bCs/>
          <w:sz w:val="24"/>
          <w:szCs w:val="24"/>
        </w:rPr>
      </w:pPr>
      <w:r w:rsidRPr="00F438E9">
        <w:rPr>
          <w:rFonts w:cs="Times New Roman"/>
          <w:b/>
          <w:bCs/>
          <w:sz w:val="24"/>
          <w:szCs w:val="24"/>
        </w:rPr>
        <w:t>Circular RNA prediction</w:t>
      </w:r>
    </w:p>
    <w:p w14:paraId="15BA1867" w14:textId="6348F52F" w:rsidR="00D20568" w:rsidRPr="00F438E9" w:rsidRDefault="00EC33B0" w:rsidP="00F438E9">
      <w:pPr>
        <w:spacing w:line="480" w:lineRule="auto"/>
        <w:jc w:val="both"/>
        <w:rPr>
          <w:rFonts w:cs="Times New Roman"/>
          <w:sz w:val="24"/>
          <w:szCs w:val="24"/>
        </w:rPr>
      </w:pPr>
      <w:r w:rsidRPr="00F438E9">
        <w:rPr>
          <w:rFonts w:cs="Times New Roman"/>
          <w:sz w:val="24"/>
          <w:szCs w:val="24"/>
        </w:rPr>
        <w:t>Prediction of circular RNA (</w:t>
      </w:r>
      <w:proofErr w:type="spellStart"/>
      <w:r w:rsidRPr="00F438E9">
        <w:rPr>
          <w:rFonts w:cs="Times New Roman"/>
          <w:sz w:val="24"/>
          <w:szCs w:val="24"/>
        </w:rPr>
        <w:t>circRNA</w:t>
      </w:r>
      <w:proofErr w:type="spellEnd"/>
      <w:r w:rsidRPr="00F438E9">
        <w:rPr>
          <w:rFonts w:cs="Times New Roman"/>
          <w:sz w:val="24"/>
          <w:szCs w:val="24"/>
        </w:rPr>
        <w:t xml:space="preserve">) candidates inferred from back-splicing events in RNA-sequencing were carried out as detailed previously </w:t>
      </w:r>
      <w:r w:rsidR="000420CA" w:rsidRPr="00F438E9">
        <w:rPr>
          <w:rFonts w:cs="Times New Roman"/>
          <w:b/>
          <w:sz w:val="24"/>
          <w:szCs w:val="24"/>
        </w:rPr>
        <w:t>(2</w:t>
      </w:r>
      <w:r w:rsidR="00E6320D" w:rsidRPr="00F438E9">
        <w:rPr>
          <w:rFonts w:cs="Times New Roman"/>
          <w:b/>
          <w:sz w:val="24"/>
          <w:szCs w:val="24"/>
        </w:rPr>
        <w:t>2</w:t>
      </w:r>
      <w:r w:rsidR="000420CA" w:rsidRPr="00F438E9">
        <w:rPr>
          <w:rFonts w:cs="Times New Roman"/>
          <w:b/>
          <w:sz w:val="24"/>
          <w:szCs w:val="24"/>
        </w:rPr>
        <w:t>)</w:t>
      </w:r>
      <w:r w:rsidRPr="00F438E9">
        <w:rPr>
          <w:rFonts w:cs="Times New Roman"/>
          <w:sz w:val="24"/>
          <w:szCs w:val="24"/>
        </w:rPr>
        <w:t xml:space="preserve">. Briefly, </w:t>
      </w:r>
      <w:r w:rsidR="00662DF5" w:rsidRPr="00F438E9">
        <w:rPr>
          <w:rFonts w:cs="Times New Roman"/>
          <w:sz w:val="24"/>
          <w:szCs w:val="24"/>
        </w:rPr>
        <w:t xml:space="preserve">the </w:t>
      </w:r>
      <w:r w:rsidRPr="00F438E9">
        <w:rPr>
          <w:rFonts w:cs="Times New Roman"/>
          <w:sz w:val="24"/>
          <w:szCs w:val="24"/>
        </w:rPr>
        <w:t xml:space="preserve">DCC algorithm </w:t>
      </w:r>
      <w:r w:rsidR="000420CA" w:rsidRPr="00F438E9">
        <w:rPr>
          <w:rFonts w:cs="Times New Roman"/>
          <w:b/>
          <w:sz w:val="24"/>
          <w:szCs w:val="24"/>
        </w:rPr>
        <w:t>(2</w:t>
      </w:r>
      <w:r w:rsidR="00E6320D" w:rsidRPr="00F438E9">
        <w:rPr>
          <w:rFonts w:cs="Times New Roman"/>
          <w:b/>
          <w:sz w:val="24"/>
          <w:szCs w:val="24"/>
        </w:rPr>
        <w:t>3</w:t>
      </w:r>
      <w:r w:rsidR="000420CA" w:rsidRPr="00F438E9">
        <w:rPr>
          <w:rFonts w:cs="Times New Roman"/>
          <w:b/>
          <w:sz w:val="24"/>
          <w:szCs w:val="24"/>
        </w:rPr>
        <w:t>)</w:t>
      </w:r>
      <w:r w:rsidR="000420CA" w:rsidRPr="00F438E9">
        <w:rPr>
          <w:rFonts w:cs="Times New Roman"/>
          <w:sz w:val="24"/>
          <w:szCs w:val="24"/>
        </w:rPr>
        <w:t xml:space="preserve"> </w:t>
      </w:r>
      <w:r w:rsidRPr="00F438E9">
        <w:rPr>
          <w:rFonts w:cs="Times New Roman"/>
          <w:sz w:val="24"/>
          <w:szCs w:val="24"/>
        </w:rPr>
        <w:t xml:space="preserve">was </w:t>
      </w:r>
      <w:r w:rsidRPr="00F438E9">
        <w:rPr>
          <w:rFonts w:cs="Times New Roman"/>
          <w:sz w:val="24"/>
          <w:szCs w:val="24"/>
        </w:rPr>
        <w:lastRenderedPageBreak/>
        <w:t xml:space="preserve">used and </w:t>
      </w:r>
      <w:proofErr w:type="spellStart"/>
      <w:r w:rsidRPr="00F438E9">
        <w:rPr>
          <w:rFonts w:cs="Times New Roman"/>
          <w:sz w:val="24"/>
          <w:szCs w:val="24"/>
        </w:rPr>
        <w:t>circRNA</w:t>
      </w:r>
      <w:proofErr w:type="spellEnd"/>
      <w:r w:rsidRPr="00F438E9">
        <w:rPr>
          <w:rFonts w:cs="Times New Roman"/>
          <w:sz w:val="24"/>
          <w:szCs w:val="24"/>
        </w:rPr>
        <w:t xml:space="preserve"> candidates with read-depth support &gt;=4 were retained. </w:t>
      </w:r>
      <w:r w:rsidR="00662DF5" w:rsidRPr="00F438E9">
        <w:rPr>
          <w:rFonts w:cs="Times New Roman"/>
          <w:sz w:val="24"/>
          <w:szCs w:val="24"/>
        </w:rPr>
        <w:t>The r</w:t>
      </w:r>
      <w:r w:rsidRPr="00F438E9">
        <w:rPr>
          <w:rFonts w:cs="Times New Roman"/>
          <w:sz w:val="24"/>
          <w:szCs w:val="24"/>
        </w:rPr>
        <w:t xml:space="preserve">atio of the </w:t>
      </w:r>
      <w:proofErr w:type="spellStart"/>
      <w:r w:rsidRPr="00F438E9">
        <w:rPr>
          <w:rFonts w:cs="Times New Roman"/>
          <w:sz w:val="24"/>
          <w:szCs w:val="24"/>
        </w:rPr>
        <w:t>circRNA</w:t>
      </w:r>
      <w:proofErr w:type="spellEnd"/>
      <w:r w:rsidRPr="00F438E9">
        <w:rPr>
          <w:rFonts w:cs="Times New Roman"/>
          <w:sz w:val="24"/>
          <w:szCs w:val="24"/>
        </w:rPr>
        <w:t xml:space="preserve"> to </w:t>
      </w:r>
      <w:r w:rsidR="0091663D">
        <w:rPr>
          <w:rFonts w:cs="Times New Roman"/>
          <w:sz w:val="24"/>
          <w:szCs w:val="24"/>
        </w:rPr>
        <w:t xml:space="preserve">the </w:t>
      </w:r>
      <w:r w:rsidRPr="00F438E9">
        <w:rPr>
          <w:rFonts w:cs="Times New Roman"/>
          <w:sz w:val="24"/>
          <w:szCs w:val="24"/>
        </w:rPr>
        <w:t xml:space="preserve">linear RNA (host gene) were calculated and Analysis of Variance (ANOVA) was applied </w:t>
      </w:r>
      <w:r w:rsidR="0091663D">
        <w:rPr>
          <w:rFonts w:cs="Times New Roman"/>
          <w:sz w:val="24"/>
          <w:szCs w:val="24"/>
        </w:rPr>
        <w:t>(within R) t</w:t>
      </w:r>
      <w:r w:rsidRPr="00F438E9">
        <w:rPr>
          <w:rFonts w:cs="Times New Roman"/>
          <w:sz w:val="24"/>
          <w:szCs w:val="24"/>
        </w:rPr>
        <w:t>o identify those with significant difference across the RNA consensus clusters (at adjusted p-value 0.05).</w:t>
      </w:r>
    </w:p>
    <w:p w14:paraId="662C68CE" w14:textId="77777777" w:rsidR="0021497B" w:rsidRPr="00F438E9" w:rsidRDefault="0021497B" w:rsidP="00F438E9">
      <w:pPr>
        <w:spacing w:line="480" w:lineRule="auto"/>
        <w:jc w:val="both"/>
        <w:rPr>
          <w:rFonts w:cs="Times New Roman"/>
          <w:b/>
          <w:sz w:val="24"/>
          <w:szCs w:val="24"/>
        </w:rPr>
      </w:pPr>
      <w:r w:rsidRPr="00F438E9">
        <w:rPr>
          <w:rFonts w:cs="Times New Roman"/>
          <w:b/>
          <w:sz w:val="24"/>
          <w:szCs w:val="24"/>
        </w:rPr>
        <w:t>Comparison of BCPP expression classes with UROMOL 2021</w:t>
      </w:r>
    </w:p>
    <w:p w14:paraId="66B30903" w14:textId="68EE3875" w:rsidR="0021497B" w:rsidRPr="00F438E9" w:rsidRDefault="0021497B" w:rsidP="00F438E9">
      <w:pPr>
        <w:spacing w:line="480" w:lineRule="auto"/>
        <w:jc w:val="both"/>
        <w:rPr>
          <w:rFonts w:cs="Times New Roman"/>
          <w:sz w:val="24"/>
          <w:szCs w:val="24"/>
        </w:rPr>
      </w:pPr>
      <w:r w:rsidRPr="00F438E9">
        <w:rPr>
          <w:rFonts w:cs="Times New Roman"/>
          <w:sz w:val="24"/>
          <w:szCs w:val="24"/>
        </w:rPr>
        <w:t xml:space="preserve">The UROMOL 2021 </w:t>
      </w:r>
      <w:r w:rsidR="001F0125" w:rsidRPr="00F438E9">
        <w:rPr>
          <w:rFonts w:cs="Times New Roman"/>
          <w:sz w:val="24"/>
          <w:szCs w:val="24"/>
        </w:rPr>
        <w:t xml:space="preserve">NMIBC </w:t>
      </w:r>
      <w:r w:rsidRPr="00F438E9">
        <w:rPr>
          <w:rFonts w:cs="Times New Roman"/>
          <w:sz w:val="24"/>
          <w:szCs w:val="24"/>
        </w:rPr>
        <w:t>classification assignment for the BCPP RNA-sequencing samples was obtained from the website (http://134.157.229.105:3838/BLCAclassify/). Correspondence between the two classification systems was assessed using molecular aberration indices of TMB (tumour mutation burden), CNB (copy number burden), estimates of ploidy, tumour cellularity, HRD (homologous recombination mediated DNA repair deficiency) score and tumour cell infiltration (immune score). Boxplots were made for visualisation and non-parametric Kruskal-Wallis test performed in R (ver. 4.0.2)</w:t>
      </w:r>
    </w:p>
    <w:p w14:paraId="356A5C67" w14:textId="37602DD9" w:rsidR="00D15456" w:rsidRPr="00F438E9" w:rsidRDefault="00D15456" w:rsidP="00F438E9">
      <w:pPr>
        <w:spacing w:line="480" w:lineRule="auto"/>
        <w:jc w:val="both"/>
        <w:rPr>
          <w:rFonts w:cs="Times New Roman"/>
          <w:b/>
          <w:sz w:val="24"/>
          <w:szCs w:val="24"/>
        </w:rPr>
      </w:pPr>
      <w:r w:rsidRPr="00F438E9">
        <w:rPr>
          <w:rFonts w:cs="Times New Roman"/>
          <w:b/>
          <w:sz w:val="24"/>
          <w:szCs w:val="24"/>
        </w:rPr>
        <w:t>Survival analysis</w:t>
      </w:r>
    </w:p>
    <w:p w14:paraId="7AC863C1" w14:textId="57C34DB1" w:rsidR="0021497B" w:rsidRPr="00F438E9" w:rsidRDefault="603A39F7" w:rsidP="00F438E9">
      <w:pPr>
        <w:spacing w:line="480" w:lineRule="auto"/>
        <w:jc w:val="both"/>
        <w:rPr>
          <w:rFonts w:cs="Times New Roman"/>
          <w:sz w:val="24"/>
          <w:szCs w:val="24"/>
        </w:rPr>
      </w:pPr>
      <w:r w:rsidRPr="00F438E9">
        <w:rPr>
          <w:rFonts w:cs="Times New Roman"/>
          <w:sz w:val="24"/>
          <w:szCs w:val="24"/>
        </w:rPr>
        <w:t>We investigated the effects of tumour grade</w:t>
      </w:r>
      <w:r w:rsidR="00BB621D">
        <w:rPr>
          <w:rFonts w:cs="Times New Roman"/>
          <w:sz w:val="24"/>
          <w:szCs w:val="24"/>
        </w:rPr>
        <w:t xml:space="preserve">, </w:t>
      </w:r>
      <w:r w:rsidRPr="00F438E9">
        <w:rPr>
          <w:rFonts w:cs="Times New Roman"/>
          <w:sz w:val="24"/>
          <w:szCs w:val="24"/>
        </w:rPr>
        <w:t>stage, patient age</w:t>
      </w:r>
      <w:r w:rsidR="00BB621D">
        <w:rPr>
          <w:rFonts w:cs="Times New Roman"/>
          <w:sz w:val="24"/>
          <w:szCs w:val="24"/>
        </w:rPr>
        <w:t xml:space="preserve">, </w:t>
      </w:r>
      <w:r w:rsidRPr="00F438E9">
        <w:rPr>
          <w:rFonts w:cs="Times New Roman"/>
          <w:sz w:val="24"/>
          <w:szCs w:val="24"/>
        </w:rPr>
        <w:t xml:space="preserve"> gender, summary molecular aberration indices (tumour mutational burden, copy number burden, APOBEC mutational activity and homologous recombination repair deficiency) and mutational status of specific genes</w:t>
      </w:r>
      <w:r w:rsidR="00C23FEF">
        <w:rPr>
          <w:rFonts w:cs="Times New Roman"/>
          <w:sz w:val="24"/>
          <w:szCs w:val="24"/>
        </w:rPr>
        <w:t xml:space="preserve">, </w:t>
      </w:r>
      <w:r w:rsidR="00C23FEF" w:rsidRPr="00C23FEF">
        <w:rPr>
          <w:rFonts w:cs="Times New Roman"/>
          <w:sz w:val="24"/>
          <w:szCs w:val="24"/>
        </w:rPr>
        <w:t>against the progression-free survival (PFS; progression to MIBC).</w:t>
      </w:r>
      <w:r w:rsidRPr="00F438E9">
        <w:rPr>
          <w:rFonts w:cs="Times New Roman"/>
          <w:sz w:val="24"/>
          <w:szCs w:val="24"/>
        </w:rPr>
        <w:t xml:space="preserve"> R </w:t>
      </w:r>
      <w:r w:rsidR="00C23FEF">
        <w:rPr>
          <w:rFonts w:cs="Times New Roman"/>
          <w:sz w:val="24"/>
          <w:szCs w:val="24"/>
        </w:rPr>
        <w:t xml:space="preserve">packages </w:t>
      </w:r>
      <w:r w:rsidRPr="00F438E9">
        <w:rPr>
          <w:rFonts w:cs="Times New Roman"/>
          <w:sz w:val="24"/>
          <w:szCs w:val="24"/>
        </w:rPr>
        <w:t xml:space="preserve">survival (version 3.2.3) and </w:t>
      </w:r>
      <w:proofErr w:type="spellStart"/>
      <w:r w:rsidRPr="00F438E9">
        <w:rPr>
          <w:rFonts w:cs="Times New Roman"/>
          <w:sz w:val="24"/>
          <w:szCs w:val="24"/>
        </w:rPr>
        <w:t>survminer</w:t>
      </w:r>
      <w:proofErr w:type="spellEnd"/>
      <w:r w:rsidRPr="00F438E9">
        <w:rPr>
          <w:rFonts w:cs="Times New Roman"/>
          <w:sz w:val="24"/>
          <w:szCs w:val="24"/>
        </w:rPr>
        <w:t xml:space="preserve"> (version 0.4.8) </w:t>
      </w:r>
      <w:r w:rsidR="00C23FEF">
        <w:rPr>
          <w:rFonts w:cs="Times New Roman"/>
          <w:sz w:val="24"/>
          <w:szCs w:val="24"/>
        </w:rPr>
        <w:t>were used to implement the</w:t>
      </w:r>
      <w:r w:rsidRPr="00F438E9">
        <w:rPr>
          <w:rFonts w:cs="Times New Roman"/>
          <w:sz w:val="24"/>
          <w:szCs w:val="24"/>
        </w:rPr>
        <w:t xml:space="preserve"> Cox Proportional Hazards model was used to perform multivariate survival analysis using the </w:t>
      </w:r>
      <w:proofErr w:type="spellStart"/>
      <w:r w:rsidRPr="00F438E9">
        <w:rPr>
          <w:rFonts w:cs="Times New Roman"/>
          <w:sz w:val="24"/>
          <w:szCs w:val="24"/>
        </w:rPr>
        <w:t>coxph</w:t>
      </w:r>
      <w:proofErr w:type="spellEnd"/>
      <w:r w:rsidRPr="00F438E9">
        <w:rPr>
          <w:rFonts w:cs="Times New Roman"/>
          <w:sz w:val="24"/>
          <w:szCs w:val="24"/>
        </w:rPr>
        <w:t xml:space="preserve"> function and forest plots were created using </w:t>
      </w:r>
      <w:proofErr w:type="spellStart"/>
      <w:r w:rsidRPr="00F438E9">
        <w:rPr>
          <w:rFonts w:cs="Times New Roman"/>
          <w:sz w:val="24"/>
          <w:szCs w:val="24"/>
        </w:rPr>
        <w:t>ggforest</w:t>
      </w:r>
      <w:proofErr w:type="spellEnd"/>
      <w:r w:rsidRPr="00F438E9">
        <w:rPr>
          <w:rFonts w:cs="Times New Roman"/>
          <w:sz w:val="24"/>
          <w:szCs w:val="24"/>
        </w:rPr>
        <w:t xml:space="preserve"> function (</w:t>
      </w:r>
      <w:proofErr w:type="spellStart"/>
      <w:r w:rsidRPr="00F438E9">
        <w:rPr>
          <w:rFonts w:cs="Times New Roman"/>
          <w:sz w:val="24"/>
          <w:szCs w:val="24"/>
        </w:rPr>
        <w:t>tidyverse</w:t>
      </w:r>
      <w:proofErr w:type="spellEnd"/>
      <w:r w:rsidRPr="00F438E9">
        <w:rPr>
          <w:rFonts w:cs="Times New Roman"/>
          <w:sz w:val="24"/>
          <w:szCs w:val="24"/>
        </w:rPr>
        <w:t xml:space="preserve"> version 1.3.0).</w:t>
      </w:r>
    </w:p>
    <w:p w14:paraId="69357BD2" w14:textId="77777777" w:rsidR="0021497B" w:rsidRPr="00F438E9" w:rsidRDefault="0021497B" w:rsidP="00F438E9">
      <w:pPr>
        <w:spacing w:line="480" w:lineRule="auto"/>
        <w:jc w:val="both"/>
        <w:rPr>
          <w:rFonts w:cs="Times New Roman"/>
          <w:sz w:val="24"/>
          <w:szCs w:val="24"/>
        </w:rPr>
      </w:pPr>
    </w:p>
    <w:p w14:paraId="07DC9D06" w14:textId="77777777" w:rsidR="008D558F" w:rsidRPr="00F438E9" w:rsidRDefault="008D558F" w:rsidP="00F438E9">
      <w:pPr>
        <w:spacing w:line="480" w:lineRule="auto"/>
        <w:jc w:val="both"/>
        <w:rPr>
          <w:rFonts w:cs="Times New Roman"/>
          <w:sz w:val="24"/>
          <w:szCs w:val="24"/>
        </w:rPr>
      </w:pPr>
    </w:p>
    <w:p w14:paraId="64B3E3C1" w14:textId="36AC0A76" w:rsidR="009569EE" w:rsidRPr="00F438E9" w:rsidRDefault="009569EE" w:rsidP="00F438E9">
      <w:pPr>
        <w:spacing w:line="480" w:lineRule="auto"/>
        <w:jc w:val="both"/>
        <w:rPr>
          <w:rFonts w:cs="Times New Roman"/>
          <w:b/>
          <w:sz w:val="24"/>
          <w:szCs w:val="24"/>
        </w:rPr>
      </w:pPr>
      <w:r w:rsidRPr="00F438E9">
        <w:rPr>
          <w:rFonts w:cs="Times New Roman"/>
          <w:b/>
          <w:sz w:val="24"/>
          <w:szCs w:val="24"/>
        </w:rPr>
        <w:t>References</w:t>
      </w:r>
    </w:p>
    <w:p w14:paraId="6DC82698" w14:textId="3230E632"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Martin, M., </w:t>
      </w:r>
      <w:proofErr w:type="spellStart"/>
      <w:r w:rsidRPr="00F438E9">
        <w:rPr>
          <w:rFonts w:cs="Times New Roman"/>
          <w:sz w:val="24"/>
          <w:szCs w:val="24"/>
        </w:rPr>
        <w:t>Cutadapt</w:t>
      </w:r>
      <w:proofErr w:type="spellEnd"/>
      <w:r w:rsidRPr="00F438E9">
        <w:rPr>
          <w:rFonts w:cs="Times New Roman"/>
          <w:sz w:val="24"/>
          <w:szCs w:val="24"/>
        </w:rPr>
        <w:t xml:space="preserve"> removes adapter sequences from high-throughput sequencing reads. 2011, 2011. 17(1): p. 3.</w:t>
      </w:r>
    </w:p>
    <w:p w14:paraId="327D8E14" w14:textId="4C29DDC7"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Bolger, A.M., M. Lohse, and B. </w:t>
      </w:r>
      <w:proofErr w:type="spellStart"/>
      <w:r w:rsidRPr="00F438E9">
        <w:rPr>
          <w:rFonts w:cs="Times New Roman"/>
          <w:sz w:val="24"/>
          <w:szCs w:val="24"/>
        </w:rPr>
        <w:t>Usadel</w:t>
      </w:r>
      <w:proofErr w:type="spellEnd"/>
      <w:r w:rsidRPr="00F438E9">
        <w:rPr>
          <w:rFonts w:cs="Times New Roman"/>
          <w:sz w:val="24"/>
          <w:szCs w:val="24"/>
        </w:rPr>
        <w:t xml:space="preserve">, </w:t>
      </w:r>
      <w:proofErr w:type="spellStart"/>
      <w:r w:rsidRPr="00F438E9">
        <w:rPr>
          <w:rFonts w:cs="Times New Roman"/>
          <w:sz w:val="24"/>
          <w:szCs w:val="24"/>
        </w:rPr>
        <w:t>Trimmomatic</w:t>
      </w:r>
      <w:proofErr w:type="spellEnd"/>
      <w:r w:rsidRPr="00F438E9">
        <w:rPr>
          <w:rFonts w:cs="Times New Roman"/>
          <w:sz w:val="24"/>
          <w:szCs w:val="24"/>
        </w:rPr>
        <w:t>: a flexible trimmer for Illumina sequence data. Bioinformatics, 2014. 30(15): p. 2114-2120.</w:t>
      </w:r>
    </w:p>
    <w:p w14:paraId="15C06EA8" w14:textId="53AD933C"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Li, H. and R. Durbin, Fast and accurate short read alignment with Burrows–Wheeler transform. Bioinformatics, 2009. 25(14): p. 1754-1760.</w:t>
      </w:r>
    </w:p>
    <w:p w14:paraId="1261F142" w14:textId="65E8C8DB"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Van der </w:t>
      </w:r>
      <w:proofErr w:type="spellStart"/>
      <w:r w:rsidRPr="00F438E9">
        <w:rPr>
          <w:rFonts w:cs="Times New Roman"/>
          <w:sz w:val="24"/>
          <w:szCs w:val="24"/>
        </w:rPr>
        <w:t>Auwera</w:t>
      </w:r>
      <w:proofErr w:type="spellEnd"/>
      <w:r w:rsidRPr="00F438E9">
        <w:rPr>
          <w:rFonts w:cs="Times New Roman"/>
          <w:sz w:val="24"/>
          <w:szCs w:val="24"/>
        </w:rPr>
        <w:t xml:space="preserve">, G.A., et al., From </w:t>
      </w:r>
      <w:proofErr w:type="spellStart"/>
      <w:r w:rsidRPr="00F438E9">
        <w:rPr>
          <w:rFonts w:cs="Times New Roman"/>
          <w:sz w:val="24"/>
          <w:szCs w:val="24"/>
        </w:rPr>
        <w:t>FastQ</w:t>
      </w:r>
      <w:proofErr w:type="spellEnd"/>
      <w:r w:rsidRPr="00F438E9">
        <w:rPr>
          <w:rFonts w:cs="Times New Roman"/>
          <w:sz w:val="24"/>
          <w:szCs w:val="24"/>
        </w:rPr>
        <w:t xml:space="preserve"> data to high confidence variant calls: the Genome Analysis Toolkit best practices pipeline. </w:t>
      </w:r>
      <w:proofErr w:type="spellStart"/>
      <w:r w:rsidRPr="00F438E9">
        <w:rPr>
          <w:rFonts w:cs="Times New Roman"/>
          <w:sz w:val="24"/>
          <w:szCs w:val="24"/>
        </w:rPr>
        <w:t>Curr</w:t>
      </w:r>
      <w:proofErr w:type="spellEnd"/>
      <w:r w:rsidRPr="00F438E9">
        <w:rPr>
          <w:rFonts w:cs="Times New Roman"/>
          <w:sz w:val="24"/>
          <w:szCs w:val="24"/>
        </w:rPr>
        <w:t xml:space="preserve"> </w:t>
      </w:r>
      <w:proofErr w:type="spellStart"/>
      <w:r w:rsidRPr="00F438E9">
        <w:rPr>
          <w:rFonts w:cs="Times New Roman"/>
          <w:sz w:val="24"/>
          <w:szCs w:val="24"/>
        </w:rPr>
        <w:t>Protoc</w:t>
      </w:r>
      <w:proofErr w:type="spellEnd"/>
      <w:r w:rsidRPr="00F438E9">
        <w:rPr>
          <w:rFonts w:cs="Times New Roman"/>
          <w:sz w:val="24"/>
          <w:szCs w:val="24"/>
        </w:rPr>
        <w:t xml:space="preserve"> Bioinformatics, 2013. 43(1110): p. 11.10.1-11.10.33.</w:t>
      </w:r>
    </w:p>
    <w:p w14:paraId="52713CBA" w14:textId="4AC702E1"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t>Karczewski</w:t>
      </w:r>
      <w:proofErr w:type="spellEnd"/>
      <w:r w:rsidRPr="00F438E9">
        <w:rPr>
          <w:rFonts w:cs="Times New Roman"/>
          <w:sz w:val="24"/>
          <w:szCs w:val="24"/>
        </w:rPr>
        <w:t>, K.J., et al., The mutational constraint spectrum quantified from variation in 141,456 humans. Nature, 2020. 581(7809): p. 434-443.</w:t>
      </w:r>
    </w:p>
    <w:p w14:paraId="4FC64E20" w14:textId="2FA26410" w:rsidR="009569EE" w:rsidRPr="00F438E9" w:rsidRDefault="00EE29B5"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McLaren, W., et al., The </w:t>
      </w:r>
      <w:proofErr w:type="spellStart"/>
      <w:r w:rsidRPr="00F438E9">
        <w:rPr>
          <w:rFonts w:cs="Times New Roman"/>
          <w:sz w:val="24"/>
          <w:szCs w:val="24"/>
        </w:rPr>
        <w:t>Ensembl</w:t>
      </w:r>
      <w:proofErr w:type="spellEnd"/>
      <w:r w:rsidRPr="00F438E9">
        <w:rPr>
          <w:rFonts w:cs="Times New Roman"/>
          <w:sz w:val="24"/>
          <w:szCs w:val="24"/>
        </w:rPr>
        <w:t xml:space="preserve"> Variant Effect Predictor. Genome Biology, 2016. 17(1): 122.</w:t>
      </w:r>
    </w:p>
    <w:p w14:paraId="203DD487" w14:textId="01FFD4D6"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Rosenthal, R., et al., </w:t>
      </w:r>
      <w:proofErr w:type="spellStart"/>
      <w:r w:rsidRPr="00F438E9">
        <w:rPr>
          <w:rFonts w:cs="Times New Roman"/>
          <w:sz w:val="24"/>
          <w:szCs w:val="24"/>
        </w:rPr>
        <w:t>DeconstructSigs</w:t>
      </w:r>
      <w:proofErr w:type="spellEnd"/>
      <w:r w:rsidRPr="00F438E9">
        <w:rPr>
          <w:rFonts w:cs="Times New Roman"/>
          <w:sz w:val="24"/>
          <w:szCs w:val="24"/>
        </w:rPr>
        <w:t xml:space="preserve">: delineating mutational processes in single </w:t>
      </w:r>
      <w:proofErr w:type="spellStart"/>
      <w:r w:rsidRPr="00F438E9">
        <w:rPr>
          <w:rFonts w:cs="Times New Roman"/>
          <w:sz w:val="24"/>
          <w:szCs w:val="24"/>
        </w:rPr>
        <w:t>tumors</w:t>
      </w:r>
      <w:proofErr w:type="spellEnd"/>
      <w:r w:rsidRPr="00F438E9">
        <w:rPr>
          <w:rFonts w:cs="Times New Roman"/>
          <w:sz w:val="24"/>
          <w:szCs w:val="24"/>
        </w:rPr>
        <w:t xml:space="preserve"> distinguishes DNA repair deficiencies and patterns of carcinoma evolution. Genome </w:t>
      </w:r>
      <w:proofErr w:type="spellStart"/>
      <w:r w:rsidRPr="00F438E9">
        <w:rPr>
          <w:rFonts w:cs="Times New Roman"/>
          <w:sz w:val="24"/>
          <w:szCs w:val="24"/>
        </w:rPr>
        <w:t>Biol</w:t>
      </w:r>
      <w:proofErr w:type="spellEnd"/>
      <w:r w:rsidRPr="00F438E9">
        <w:rPr>
          <w:rFonts w:cs="Times New Roman"/>
          <w:sz w:val="24"/>
          <w:szCs w:val="24"/>
        </w:rPr>
        <w:t>, 2016. 17: p. 31.</w:t>
      </w:r>
    </w:p>
    <w:p w14:paraId="7F0F138F" w14:textId="03915B38"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t>Talevich</w:t>
      </w:r>
      <w:proofErr w:type="spellEnd"/>
      <w:r w:rsidRPr="00F438E9">
        <w:rPr>
          <w:rFonts w:cs="Times New Roman"/>
          <w:sz w:val="24"/>
          <w:szCs w:val="24"/>
        </w:rPr>
        <w:t xml:space="preserve">, E., et al., </w:t>
      </w:r>
      <w:proofErr w:type="spellStart"/>
      <w:r w:rsidRPr="00F438E9">
        <w:rPr>
          <w:rFonts w:cs="Times New Roman"/>
          <w:sz w:val="24"/>
          <w:szCs w:val="24"/>
        </w:rPr>
        <w:t>CNVkit</w:t>
      </w:r>
      <w:proofErr w:type="spellEnd"/>
      <w:r w:rsidRPr="00F438E9">
        <w:rPr>
          <w:rFonts w:cs="Times New Roman"/>
          <w:sz w:val="24"/>
          <w:szCs w:val="24"/>
        </w:rPr>
        <w:t xml:space="preserve">: Genome-Wide Copy Number Detection and Visualization from Targeted DNA Sequencing. </w:t>
      </w:r>
      <w:proofErr w:type="spellStart"/>
      <w:r w:rsidRPr="00F438E9">
        <w:rPr>
          <w:rFonts w:cs="Times New Roman"/>
          <w:sz w:val="24"/>
          <w:szCs w:val="24"/>
        </w:rPr>
        <w:t>PLoS</w:t>
      </w:r>
      <w:proofErr w:type="spellEnd"/>
      <w:r w:rsidRPr="00F438E9">
        <w:rPr>
          <w:rFonts w:cs="Times New Roman"/>
          <w:sz w:val="24"/>
          <w:szCs w:val="24"/>
        </w:rPr>
        <w:t xml:space="preserve"> </w:t>
      </w:r>
      <w:proofErr w:type="spellStart"/>
      <w:r w:rsidRPr="00F438E9">
        <w:rPr>
          <w:rFonts w:cs="Times New Roman"/>
          <w:sz w:val="24"/>
          <w:szCs w:val="24"/>
        </w:rPr>
        <w:t>Comput</w:t>
      </w:r>
      <w:proofErr w:type="spellEnd"/>
      <w:r w:rsidRPr="00F438E9">
        <w:rPr>
          <w:rFonts w:cs="Times New Roman"/>
          <w:sz w:val="24"/>
          <w:szCs w:val="24"/>
        </w:rPr>
        <w:t xml:space="preserve"> </w:t>
      </w:r>
      <w:proofErr w:type="spellStart"/>
      <w:r w:rsidRPr="00F438E9">
        <w:rPr>
          <w:rFonts w:cs="Times New Roman"/>
          <w:sz w:val="24"/>
          <w:szCs w:val="24"/>
        </w:rPr>
        <w:t>Biol</w:t>
      </w:r>
      <w:proofErr w:type="spellEnd"/>
      <w:r w:rsidRPr="00F438E9">
        <w:rPr>
          <w:rFonts w:cs="Times New Roman"/>
          <w:sz w:val="24"/>
          <w:szCs w:val="24"/>
        </w:rPr>
        <w:t>, 2016. 12(4): p. e1004873.</w:t>
      </w:r>
    </w:p>
    <w:p w14:paraId="006E50F6" w14:textId="54C8BB2F"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t>Mermel</w:t>
      </w:r>
      <w:proofErr w:type="spellEnd"/>
      <w:r w:rsidRPr="00F438E9">
        <w:rPr>
          <w:rFonts w:cs="Times New Roman"/>
          <w:sz w:val="24"/>
          <w:szCs w:val="24"/>
        </w:rPr>
        <w:t>, C.H., et al., GISTIC2.0 facilitates sensitive and confident localization of the targets of focal somatic copy-number alteration in human cancers. Genome Biology, 2011. 12(4): p. R41.</w:t>
      </w:r>
    </w:p>
    <w:p w14:paraId="23249229" w14:textId="65BBC2BA"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lastRenderedPageBreak/>
        <w:t>Mayakonda</w:t>
      </w:r>
      <w:proofErr w:type="spellEnd"/>
      <w:r w:rsidRPr="00F438E9">
        <w:rPr>
          <w:rFonts w:cs="Times New Roman"/>
          <w:sz w:val="24"/>
          <w:szCs w:val="24"/>
        </w:rPr>
        <w:t xml:space="preserve">, A., et al., </w:t>
      </w:r>
      <w:proofErr w:type="spellStart"/>
      <w:r w:rsidRPr="00F438E9">
        <w:rPr>
          <w:rFonts w:cs="Times New Roman"/>
          <w:sz w:val="24"/>
          <w:szCs w:val="24"/>
        </w:rPr>
        <w:t>Maftools</w:t>
      </w:r>
      <w:proofErr w:type="spellEnd"/>
      <w:r w:rsidRPr="00F438E9">
        <w:rPr>
          <w:rFonts w:cs="Times New Roman"/>
          <w:sz w:val="24"/>
          <w:szCs w:val="24"/>
        </w:rPr>
        <w:t>: efficient and comprehensive analysis of somatic variants in cancer. Genome Res, 2018. 28(11): p. 1747-1756.</w:t>
      </w:r>
    </w:p>
    <w:p w14:paraId="4D07E97D" w14:textId="3C9B46C8"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t>Favero</w:t>
      </w:r>
      <w:proofErr w:type="spellEnd"/>
      <w:r w:rsidRPr="00F438E9">
        <w:rPr>
          <w:rFonts w:cs="Times New Roman"/>
          <w:sz w:val="24"/>
          <w:szCs w:val="24"/>
        </w:rPr>
        <w:t xml:space="preserve">, F., et al., </w:t>
      </w:r>
      <w:proofErr w:type="spellStart"/>
      <w:r w:rsidRPr="00F438E9">
        <w:rPr>
          <w:rFonts w:cs="Times New Roman"/>
          <w:sz w:val="24"/>
          <w:szCs w:val="24"/>
        </w:rPr>
        <w:t>Sequenza</w:t>
      </w:r>
      <w:proofErr w:type="spellEnd"/>
      <w:r w:rsidRPr="00F438E9">
        <w:rPr>
          <w:rFonts w:cs="Times New Roman"/>
          <w:sz w:val="24"/>
          <w:szCs w:val="24"/>
        </w:rPr>
        <w:t xml:space="preserve">: allele-specific copy number and mutation profiles from </w:t>
      </w:r>
      <w:proofErr w:type="spellStart"/>
      <w:r w:rsidRPr="00F438E9">
        <w:rPr>
          <w:rFonts w:cs="Times New Roman"/>
          <w:sz w:val="24"/>
          <w:szCs w:val="24"/>
        </w:rPr>
        <w:t>tumor</w:t>
      </w:r>
      <w:proofErr w:type="spellEnd"/>
      <w:r w:rsidRPr="00F438E9">
        <w:rPr>
          <w:rFonts w:cs="Times New Roman"/>
          <w:sz w:val="24"/>
          <w:szCs w:val="24"/>
        </w:rPr>
        <w:t xml:space="preserve"> sequencing data. Ann Oncol, 2015. 26(1): p. 64-70.</w:t>
      </w:r>
    </w:p>
    <w:p w14:paraId="43954766" w14:textId="7A4FDFDE"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t>Sztupinszki</w:t>
      </w:r>
      <w:proofErr w:type="spellEnd"/>
      <w:r w:rsidRPr="00F438E9">
        <w:rPr>
          <w:rFonts w:cs="Times New Roman"/>
          <w:sz w:val="24"/>
          <w:szCs w:val="24"/>
        </w:rPr>
        <w:t xml:space="preserve">, Z., et al., Migrating the SNP array-based homologous recombination deficiency measures to next generation sequencing data of breast cancer. </w:t>
      </w:r>
      <w:proofErr w:type="spellStart"/>
      <w:r w:rsidRPr="00F438E9">
        <w:rPr>
          <w:rFonts w:cs="Times New Roman"/>
          <w:sz w:val="24"/>
          <w:szCs w:val="24"/>
        </w:rPr>
        <w:t>npj</w:t>
      </w:r>
      <w:proofErr w:type="spellEnd"/>
      <w:r w:rsidRPr="00F438E9">
        <w:rPr>
          <w:rFonts w:cs="Times New Roman"/>
          <w:sz w:val="24"/>
          <w:szCs w:val="24"/>
        </w:rPr>
        <w:t xml:space="preserve"> Breast Cancer, 2018. 4(1): p. 16.</w:t>
      </w:r>
    </w:p>
    <w:p w14:paraId="50E0F443" w14:textId="66ADF932" w:rsidR="009569EE" w:rsidRPr="00F438E9" w:rsidRDefault="009569EE" w:rsidP="00F438E9">
      <w:pPr>
        <w:pStyle w:val="ListParagraph"/>
        <w:numPr>
          <w:ilvl w:val="0"/>
          <w:numId w:val="3"/>
        </w:numPr>
        <w:spacing w:line="480" w:lineRule="auto"/>
        <w:jc w:val="both"/>
        <w:rPr>
          <w:rFonts w:cs="Times New Roman"/>
          <w:sz w:val="24"/>
          <w:szCs w:val="24"/>
        </w:rPr>
      </w:pPr>
      <w:proofErr w:type="spellStart"/>
      <w:r w:rsidRPr="00F438E9">
        <w:rPr>
          <w:rFonts w:cs="Times New Roman"/>
          <w:sz w:val="24"/>
          <w:szCs w:val="24"/>
        </w:rPr>
        <w:t>Dobin</w:t>
      </w:r>
      <w:proofErr w:type="spellEnd"/>
      <w:r w:rsidRPr="00F438E9">
        <w:rPr>
          <w:rFonts w:cs="Times New Roman"/>
          <w:sz w:val="24"/>
          <w:szCs w:val="24"/>
        </w:rPr>
        <w:t>, A., et al., STAR: ultrafast universal RNA-</w:t>
      </w:r>
      <w:proofErr w:type="spellStart"/>
      <w:r w:rsidRPr="00F438E9">
        <w:rPr>
          <w:rFonts w:cs="Times New Roman"/>
          <w:sz w:val="24"/>
          <w:szCs w:val="24"/>
        </w:rPr>
        <w:t>seq</w:t>
      </w:r>
      <w:proofErr w:type="spellEnd"/>
      <w:r w:rsidRPr="00F438E9">
        <w:rPr>
          <w:rFonts w:cs="Times New Roman"/>
          <w:sz w:val="24"/>
          <w:szCs w:val="24"/>
        </w:rPr>
        <w:t xml:space="preserve"> aligner. Bioinformatics, 2013. 29(1): p. 15-21.</w:t>
      </w:r>
    </w:p>
    <w:p w14:paraId="3B3DEA9A" w14:textId="12146FB8" w:rsidR="009569EE" w:rsidRPr="00F438E9" w:rsidRDefault="00EE29B5"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Law, C. W., et al., </w:t>
      </w:r>
      <w:proofErr w:type="spellStart"/>
      <w:r w:rsidRPr="00F438E9">
        <w:rPr>
          <w:rFonts w:cs="Times New Roman"/>
          <w:sz w:val="24"/>
          <w:szCs w:val="24"/>
        </w:rPr>
        <w:t>Voom</w:t>
      </w:r>
      <w:proofErr w:type="spellEnd"/>
      <w:r w:rsidRPr="00F438E9">
        <w:rPr>
          <w:rFonts w:cs="Times New Roman"/>
          <w:sz w:val="24"/>
          <w:szCs w:val="24"/>
        </w:rPr>
        <w:t>: precision weights unlock linear model analysis tools for RNA-</w:t>
      </w:r>
      <w:proofErr w:type="spellStart"/>
      <w:r w:rsidRPr="00F438E9">
        <w:rPr>
          <w:rFonts w:cs="Times New Roman"/>
          <w:sz w:val="24"/>
          <w:szCs w:val="24"/>
        </w:rPr>
        <w:t>seq</w:t>
      </w:r>
      <w:proofErr w:type="spellEnd"/>
      <w:r w:rsidRPr="00F438E9">
        <w:rPr>
          <w:rFonts w:cs="Times New Roman"/>
          <w:sz w:val="24"/>
          <w:szCs w:val="24"/>
        </w:rPr>
        <w:t xml:space="preserve"> read counts. Genome Biology, 2014. 15(2): R29.</w:t>
      </w:r>
    </w:p>
    <w:p w14:paraId="610790DE" w14:textId="44299334"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Kuleshov, M.V., et al., </w:t>
      </w:r>
      <w:proofErr w:type="spellStart"/>
      <w:r w:rsidRPr="00F438E9">
        <w:rPr>
          <w:rFonts w:cs="Times New Roman"/>
          <w:sz w:val="24"/>
          <w:szCs w:val="24"/>
        </w:rPr>
        <w:t>Enrichr</w:t>
      </w:r>
      <w:proofErr w:type="spellEnd"/>
      <w:r w:rsidRPr="00F438E9">
        <w:rPr>
          <w:rFonts w:cs="Times New Roman"/>
          <w:sz w:val="24"/>
          <w:szCs w:val="24"/>
        </w:rPr>
        <w:t>: a comprehensive gene set enrichment analysis web server 2016 update. Nucleic Acids Res, 2016. 44(W1): p. W90-7.</w:t>
      </w:r>
    </w:p>
    <w:p w14:paraId="7A4D8F61" w14:textId="1163A4AE" w:rsidR="009569EE"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Luo, W., et al., GAGE: generally applicable gene set enrichment for pathway analysis. BMC Bioinformatics, 2009. 10(1): p. 161.</w:t>
      </w:r>
    </w:p>
    <w:p w14:paraId="45870A41" w14:textId="0D6B2CCE" w:rsidR="00C23FEF" w:rsidRPr="00F438E9" w:rsidRDefault="00C23FEF" w:rsidP="00F438E9">
      <w:pPr>
        <w:pStyle w:val="ListParagraph"/>
        <w:numPr>
          <w:ilvl w:val="0"/>
          <w:numId w:val="3"/>
        </w:numPr>
        <w:spacing w:line="480" w:lineRule="auto"/>
        <w:jc w:val="both"/>
        <w:rPr>
          <w:rFonts w:cs="Times New Roman"/>
          <w:sz w:val="24"/>
          <w:szCs w:val="24"/>
        </w:rPr>
      </w:pPr>
      <w:proofErr w:type="spellStart"/>
      <w:r w:rsidRPr="00C23FEF">
        <w:rPr>
          <w:rFonts w:cs="Times New Roman"/>
          <w:sz w:val="24"/>
          <w:szCs w:val="24"/>
        </w:rPr>
        <w:t>Korotkevich</w:t>
      </w:r>
      <w:proofErr w:type="spellEnd"/>
      <w:r w:rsidRPr="00C23FEF">
        <w:rPr>
          <w:rFonts w:cs="Times New Roman"/>
          <w:sz w:val="24"/>
          <w:szCs w:val="24"/>
        </w:rPr>
        <w:t xml:space="preserve">, Gennady, et al. "Fast gene set enrichment analysis." </w:t>
      </w:r>
      <w:proofErr w:type="spellStart"/>
      <w:r w:rsidRPr="00C23FEF">
        <w:rPr>
          <w:rFonts w:cs="Times New Roman"/>
          <w:sz w:val="24"/>
          <w:szCs w:val="24"/>
        </w:rPr>
        <w:t>BioRxiv</w:t>
      </w:r>
      <w:proofErr w:type="spellEnd"/>
      <w:r w:rsidRPr="00C23FEF">
        <w:rPr>
          <w:rFonts w:cs="Times New Roman"/>
          <w:sz w:val="24"/>
          <w:szCs w:val="24"/>
        </w:rPr>
        <w:t xml:space="preserve"> (2021): 060012.</w:t>
      </w:r>
    </w:p>
    <w:p w14:paraId="0C826A50" w14:textId="4E9412B1"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Wilkerson, M.D. and D.N. Hayes, </w:t>
      </w:r>
      <w:proofErr w:type="spellStart"/>
      <w:r w:rsidRPr="00F438E9">
        <w:rPr>
          <w:rFonts w:cs="Times New Roman"/>
          <w:sz w:val="24"/>
          <w:szCs w:val="24"/>
        </w:rPr>
        <w:t>ConsensusClusterPlus</w:t>
      </w:r>
      <w:proofErr w:type="spellEnd"/>
      <w:r w:rsidRPr="00F438E9">
        <w:rPr>
          <w:rFonts w:cs="Times New Roman"/>
          <w:sz w:val="24"/>
          <w:szCs w:val="24"/>
        </w:rPr>
        <w:t>: a class discovery tool with confidence assessments and item tracking. Bioinformatics, 2010. 26(12): p. 1572-3.</w:t>
      </w:r>
    </w:p>
    <w:p w14:paraId="02352C19" w14:textId="0A0F7D0E"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Robertson, A.G., et al., Comprehensive Molecular Characterization of Muscle-Invasive Bladder Cancer. Cell, 2017. 171(3): p. 540-556.e25.</w:t>
      </w:r>
    </w:p>
    <w:p w14:paraId="0F3D4826" w14:textId="79090B56" w:rsidR="00E6320D" w:rsidRPr="00F438E9" w:rsidRDefault="00EE29B5"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Castro, M.A., </w:t>
      </w:r>
      <w:r w:rsidR="0076671E" w:rsidRPr="00F438E9">
        <w:rPr>
          <w:rFonts w:cs="Times New Roman"/>
          <w:sz w:val="24"/>
          <w:szCs w:val="24"/>
        </w:rPr>
        <w:t>et al.,</w:t>
      </w:r>
      <w:r w:rsidRPr="00F438E9">
        <w:rPr>
          <w:rFonts w:cs="Times New Roman"/>
          <w:sz w:val="24"/>
          <w:szCs w:val="24"/>
        </w:rPr>
        <w:t xml:space="preserve"> RTN: Reconstruction of transcriptional networks and analysis of master regulators (R/Bioconductor package)</w:t>
      </w:r>
      <w:r w:rsidR="0076671E" w:rsidRPr="00F438E9">
        <w:rPr>
          <w:rFonts w:cs="Times New Roman"/>
          <w:sz w:val="24"/>
          <w:szCs w:val="24"/>
        </w:rPr>
        <w:t>, 2016b.</w:t>
      </w:r>
    </w:p>
    <w:p w14:paraId="4CE974ED" w14:textId="6655EAEC"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lastRenderedPageBreak/>
        <w:t xml:space="preserve">Jiménez-Sánchez, A., O. Cast, and M.L. Miller, Comprehensive Benchmarking and Integration of </w:t>
      </w:r>
      <w:proofErr w:type="spellStart"/>
      <w:r w:rsidRPr="00F438E9">
        <w:rPr>
          <w:rFonts w:cs="Times New Roman"/>
          <w:sz w:val="24"/>
          <w:szCs w:val="24"/>
        </w:rPr>
        <w:t>Tumor</w:t>
      </w:r>
      <w:proofErr w:type="spellEnd"/>
      <w:r w:rsidRPr="00F438E9">
        <w:rPr>
          <w:rFonts w:cs="Times New Roman"/>
          <w:sz w:val="24"/>
          <w:szCs w:val="24"/>
        </w:rPr>
        <w:t xml:space="preserve"> Microenvironment Cell Estimation Methods. Cancer Research, 2019. 79(24): p. 6238-6246.</w:t>
      </w:r>
    </w:p>
    <w:p w14:paraId="33378AA2" w14:textId="4A2E623E" w:rsidR="009569EE"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Goel, A., et al., Back-Splicing Transcript Isoforms (Circular RNAs) Affect Biologically Relevant Pathways and Offer an Additional Layer of Information to Stratify NMIBC Patients. Frontiers in Oncology, 2020. 10(812).</w:t>
      </w:r>
    </w:p>
    <w:p w14:paraId="4961939C" w14:textId="4997FA67" w:rsidR="00AD4FA1" w:rsidRPr="00F438E9" w:rsidRDefault="009569EE" w:rsidP="00F438E9">
      <w:pPr>
        <w:pStyle w:val="ListParagraph"/>
        <w:numPr>
          <w:ilvl w:val="0"/>
          <w:numId w:val="3"/>
        </w:numPr>
        <w:spacing w:line="480" w:lineRule="auto"/>
        <w:jc w:val="both"/>
        <w:rPr>
          <w:rFonts w:cs="Times New Roman"/>
          <w:sz w:val="24"/>
          <w:szCs w:val="24"/>
        </w:rPr>
      </w:pPr>
      <w:r w:rsidRPr="00F438E9">
        <w:rPr>
          <w:rFonts w:cs="Times New Roman"/>
          <w:sz w:val="24"/>
          <w:szCs w:val="24"/>
        </w:rPr>
        <w:t xml:space="preserve">Cheng, J., F. </w:t>
      </w:r>
      <w:proofErr w:type="spellStart"/>
      <w:r w:rsidRPr="00F438E9">
        <w:rPr>
          <w:rFonts w:cs="Times New Roman"/>
          <w:sz w:val="24"/>
          <w:szCs w:val="24"/>
        </w:rPr>
        <w:t>Metge</w:t>
      </w:r>
      <w:proofErr w:type="spellEnd"/>
      <w:r w:rsidRPr="00F438E9">
        <w:rPr>
          <w:rFonts w:cs="Times New Roman"/>
          <w:sz w:val="24"/>
          <w:szCs w:val="24"/>
        </w:rPr>
        <w:t>, and C. Dieterich, Specific identification and quantification of circular RNAs from sequencing data. Bioinformatics, 2015. 32(7): p. 1094-1096.</w:t>
      </w:r>
      <w:bookmarkEnd w:id="0"/>
    </w:p>
    <w:sectPr w:rsidR="00AD4FA1" w:rsidRPr="00F438E9" w:rsidSect="00605922">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9221A2" w14:textId="77777777" w:rsidR="00C17189" w:rsidRDefault="00C17189" w:rsidP="000B3268">
      <w:pPr>
        <w:spacing w:after="0" w:line="240" w:lineRule="auto"/>
      </w:pPr>
      <w:r>
        <w:separator/>
      </w:r>
    </w:p>
  </w:endnote>
  <w:endnote w:type="continuationSeparator" w:id="0">
    <w:p w14:paraId="2D28AB2D" w14:textId="77777777" w:rsidR="00C17189" w:rsidRDefault="00C17189" w:rsidP="000B3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48297448"/>
      <w:docPartObj>
        <w:docPartGallery w:val="Page Numbers (Bottom of Page)"/>
        <w:docPartUnique/>
      </w:docPartObj>
    </w:sdtPr>
    <w:sdtEndPr>
      <w:rPr>
        <w:rStyle w:val="PageNumber"/>
      </w:rPr>
    </w:sdtEndPr>
    <w:sdtContent>
      <w:p w14:paraId="5EFCAEB7" w14:textId="68F2E530" w:rsidR="00426AFA" w:rsidRDefault="00426AFA" w:rsidP="006C5E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721782" w14:textId="77777777" w:rsidR="00426AFA" w:rsidRDefault="00426AFA" w:rsidP="00426AF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59920000"/>
      <w:docPartObj>
        <w:docPartGallery w:val="Page Numbers (Bottom of Page)"/>
        <w:docPartUnique/>
      </w:docPartObj>
    </w:sdtPr>
    <w:sdtEndPr>
      <w:rPr>
        <w:rStyle w:val="PageNumber"/>
      </w:rPr>
    </w:sdtEndPr>
    <w:sdtContent>
      <w:p w14:paraId="4FF73A54" w14:textId="54CDE332" w:rsidR="00426AFA" w:rsidRDefault="00426AFA" w:rsidP="006C5E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05922">
          <w:rPr>
            <w:rStyle w:val="PageNumber"/>
            <w:noProof/>
          </w:rPr>
          <w:t>14</w:t>
        </w:r>
        <w:r>
          <w:rPr>
            <w:rStyle w:val="PageNumber"/>
          </w:rPr>
          <w:fldChar w:fldCharType="end"/>
        </w:r>
      </w:p>
    </w:sdtContent>
  </w:sdt>
  <w:p w14:paraId="3527B929" w14:textId="77777777" w:rsidR="00426AFA" w:rsidRDefault="00426AFA" w:rsidP="00426AF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0638C" w14:textId="77777777" w:rsidR="00C17189" w:rsidRDefault="00C17189" w:rsidP="000B3268">
      <w:pPr>
        <w:spacing w:after="0" w:line="240" w:lineRule="auto"/>
      </w:pPr>
      <w:r>
        <w:separator/>
      </w:r>
    </w:p>
  </w:footnote>
  <w:footnote w:type="continuationSeparator" w:id="0">
    <w:p w14:paraId="627EAE6A" w14:textId="77777777" w:rsidR="00C17189" w:rsidRDefault="00C17189" w:rsidP="000B32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B0FB9"/>
    <w:multiLevelType w:val="hybridMultilevel"/>
    <w:tmpl w:val="52AE31B4"/>
    <w:lvl w:ilvl="0" w:tplc="B74A3E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4E4F76"/>
    <w:multiLevelType w:val="hybridMultilevel"/>
    <w:tmpl w:val="64687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510D83"/>
    <w:multiLevelType w:val="hybridMultilevel"/>
    <w:tmpl w:val="3F1467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f5xe5dazprwbe5vt6x95fqw252550p5rxt&quot;&gt;My EndNote Library-Converted&lt;record-ids&gt;&lt;item&gt;3&lt;/item&gt;&lt;item&gt;4&lt;/item&gt;&lt;item&gt;5&lt;/item&gt;&lt;item&gt;6&lt;/item&gt;&lt;item&gt;7&lt;/item&gt;&lt;item&gt;9&lt;/item&gt;&lt;item&gt;10&lt;/item&gt;&lt;item&gt;11&lt;/item&gt;&lt;item&gt;13&lt;/item&gt;&lt;item&gt;14&lt;/item&gt;&lt;item&gt;25&lt;/item&gt;&lt;item&gt;26&lt;/item&gt;&lt;item&gt;27&lt;/item&gt;&lt;item&gt;28&lt;/item&gt;&lt;item&gt;30&lt;/item&gt;&lt;item&gt;31&lt;/item&gt;&lt;item&gt;33&lt;/item&gt;&lt;item&gt;35&lt;/item&gt;&lt;item&gt;37&lt;/item&gt;&lt;item&gt;38&lt;/item&gt;&lt;/record-ids&gt;&lt;/item&gt;&lt;/Libraries&gt;"/>
    <w:docVar w:name="Total_Editing_Time" w:val="70"/>
  </w:docVars>
  <w:rsids>
    <w:rsidRoot w:val="00EC33B0"/>
    <w:rsid w:val="000420CA"/>
    <w:rsid w:val="00046412"/>
    <w:rsid w:val="000562AC"/>
    <w:rsid w:val="0008317E"/>
    <w:rsid w:val="000972ED"/>
    <w:rsid w:val="000B3268"/>
    <w:rsid w:val="000D7473"/>
    <w:rsid w:val="00110E62"/>
    <w:rsid w:val="0012238F"/>
    <w:rsid w:val="00123714"/>
    <w:rsid w:val="00133D86"/>
    <w:rsid w:val="001A3E87"/>
    <w:rsid w:val="001B7455"/>
    <w:rsid w:val="001D4F6B"/>
    <w:rsid w:val="001E3C12"/>
    <w:rsid w:val="001F0125"/>
    <w:rsid w:val="00207047"/>
    <w:rsid w:val="0021497B"/>
    <w:rsid w:val="00235A68"/>
    <w:rsid w:val="0024529A"/>
    <w:rsid w:val="002C6BA5"/>
    <w:rsid w:val="003000B5"/>
    <w:rsid w:val="00304966"/>
    <w:rsid w:val="003268F1"/>
    <w:rsid w:val="00351169"/>
    <w:rsid w:val="00352730"/>
    <w:rsid w:val="003A29A7"/>
    <w:rsid w:val="003B31F4"/>
    <w:rsid w:val="003B791F"/>
    <w:rsid w:val="003C09EB"/>
    <w:rsid w:val="003F1DB7"/>
    <w:rsid w:val="003F40EF"/>
    <w:rsid w:val="00413943"/>
    <w:rsid w:val="00414237"/>
    <w:rsid w:val="00426AFA"/>
    <w:rsid w:val="00453C83"/>
    <w:rsid w:val="00457EC4"/>
    <w:rsid w:val="00462E3E"/>
    <w:rsid w:val="004B2726"/>
    <w:rsid w:val="004C0305"/>
    <w:rsid w:val="00544CAF"/>
    <w:rsid w:val="00592F77"/>
    <w:rsid w:val="005A1791"/>
    <w:rsid w:val="005A372A"/>
    <w:rsid w:val="005B57A6"/>
    <w:rsid w:val="005B62EC"/>
    <w:rsid w:val="00605922"/>
    <w:rsid w:val="006074DA"/>
    <w:rsid w:val="0061034E"/>
    <w:rsid w:val="00646305"/>
    <w:rsid w:val="00662BBE"/>
    <w:rsid w:val="00662DF5"/>
    <w:rsid w:val="006941D1"/>
    <w:rsid w:val="007157ED"/>
    <w:rsid w:val="0072153E"/>
    <w:rsid w:val="00763DE2"/>
    <w:rsid w:val="0076671E"/>
    <w:rsid w:val="007B14A0"/>
    <w:rsid w:val="007B1B04"/>
    <w:rsid w:val="00805976"/>
    <w:rsid w:val="008374E6"/>
    <w:rsid w:val="008B4CD2"/>
    <w:rsid w:val="008D07A0"/>
    <w:rsid w:val="008D558F"/>
    <w:rsid w:val="008E4132"/>
    <w:rsid w:val="0090323D"/>
    <w:rsid w:val="0091663D"/>
    <w:rsid w:val="0091721B"/>
    <w:rsid w:val="009226F6"/>
    <w:rsid w:val="0093492E"/>
    <w:rsid w:val="009569EE"/>
    <w:rsid w:val="00A17F59"/>
    <w:rsid w:val="00A52B46"/>
    <w:rsid w:val="00A62861"/>
    <w:rsid w:val="00A7372D"/>
    <w:rsid w:val="00A81FF4"/>
    <w:rsid w:val="00AA6C94"/>
    <w:rsid w:val="00AD4FA1"/>
    <w:rsid w:val="00B33EC5"/>
    <w:rsid w:val="00B362C8"/>
    <w:rsid w:val="00B77D85"/>
    <w:rsid w:val="00B81E84"/>
    <w:rsid w:val="00BB621D"/>
    <w:rsid w:val="00BF0939"/>
    <w:rsid w:val="00C17189"/>
    <w:rsid w:val="00C17B9E"/>
    <w:rsid w:val="00C23FEF"/>
    <w:rsid w:val="00C2708E"/>
    <w:rsid w:val="00C30425"/>
    <w:rsid w:val="00C3418D"/>
    <w:rsid w:val="00C7269E"/>
    <w:rsid w:val="00C93908"/>
    <w:rsid w:val="00CE4F7C"/>
    <w:rsid w:val="00CE7547"/>
    <w:rsid w:val="00D001EA"/>
    <w:rsid w:val="00D15456"/>
    <w:rsid w:val="00D20568"/>
    <w:rsid w:val="00D35231"/>
    <w:rsid w:val="00D37B38"/>
    <w:rsid w:val="00D73DDE"/>
    <w:rsid w:val="00D85D36"/>
    <w:rsid w:val="00DD1E3D"/>
    <w:rsid w:val="00E07CCA"/>
    <w:rsid w:val="00E37324"/>
    <w:rsid w:val="00E37659"/>
    <w:rsid w:val="00E50A0B"/>
    <w:rsid w:val="00E6320D"/>
    <w:rsid w:val="00E63C83"/>
    <w:rsid w:val="00E65530"/>
    <w:rsid w:val="00E7182F"/>
    <w:rsid w:val="00E8238E"/>
    <w:rsid w:val="00EC33B0"/>
    <w:rsid w:val="00EC78A6"/>
    <w:rsid w:val="00EE29B5"/>
    <w:rsid w:val="00F214FB"/>
    <w:rsid w:val="00F31DF4"/>
    <w:rsid w:val="00F41BDF"/>
    <w:rsid w:val="00F438E9"/>
    <w:rsid w:val="00F7639B"/>
    <w:rsid w:val="00FB02D2"/>
    <w:rsid w:val="00FD08C9"/>
    <w:rsid w:val="00FE38AF"/>
    <w:rsid w:val="56D7204F"/>
    <w:rsid w:val="603A39F7"/>
    <w:rsid w:val="716D3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DA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B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7324"/>
    <w:rPr>
      <w:sz w:val="16"/>
      <w:szCs w:val="16"/>
    </w:rPr>
  </w:style>
  <w:style w:type="paragraph" w:styleId="CommentText">
    <w:name w:val="annotation text"/>
    <w:basedOn w:val="Normal"/>
    <w:link w:val="CommentTextChar"/>
    <w:uiPriority w:val="99"/>
    <w:semiHidden/>
    <w:unhideWhenUsed/>
    <w:rsid w:val="00E37324"/>
    <w:pPr>
      <w:spacing w:line="240" w:lineRule="auto"/>
    </w:pPr>
    <w:rPr>
      <w:sz w:val="20"/>
      <w:szCs w:val="20"/>
    </w:rPr>
  </w:style>
  <w:style w:type="character" w:customStyle="1" w:styleId="CommentTextChar">
    <w:name w:val="Comment Text Char"/>
    <w:basedOn w:val="DefaultParagraphFont"/>
    <w:link w:val="CommentText"/>
    <w:uiPriority w:val="99"/>
    <w:semiHidden/>
    <w:rsid w:val="00E37324"/>
    <w:rPr>
      <w:sz w:val="20"/>
      <w:szCs w:val="20"/>
    </w:rPr>
  </w:style>
  <w:style w:type="paragraph" w:styleId="CommentSubject">
    <w:name w:val="annotation subject"/>
    <w:basedOn w:val="CommentText"/>
    <w:next w:val="CommentText"/>
    <w:link w:val="CommentSubjectChar"/>
    <w:uiPriority w:val="99"/>
    <w:semiHidden/>
    <w:unhideWhenUsed/>
    <w:rsid w:val="00E37324"/>
    <w:rPr>
      <w:b/>
      <w:bCs/>
    </w:rPr>
  </w:style>
  <w:style w:type="character" w:customStyle="1" w:styleId="CommentSubjectChar">
    <w:name w:val="Comment Subject Char"/>
    <w:basedOn w:val="CommentTextChar"/>
    <w:link w:val="CommentSubject"/>
    <w:uiPriority w:val="99"/>
    <w:semiHidden/>
    <w:rsid w:val="00E37324"/>
    <w:rPr>
      <w:b/>
      <w:bCs/>
      <w:sz w:val="20"/>
      <w:szCs w:val="20"/>
    </w:rPr>
  </w:style>
  <w:style w:type="paragraph" w:styleId="BalloonText">
    <w:name w:val="Balloon Text"/>
    <w:basedOn w:val="Normal"/>
    <w:link w:val="BalloonTextChar"/>
    <w:uiPriority w:val="99"/>
    <w:semiHidden/>
    <w:unhideWhenUsed/>
    <w:rsid w:val="00E373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324"/>
    <w:rPr>
      <w:rFonts w:ascii="Segoe UI" w:hAnsi="Segoe UI" w:cs="Segoe UI"/>
      <w:sz w:val="18"/>
      <w:szCs w:val="18"/>
    </w:rPr>
  </w:style>
  <w:style w:type="character" w:styleId="Hyperlink">
    <w:name w:val="Hyperlink"/>
    <w:basedOn w:val="DefaultParagraphFont"/>
    <w:uiPriority w:val="99"/>
    <w:unhideWhenUsed/>
    <w:rsid w:val="005A372A"/>
    <w:rPr>
      <w:color w:val="0563C1" w:themeColor="hyperlink"/>
      <w:u w:val="single"/>
    </w:rPr>
  </w:style>
  <w:style w:type="character" w:customStyle="1" w:styleId="UnresolvedMention">
    <w:name w:val="Unresolved Mention"/>
    <w:basedOn w:val="DefaultParagraphFont"/>
    <w:uiPriority w:val="99"/>
    <w:semiHidden/>
    <w:unhideWhenUsed/>
    <w:rsid w:val="005A372A"/>
    <w:rPr>
      <w:color w:val="605E5C"/>
      <w:shd w:val="clear" w:color="auto" w:fill="E1DFDD"/>
    </w:rPr>
  </w:style>
  <w:style w:type="character" w:styleId="Emphasis">
    <w:name w:val="Emphasis"/>
    <w:basedOn w:val="DefaultParagraphFont"/>
    <w:uiPriority w:val="20"/>
    <w:qFormat/>
    <w:rsid w:val="005A372A"/>
    <w:rPr>
      <w:i/>
      <w:iCs/>
    </w:rPr>
  </w:style>
  <w:style w:type="paragraph" w:styleId="EndnoteText">
    <w:name w:val="endnote text"/>
    <w:basedOn w:val="Normal"/>
    <w:link w:val="EndnoteTextChar"/>
    <w:uiPriority w:val="99"/>
    <w:semiHidden/>
    <w:unhideWhenUsed/>
    <w:rsid w:val="000B32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3268"/>
    <w:rPr>
      <w:sz w:val="20"/>
      <w:szCs w:val="20"/>
    </w:rPr>
  </w:style>
  <w:style w:type="character" w:styleId="EndnoteReference">
    <w:name w:val="endnote reference"/>
    <w:basedOn w:val="DefaultParagraphFont"/>
    <w:uiPriority w:val="99"/>
    <w:semiHidden/>
    <w:unhideWhenUsed/>
    <w:rsid w:val="000B3268"/>
    <w:rPr>
      <w:vertAlign w:val="superscript"/>
    </w:rPr>
  </w:style>
  <w:style w:type="paragraph" w:customStyle="1" w:styleId="EndNoteBibliographyTitle">
    <w:name w:val="EndNote Bibliography Title"/>
    <w:basedOn w:val="Normal"/>
    <w:link w:val="EndNoteBibliographyTitleChar"/>
    <w:rsid w:val="00D20568"/>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20568"/>
    <w:rPr>
      <w:rFonts w:ascii="Calibri" w:hAnsi="Calibri" w:cs="Calibri"/>
      <w:sz w:val="22"/>
      <w:szCs w:val="22"/>
      <w:lang w:val="en-US"/>
    </w:rPr>
  </w:style>
  <w:style w:type="paragraph" w:customStyle="1" w:styleId="EndNoteBibliography">
    <w:name w:val="EndNote Bibliography"/>
    <w:basedOn w:val="Normal"/>
    <w:link w:val="EndNoteBibliographyChar"/>
    <w:rsid w:val="00D20568"/>
    <w:pPr>
      <w:spacing w:line="240" w:lineRule="auto"/>
      <w:jc w:val="both"/>
    </w:pPr>
    <w:rPr>
      <w:rFonts w:ascii="Calibri" w:hAnsi="Calibri" w:cs="Calibri"/>
      <w:lang w:val="en-US"/>
    </w:rPr>
  </w:style>
  <w:style w:type="character" w:customStyle="1" w:styleId="EndNoteBibliographyChar">
    <w:name w:val="EndNote Bibliography Char"/>
    <w:basedOn w:val="DefaultParagraphFont"/>
    <w:link w:val="EndNoteBibliography"/>
    <w:rsid w:val="00D20568"/>
    <w:rPr>
      <w:rFonts w:ascii="Calibri" w:hAnsi="Calibri" w:cs="Calibri"/>
      <w:sz w:val="22"/>
      <w:szCs w:val="22"/>
      <w:lang w:val="en-US"/>
    </w:rPr>
  </w:style>
  <w:style w:type="paragraph" w:styleId="ListParagraph">
    <w:name w:val="List Paragraph"/>
    <w:basedOn w:val="Normal"/>
    <w:uiPriority w:val="34"/>
    <w:qFormat/>
    <w:rsid w:val="009569EE"/>
    <w:pPr>
      <w:ind w:left="720"/>
      <w:contextualSpacing/>
    </w:pPr>
  </w:style>
  <w:style w:type="paragraph" w:styleId="Footer">
    <w:name w:val="footer"/>
    <w:basedOn w:val="Normal"/>
    <w:link w:val="FooterChar"/>
    <w:uiPriority w:val="99"/>
    <w:unhideWhenUsed/>
    <w:rsid w:val="00426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AFA"/>
    <w:rPr>
      <w:sz w:val="22"/>
      <w:szCs w:val="22"/>
    </w:rPr>
  </w:style>
  <w:style w:type="character" w:styleId="PageNumber">
    <w:name w:val="page number"/>
    <w:basedOn w:val="DefaultParagraphFont"/>
    <w:uiPriority w:val="99"/>
    <w:semiHidden/>
    <w:unhideWhenUsed/>
    <w:rsid w:val="00426AFA"/>
  </w:style>
  <w:style w:type="character" w:styleId="LineNumber">
    <w:name w:val="line number"/>
    <w:basedOn w:val="DefaultParagraphFont"/>
    <w:uiPriority w:val="99"/>
    <w:semiHidden/>
    <w:unhideWhenUsed/>
    <w:rsid w:val="00426AFA"/>
  </w:style>
  <w:style w:type="character" w:styleId="FollowedHyperlink">
    <w:name w:val="FollowedHyperlink"/>
    <w:basedOn w:val="DefaultParagraphFont"/>
    <w:uiPriority w:val="99"/>
    <w:semiHidden/>
    <w:unhideWhenUsed/>
    <w:rsid w:val="005B57A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B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7324"/>
    <w:rPr>
      <w:sz w:val="16"/>
      <w:szCs w:val="16"/>
    </w:rPr>
  </w:style>
  <w:style w:type="paragraph" w:styleId="CommentText">
    <w:name w:val="annotation text"/>
    <w:basedOn w:val="Normal"/>
    <w:link w:val="CommentTextChar"/>
    <w:uiPriority w:val="99"/>
    <w:semiHidden/>
    <w:unhideWhenUsed/>
    <w:rsid w:val="00E37324"/>
    <w:pPr>
      <w:spacing w:line="240" w:lineRule="auto"/>
    </w:pPr>
    <w:rPr>
      <w:sz w:val="20"/>
      <w:szCs w:val="20"/>
    </w:rPr>
  </w:style>
  <w:style w:type="character" w:customStyle="1" w:styleId="CommentTextChar">
    <w:name w:val="Comment Text Char"/>
    <w:basedOn w:val="DefaultParagraphFont"/>
    <w:link w:val="CommentText"/>
    <w:uiPriority w:val="99"/>
    <w:semiHidden/>
    <w:rsid w:val="00E37324"/>
    <w:rPr>
      <w:sz w:val="20"/>
      <w:szCs w:val="20"/>
    </w:rPr>
  </w:style>
  <w:style w:type="paragraph" w:styleId="CommentSubject">
    <w:name w:val="annotation subject"/>
    <w:basedOn w:val="CommentText"/>
    <w:next w:val="CommentText"/>
    <w:link w:val="CommentSubjectChar"/>
    <w:uiPriority w:val="99"/>
    <w:semiHidden/>
    <w:unhideWhenUsed/>
    <w:rsid w:val="00E37324"/>
    <w:rPr>
      <w:b/>
      <w:bCs/>
    </w:rPr>
  </w:style>
  <w:style w:type="character" w:customStyle="1" w:styleId="CommentSubjectChar">
    <w:name w:val="Comment Subject Char"/>
    <w:basedOn w:val="CommentTextChar"/>
    <w:link w:val="CommentSubject"/>
    <w:uiPriority w:val="99"/>
    <w:semiHidden/>
    <w:rsid w:val="00E37324"/>
    <w:rPr>
      <w:b/>
      <w:bCs/>
      <w:sz w:val="20"/>
      <w:szCs w:val="20"/>
    </w:rPr>
  </w:style>
  <w:style w:type="paragraph" w:styleId="BalloonText">
    <w:name w:val="Balloon Text"/>
    <w:basedOn w:val="Normal"/>
    <w:link w:val="BalloonTextChar"/>
    <w:uiPriority w:val="99"/>
    <w:semiHidden/>
    <w:unhideWhenUsed/>
    <w:rsid w:val="00E373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324"/>
    <w:rPr>
      <w:rFonts w:ascii="Segoe UI" w:hAnsi="Segoe UI" w:cs="Segoe UI"/>
      <w:sz w:val="18"/>
      <w:szCs w:val="18"/>
    </w:rPr>
  </w:style>
  <w:style w:type="character" w:styleId="Hyperlink">
    <w:name w:val="Hyperlink"/>
    <w:basedOn w:val="DefaultParagraphFont"/>
    <w:uiPriority w:val="99"/>
    <w:unhideWhenUsed/>
    <w:rsid w:val="005A372A"/>
    <w:rPr>
      <w:color w:val="0563C1" w:themeColor="hyperlink"/>
      <w:u w:val="single"/>
    </w:rPr>
  </w:style>
  <w:style w:type="character" w:customStyle="1" w:styleId="UnresolvedMention">
    <w:name w:val="Unresolved Mention"/>
    <w:basedOn w:val="DefaultParagraphFont"/>
    <w:uiPriority w:val="99"/>
    <w:semiHidden/>
    <w:unhideWhenUsed/>
    <w:rsid w:val="005A372A"/>
    <w:rPr>
      <w:color w:val="605E5C"/>
      <w:shd w:val="clear" w:color="auto" w:fill="E1DFDD"/>
    </w:rPr>
  </w:style>
  <w:style w:type="character" w:styleId="Emphasis">
    <w:name w:val="Emphasis"/>
    <w:basedOn w:val="DefaultParagraphFont"/>
    <w:uiPriority w:val="20"/>
    <w:qFormat/>
    <w:rsid w:val="005A372A"/>
    <w:rPr>
      <w:i/>
      <w:iCs/>
    </w:rPr>
  </w:style>
  <w:style w:type="paragraph" w:styleId="EndnoteText">
    <w:name w:val="endnote text"/>
    <w:basedOn w:val="Normal"/>
    <w:link w:val="EndnoteTextChar"/>
    <w:uiPriority w:val="99"/>
    <w:semiHidden/>
    <w:unhideWhenUsed/>
    <w:rsid w:val="000B32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3268"/>
    <w:rPr>
      <w:sz w:val="20"/>
      <w:szCs w:val="20"/>
    </w:rPr>
  </w:style>
  <w:style w:type="character" w:styleId="EndnoteReference">
    <w:name w:val="endnote reference"/>
    <w:basedOn w:val="DefaultParagraphFont"/>
    <w:uiPriority w:val="99"/>
    <w:semiHidden/>
    <w:unhideWhenUsed/>
    <w:rsid w:val="000B3268"/>
    <w:rPr>
      <w:vertAlign w:val="superscript"/>
    </w:rPr>
  </w:style>
  <w:style w:type="paragraph" w:customStyle="1" w:styleId="EndNoteBibliographyTitle">
    <w:name w:val="EndNote Bibliography Title"/>
    <w:basedOn w:val="Normal"/>
    <w:link w:val="EndNoteBibliographyTitleChar"/>
    <w:rsid w:val="00D20568"/>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20568"/>
    <w:rPr>
      <w:rFonts w:ascii="Calibri" w:hAnsi="Calibri" w:cs="Calibri"/>
      <w:sz w:val="22"/>
      <w:szCs w:val="22"/>
      <w:lang w:val="en-US"/>
    </w:rPr>
  </w:style>
  <w:style w:type="paragraph" w:customStyle="1" w:styleId="EndNoteBibliography">
    <w:name w:val="EndNote Bibliography"/>
    <w:basedOn w:val="Normal"/>
    <w:link w:val="EndNoteBibliographyChar"/>
    <w:rsid w:val="00D20568"/>
    <w:pPr>
      <w:spacing w:line="240" w:lineRule="auto"/>
      <w:jc w:val="both"/>
    </w:pPr>
    <w:rPr>
      <w:rFonts w:ascii="Calibri" w:hAnsi="Calibri" w:cs="Calibri"/>
      <w:lang w:val="en-US"/>
    </w:rPr>
  </w:style>
  <w:style w:type="character" w:customStyle="1" w:styleId="EndNoteBibliographyChar">
    <w:name w:val="EndNote Bibliography Char"/>
    <w:basedOn w:val="DefaultParagraphFont"/>
    <w:link w:val="EndNoteBibliography"/>
    <w:rsid w:val="00D20568"/>
    <w:rPr>
      <w:rFonts w:ascii="Calibri" w:hAnsi="Calibri" w:cs="Calibri"/>
      <w:sz w:val="22"/>
      <w:szCs w:val="22"/>
      <w:lang w:val="en-US"/>
    </w:rPr>
  </w:style>
  <w:style w:type="paragraph" w:styleId="ListParagraph">
    <w:name w:val="List Paragraph"/>
    <w:basedOn w:val="Normal"/>
    <w:uiPriority w:val="34"/>
    <w:qFormat/>
    <w:rsid w:val="009569EE"/>
    <w:pPr>
      <w:ind w:left="720"/>
      <w:contextualSpacing/>
    </w:pPr>
  </w:style>
  <w:style w:type="paragraph" w:styleId="Footer">
    <w:name w:val="footer"/>
    <w:basedOn w:val="Normal"/>
    <w:link w:val="FooterChar"/>
    <w:uiPriority w:val="99"/>
    <w:unhideWhenUsed/>
    <w:rsid w:val="00426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AFA"/>
    <w:rPr>
      <w:sz w:val="22"/>
      <w:szCs w:val="22"/>
    </w:rPr>
  </w:style>
  <w:style w:type="character" w:styleId="PageNumber">
    <w:name w:val="page number"/>
    <w:basedOn w:val="DefaultParagraphFont"/>
    <w:uiPriority w:val="99"/>
    <w:semiHidden/>
    <w:unhideWhenUsed/>
    <w:rsid w:val="00426AFA"/>
  </w:style>
  <w:style w:type="character" w:styleId="LineNumber">
    <w:name w:val="line number"/>
    <w:basedOn w:val="DefaultParagraphFont"/>
    <w:uiPriority w:val="99"/>
    <w:semiHidden/>
    <w:unhideWhenUsed/>
    <w:rsid w:val="00426AFA"/>
  </w:style>
  <w:style w:type="character" w:styleId="FollowedHyperlink">
    <w:name w:val="FollowedHyperlink"/>
    <w:basedOn w:val="DefaultParagraphFont"/>
    <w:uiPriority w:val="99"/>
    <w:semiHidden/>
    <w:unhideWhenUsed/>
    <w:rsid w:val="005B57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r.t.bryan@b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25AA8-19F3-4D54-AF5D-7893B8EE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Pages>
  <Words>3130</Words>
  <Characters>18658</Characters>
  <Application>Microsoft Office Word</Application>
  <DocSecurity>0</DocSecurity>
  <Lines>310</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Anshita Goel (Cancer and Genomic Sciences)</dc:creator>
  <cp:keywords/>
  <dc:description/>
  <cp:lastModifiedBy>MLAPINIG</cp:lastModifiedBy>
  <cp:revision>25</cp:revision>
  <dcterms:created xsi:type="dcterms:W3CDTF">2021-01-22T15:05:00Z</dcterms:created>
  <dcterms:modified xsi:type="dcterms:W3CDTF">2022-05-11T02:56:00Z</dcterms:modified>
</cp:coreProperties>
</file>