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3835E" w14:textId="77777777" w:rsidR="00EE3150" w:rsidRDefault="00EE3150" w:rsidP="00EE3150">
      <w:pPr>
        <w:pStyle w:val="HTML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_Hlk126934210"/>
      <w:r>
        <w:rPr>
          <w:rFonts w:ascii="Arial" w:hAnsi="Arial" w:cs="Arial"/>
          <w:b/>
          <w:bCs/>
          <w:sz w:val="22"/>
          <w:szCs w:val="22"/>
          <w:lang w:val="en-GB"/>
        </w:rPr>
        <w:t>Identification of specific susceptibility loci for the early-onset colorectal cancer</w:t>
      </w:r>
    </w:p>
    <w:bookmarkEnd w:id="0" w:displacedByCustomXml="next"/>
    <w:sdt>
      <w:sdtPr>
        <w:rPr>
          <w:lang w:val="zh-CN"/>
        </w:rPr>
        <w:id w:val="-110394920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Start w:id="1" w:name="_Hlk126934247" w:displacedByCustomXml="prev"/>
        <w:p w14:paraId="305FB71E" w14:textId="77777777" w:rsidR="00EE3150" w:rsidRDefault="00EE3150" w:rsidP="00EE3150">
          <w:pPr>
            <w:spacing w:line="360" w:lineRule="auto"/>
            <w:jc w:val="left"/>
            <w:rPr>
              <w:lang w:val="zh-CN"/>
            </w:rPr>
          </w:pPr>
        </w:p>
        <w:p w14:paraId="78D1151E" w14:textId="0A245F11" w:rsidR="00EE3150" w:rsidRPr="008B657F" w:rsidRDefault="00EE3150" w:rsidP="00EE3150">
          <w:pPr>
            <w:spacing w:line="360" w:lineRule="auto"/>
            <w:jc w:val="left"/>
            <w:rPr>
              <w:rFonts w:ascii="Arial" w:hAnsi="Arial" w:cs="Arial"/>
              <w:b/>
              <w:bCs/>
              <w:sz w:val="28"/>
              <w:szCs w:val="32"/>
            </w:rPr>
          </w:pPr>
          <w:r w:rsidRPr="008B657F">
            <w:rPr>
              <w:rFonts w:ascii="Arial" w:hAnsi="Arial" w:cs="Arial"/>
              <w:b/>
              <w:bCs/>
              <w:sz w:val="22"/>
            </w:rPr>
            <w:t xml:space="preserve">Additional file </w:t>
          </w:r>
          <w:r>
            <w:rPr>
              <w:rFonts w:ascii="Arial" w:hAnsi="Arial" w:cs="Arial"/>
              <w:b/>
              <w:bCs/>
              <w:sz w:val="22"/>
            </w:rPr>
            <w:t>1</w:t>
          </w:r>
        </w:p>
        <w:bookmarkEnd w:id="1"/>
        <w:p w14:paraId="74174642" w14:textId="0F337277" w:rsidR="00EE3150" w:rsidRDefault="00EE3150" w:rsidP="00EE3150">
          <w:pPr>
            <w:pStyle w:val="TOC1"/>
            <w:tabs>
              <w:tab w:val="right" w:leader="dot" w:pos="13948"/>
            </w:tabs>
            <w:spacing w:line="360" w:lineRule="auto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6934405" w:history="1">
            <w:r w:rsidRPr="003D748E">
              <w:rPr>
                <w:rStyle w:val="a3"/>
                <w:rFonts w:ascii="Arial" w:hAnsi="Arial" w:cs="Arial"/>
                <w:noProof/>
              </w:rPr>
              <w:t>Fig. S</w:t>
            </w:r>
            <w:r w:rsidRPr="003D748E">
              <w:rPr>
                <w:rStyle w:val="a3"/>
                <w:rFonts w:ascii="Arial" w:eastAsia="Arial-BoldMT" w:hAnsi="Arial" w:cs="Arial"/>
                <w:noProof/>
              </w:rPr>
              <w:t>1</w:t>
            </w:r>
            <w:r w:rsidRPr="003D748E">
              <w:rPr>
                <w:rStyle w:val="a3"/>
                <w:rFonts w:ascii="Arial" w:hAnsi="Arial" w:cs="Arial"/>
                <w:noProof/>
              </w:rPr>
              <w:t>. 3D Plots for genetic matching of three principal components</w:t>
            </w:r>
            <w:r w:rsidRPr="003D748E">
              <w:rPr>
                <w:rStyle w:val="a3"/>
                <w:rFonts w:ascii="Arial" w:eastAsia="Arial-BoldMT" w:hAnsi="Arial" w:cs="Arial"/>
                <w:noProof/>
              </w:rPr>
              <w:t>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_Toc126934405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EF5A46" w14:textId="4C1380A0" w:rsidR="00EE3150" w:rsidRDefault="00000000" w:rsidP="00EE3150">
          <w:pPr>
            <w:pStyle w:val="TOC1"/>
            <w:tabs>
              <w:tab w:val="right" w:leader="dot" w:pos="13948"/>
            </w:tabs>
            <w:spacing w:line="360" w:lineRule="auto"/>
            <w:rPr>
              <w:noProof/>
            </w:rPr>
          </w:pPr>
          <w:hyperlink w:anchor="_Toc126934406" w:history="1">
            <w:r w:rsidR="00EE3150" w:rsidRPr="003D748E">
              <w:rPr>
                <w:rStyle w:val="a3"/>
                <w:rFonts w:ascii="Arial" w:hAnsi="Arial" w:cs="Arial"/>
                <w:noProof/>
              </w:rPr>
              <w:t>Fig. S2. Determination of the POLA2 transfection efficiency.</w:t>
            </w:r>
            <w:r w:rsidR="00EE3150">
              <w:rPr>
                <w:noProof/>
                <w:webHidden/>
              </w:rPr>
              <w:tab/>
            </w:r>
            <w:r w:rsidR="00EE3150">
              <w:rPr>
                <w:noProof/>
                <w:webHidden/>
              </w:rPr>
              <w:fldChar w:fldCharType="begin"/>
            </w:r>
            <w:r w:rsidR="00EE3150">
              <w:rPr>
                <w:noProof/>
                <w:webHidden/>
              </w:rPr>
              <w:instrText xml:space="preserve"> PAGEREF _Toc126934406 \h </w:instrText>
            </w:r>
            <w:r w:rsidR="00EE3150">
              <w:rPr>
                <w:noProof/>
                <w:webHidden/>
              </w:rPr>
            </w:r>
            <w:r w:rsidR="00EE3150">
              <w:rPr>
                <w:noProof/>
                <w:webHidden/>
              </w:rPr>
              <w:fldChar w:fldCharType="separate"/>
            </w:r>
            <w:r w:rsidR="00EE3150">
              <w:rPr>
                <w:noProof/>
                <w:webHidden/>
              </w:rPr>
              <w:t>3</w:t>
            </w:r>
            <w:r w:rsidR="00EE3150">
              <w:rPr>
                <w:noProof/>
                <w:webHidden/>
              </w:rPr>
              <w:fldChar w:fldCharType="end"/>
            </w:r>
          </w:hyperlink>
        </w:p>
        <w:p w14:paraId="6866F27D" w14:textId="0BF289AA" w:rsidR="00EE3150" w:rsidRDefault="00000000" w:rsidP="00EE3150">
          <w:pPr>
            <w:pStyle w:val="TOC1"/>
            <w:tabs>
              <w:tab w:val="right" w:leader="dot" w:pos="13948"/>
            </w:tabs>
            <w:spacing w:line="360" w:lineRule="auto"/>
            <w:rPr>
              <w:noProof/>
            </w:rPr>
          </w:pPr>
          <w:hyperlink w:anchor="_Toc126934407" w:history="1">
            <w:r w:rsidR="00EE3150" w:rsidRPr="003D748E">
              <w:rPr>
                <w:rStyle w:val="a3"/>
                <w:rFonts w:ascii="Arial" w:hAnsi="Arial" w:cs="Arial"/>
                <w:noProof/>
              </w:rPr>
              <w:t>Fig. S3. Quantile-quantile plot and genomic inflation factor lambda for associations with early-onset CRC risk.</w:t>
            </w:r>
            <w:r w:rsidR="00EE3150">
              <w:rPr>
                <w:noProof/>
                <w:webHidden/>
              </w:rPr>
              <w:tab/>
            </w:r>
            <w:r w:rsidR="00EE3150">
              <w:rPr>
                <w:noProof/>
                <w:webHidden/>
              </w:rPr>
              <w:fldChar w:fldCharType="begin"/>
            </w:r>
            <w:r w:rsidR="00EE3150">
              <w:rPr>
                <w:noProof/>
                <w:webHidden/>
              </w:rPr>
              <w:instrText xml:space="preserve"> PAGEREF _Toc126934407 \h </w:instrText>
            </w:r>
            <w:r w:rsidR="00EE3150">
              <w:rPr>
                <w:noProof/>
                <w:webHidden/>
              </w:rPr>
            </w:r>
            <w:r w:rsidR="00EE3150">
              <w:rPr>
                <w:noProof/>
                <w:webHidden/>
              </w:rPr>
              <w:fldChar w:fldCharType="separate"/>
            </w:r>
            <w:r w:rsidR="00EE3150">
              <w:rPr>
                <w:noProof/>
                <w:webHidden/>
              </w:rPr>
              <w:t>4</w:t>
            </w:r>
            <w:r w:rsidR="00EE3150">
              <w:rPr>
                <w:noProof/>
                <w:webHidden/>
              </w:rPr>
              <w:fldChar w:fldCharType="end"/>
            </w:r>
          </w:hyperlink>
        </w:p>
        <w:p w14:paraId="5071950D" w14:textId="3424D6E4" w:rsidR="00EE3150" w:rsidRDefault="00000000" w:rsidP="00EE3150">
          <w:pPr>
            <w:pStyle w:val="TOC1"/>
            <w:tabs>
              <w:tab w:val="right" w:leader="dot" w:pos="13948"/>
            </w:tabs>
            <w:spacing w:line="360" w:lineRule="auto"/>
            <w:rPr>
              <w:noProof/>
            </w:rPr>
          </w:pPr>
          <w:hyperlink w:anchor="_Toc126934408" w:history="1">
            <w:r w:rsidR="00EE3150" w:rsidRPr="003D748E">
              <w:rPr>
                <w:rStyle w:val="a3"/>
                <w:rFonts w:ascii="Arial" w:hAnsi="Arial" w:cs="Arial"/>
                <w:noProof/>
              </w:rPr>
              <w:t>Fig. S4. Regional plots of association results and recombination rates within the four significant susceptibility loci.</w:t>
            </w:r>
            <w:r w:rsidR="00EE3150">
              <w:rPr>
                <w:noProof/>
                <w:webHidden/>
              </w:rPr>
              <w:tab/>
            </w:r>
            <w:r w:rsidR="00EE3150">
              <w:rPr>
                <w:noProof/>
                <w:webHidden/>
              </w:rPr>
              <w:fldChar w:fldCharType="begin"/>
            </w:r>
            <w:r w:rsidR="00EE3150">
              <w:rPr>
                <w:noProof/>
                <w:webHidden/>
              </w:rPr>
              <w:instrText xml:space="preserve"> PAGEREF _Toc126934408 \h </w:instrText>
            </w:r>
            <w:r w:rsidR="00EE3150">
              <w:rPr>
                <w:noProof/>
                <w:webHidden/>
              </w:rPr>
            </w:r>
            <w:r w:rsidR="00EE3150">
              <w:rPr>
                <w:noProof/>
                <w:webHidden/>
              </w:rPr>
              <w:fldChar w:fldCharType="separate"/>
            </w:r>
            <w:r w:rsidR="00EE3150">
              <w:rPr>
                <w:noProof/>
                <w:webHidden/>
              </w:rPr>
              <w:t>5</w:t>
            </w:r>
            <w:r w:rsidR="00EE3150">
              <w:rPr>
                <w:noProof/>
                <w:webHidden/>
              </w:rPr>
              <w:fldChar w:fldCharType="end"/>
            </w:r>
          </w:hyperlink>
        </w:p>
        <w:p w14:paraId="3070064A" w14:textId="3799E67E" w:rsidR="00EE3150" w:rsidRDefault="00000000" w:rsidP="00EE3150">
          <w:pPr>
            <w:pStyle w:val="TOC1"/>
            <w:tabs>
              <w:tab w:val="right" w:leader="dot" w:pos="13948"/>
            </w:tabs>
            <w:spacing w:line="360" w:lineRule="auto"/>
            <w:rPr>
              <w:noProof/>
            </w:rPr>
          </w:pPr>
          <w:hyperlink w:anchor="_Toc126934409" w:history="1">
            <w:r w:rsidR="00EE3150" w:rsidRPr="003D748E">
              <w:rPr>
                <w:rStyle w:val="a3"/>
                <w:rFonts w:ascii="Arial" w:hAnsi="Arial" w:cs="Arial"/>
                <w:noProof/>
              </w:rPr>
              <w:t>Fig. S5. Manhattan plots for associations between genetic variants and EOCRC risk under 40 years old.</w:t>
            </w:r>
            <w:r w:rsidR="00EE3150">
              <w:rPr>
                <w:noProof/>
                <w:webHidden/>
              </w:rPr>
              <w:tab/>
            </w:r>
            <w:r w:rsidR="00EE3150">
              <w:rPr>
                <w:noProof/>
                <w:webHidden/>
              </w:rPr>
              <w:fldChar w:fldCharType="begin"/>
            </w:r>
            <w:r w:rsidR="00EE3150">
              <w:rPr>
                <w:noProof/>
                <w:webHidden/>
              </w:rPr>
              <w:instrText xml:space="preserve"> PAGEREF _Toc126934409 \h </w:instrText>
            </w:r>
            <w:r w:rsidR="00EE3150">
              <w:rPr>
                <w:noProof/>
                <w:webHidden/>
              </w:rPr>
            </w:r>
            <w:r w:rsidR="00EE3150">
              <w:rPr>
                <w:noProof/>
                <w:webHidden/>
              </w:rPr>
              <w:fldChar w:fldCharType="separate"/>
            </w:r>
            <w:r w:rsidR="00EE3150">
              <w:rPr>
                <w:noProof/>
                <w:webHidden/>
              </w:rPr>
              <w:t>6</w:t>
            </w:r>
            <w:r w:rsidR="00EE3150">
              <w:rPr>
                <w:noProof/>
                <w:webHidden/>
              </w:rPr>
              <w:fldChar w:fldCharType="end"/>
            </w:r>
          </w:hyperlink>
        </w:p>
        <w:p w14:paraId="54AE144E" w14:textId="64E038E2" w:rsidR="00EE3150" w:rsidRDefault="00000000" w:rsidP="00EE3150">
          <w:pPr>
            <w:pStyle w:val="TOC1"/>
            <w:tabs>
              <w:tab w:val="right" w:leader="dot" w:pos="13948"/>
            </w:tabs>
            <w:spacing w:line="360" w:lineRule="auto"/>
            <w:rPr>
              <w:noProof/>
            </w:rPr>
          </w:pPr>
          <w:hyperlink w:anchor="_Toc126934410" w:history="1">
            <w:r w:rsidR="00EE3150" w:rsidRPr="003D748E">
              <w:rPr>
                <w:rStyle w:val="a3"/>
                <w:rFonts w:ascii="Arial" w:hAnsi="Arial" w:cs="Arial"/>
                <w:noProof/>
              </w:rPr>
              <w:t>Fig. S6. Risk estimates for EOCRC (under 40 years old) associated with the PRS deriving from distinct SNPs.</w:t>
            </w:r>
            <w:r w:rsidR="00EE3150">
              <w:rPr>
                <w:noProof/>
                <w:webHidden/>
              </w:rPr>
              <w:tab/>
            </w:r>
            <w:r w:rsidR="00EE3150">
              <w:rPr>
                <w:noProof/>
                <w:webHidden/>
              </w:rPr>
              <w:fldChar w:fldCharType="begin"/>
            </w:r>
            <w:r w:rsidR="00EE3150">
              <w:rPr>
                <w:noProof/>
                <w:webHidden/>
              </w:rPr>
              <w:instrText xml:space="preserve"> PAGEREF _Toc126934410 \h </w:instrText>
            </w:r>
            <w:r w:rsidR="00EE3150">
              <w:rPr>
                <w:noProof/>
                <w:webHidden/>
              </w:rPr>
            </w:r>
            <w:r w:rsidR="00EE3150">
              <w:rPr>
                <w:noProof/>
                <w:webHidden/>
              </w:rPr>
              <w:fldChar w:fldCharType="separate"/>
            </w:r>
            <w:r w:rsidR="00EE3150">
              <w:rPr>
                <w:noProof/>
                <w:webHidden/>
              </w:rPr>
              <w:t>7</w:t>
            </w:r>
            <w:r w:rsidR="00EE3150">
              <w:rPr>
                <w:noProof/>
                <w:webHidden/>
              </w:rPr>
              <w:fldChar w:fldCharType="end"/>
            </w:r>
          </w:hyperlink>
        </w:p>
        <w:p w14:paraId="354DE2DB" w14:textId="4D0B0AD0" w:rsidR="00EE3150" w:rsidRDefault="00000000" w:rsidP="00EE3150">
          <w:pPr>
            <w:pStyle w:val="TOC1"/>
            <w:tabs>
              <w:tab w:val="right" w:leader="dot" w:pos="13948"/>
            </w:tabs>
            <w:spacing w:line="360" w:lineRule="auto"/>
            <w:rPr>
              <w:noProof/>
            </w:rPr>
          </w:pPr>
          <w:hyperlink w:anchor="_Toc126934411" w:history="1">
            <w:r w:rsidR="00EE3150" w:rsidRPr="003D748E">
              <w:rPr>
                <w:rStyle w:val="a3"/>
                <w:rFonts w:ascii="Arial" w:hAnsi="Arial" w:cs="Arial"/>
                <w:noProof/>
              </w:rPr>
              <w:t>Fig. S7. Risk estimates for EOCRC associated with the PRSs under the adjustment of sociodemographic factors in the UKB cohort</w:t>
            </w:r>
            <w:r w:rsidR="00EE3150">
              <w:rPr>
                <w:noProof/>
                <w:webHidden/>
              </w:rPr>
              <w:tab/>
            </w:r>
            <w:r w:rsidR="00EE3150">
              <w:rPr>
                <w:noProof/>
                <w:webHidden/>
              </w:rPr>
              <w:fldChar w:fldCharType="begin"/>
            </w:r>
            <w:r w:rsidR="00EE3150">
              <w:rPr>
                <w:noProof/>
                <w:webHidden/>
              </w:rPr>
              <w:instrText xml:space="preserve"> PAGEREF _Toc126934411 \h </w:instrText>
            </w:r>
            <w:r w:rsidR="00EE3150">
              <w:rPr>
                <w:noProof/>
                <w:webHidden/>
              </w:rPr>
            </w:r>
            <w:r w:rsidR="00EE3150">
              <w:rPr>
                <w:noProof/>
                <w:webHidden/>
              </w:rPr>
              <w:fldChar w:fldCharType="separate"/>
            </w:r>
            <w:r w:rsidR="00EE3150">
              <w:rPr>
                <w:noProof/>
                <w:webHidden/>
              </w:rPr>
              <w:t>8</w:t>
            </w:r>
            <w:r w:rsidR="00EE3150">
              <w:rPr>
                <w:noProof/>
                <w:webHidden/>
              </w:rPr>
              <w:fldChar w:fldCharType="end"/>
            </w:r>
          </w:hyperlink>
        </w:p>
        <w:p w14:paraId="0804C254" w14:textId="79A8A5FE" w:rsidR="00EE3150" w:rsidRDefault="00000000" w:rsidP="00EE3150">
          <w:pPr>
            <w:pStyle w:val="TOC1"/>
            <w:tabs>
              <w:tab w:val="right" w:leader="dot" w:pos="13948"/>
            </w:tabs>
            <w:spacing w:line="360" w:lineRule="auto"/>
            <w:rPr>
              <w:noProof/>
            </w:rPr>
          </w:pPr>
          <w:hyperlink w:anchor="_Toc126934412" w:history="1">
            <w:r w:rsidR="00EE3150" w:rsidRPr="003D748E">
              <w:rPr>
                <w:rStyle w:val="a3"/>
                <w:rFonts w:ascii="Arial" w:hAnsi="Arial" w:cs="Arial"/>
                <w:noProof/>
              </w:rPr>
              <w:t xml:space="preserve">Fig. S8. Higher tumor mutational burden was associated with the higher expression of </w:t>
            </w:r>
            <w:r w:rsidR="00EE3150" w:rsidRPr="003D748E">
              <w:rPr>
                <w:rStyle w:val="a3"/>
                <w:rFonts w:ascii="Arial" w:hAnsi="Arial" w:cs="Arial"/>
                <w:i/>
                <w:iCs/>
                <w:noProof/>
              </w:rPr>
              <w:t>POLA2</w:t>
            </w:r>
            <w:r w:rsidR="00EE3150" w:rsidRPr="003D748E">
              <w:rPr>
                <w:rStyle w:val="a3"/>
                <w:rFonts w:ascii="Arial" w:hAnsi="Arial" w:cs="Arial"/>
                <w:noProof/>
              </w:rPr>
              <w:t xml:space="preserve"> in TCGA CRC tissues</w:t>
            </w:r>
            <w:r w:rsidR="00EE3150">
              <w:rPr>
                <w:noProof/>
                <w:webHidden/>
              </w:rPr>
              <w:tab/>
            </w:r>
            <w:r w:rsidR="00EE3150">
              <w:rPr>
                <w:noProof/>
                <w:webHidden/>
              </w:rPr>
              <w:fldChar w:fldCharType="begin"/>
            </w:r>
            <w:r w:rsidR="00EE3150">
              <w:rPr>
                <w:noProof/>
                <w:webHidden/>
              </w:rPr>
              <w:instrText xml:space="preserve"> PAGEREF _Toc126934412 \h </w:instrText>
            </w:r>
            <w:r w:rsidR="00EE3150">
              <w:rPr>
                <w:noProof/>
                <w:webHidden/>
              </w:rPr>
            </w:r>
            <w:r w:rsidR="00EE3150">
              <w:rPr>
                <w:noProof/>
                <w:webHidden/>
              </w:rPr>
              <w:fldChar w:fldCharType="separate"/>
            </w:r>
            <w:r w:rsidR="00EE3150">
              <w:rPr>
                <w:noProof/>
                <w:webHidden/>
              </w:rPr>
              <w:t>10</w:t>
            </w:r>
            <w:r w:rsidR="00EE3150">
              <w:rPr>
                <w:noProof/>
                <w:webHidden/>
              </w:rPr>
              <w:fldChar w:fldCharType="end"/>
            </w:r>
          </w:hyperlink>
        </w:p>
        <w:p w14:paraId="77987292" w14:textId="399FD108" w:rsidR="00EE3150" w:rsidRDefault="00EE3150" w:rsidP="00EE3150">
          <w:pPr>
            <w:spacing w:line="360" w:lineRule="auto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301538F2" w14:textId="77777777" w:rsidR="00EE3150" w:rsidRDefault="00EE3150" w:rsidP="00EE3150">
      <w:pPr>
        <w:widowControl/>
        <w:jc w:val="left"/>
        <w:rPr>
          <w:rFonts w:ascii="Arial" w:hAnsi="Arial" w:cs="Arial"/>
          <w:b/>
          <w:sz w:val="22"/>
        </w:rPr>
        <w:sectPr w:rsidR="00EE3150" w:rsidSect="00EE315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C46B098" w14:textId="66B53C38" w:rsidR="00EE3150" w:rsidRDefault="00EE3150" w:rsidP="00EE3150">
      <w:pPr>
        <w:widowControl/>
        <w:jc w:val="lef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lastRenderedPageBreak/>
        <w:drawing>
          <wp:inline distT="0" distB="0" distL="0" distR="0" wp14:anchorId="560E9F65" wp14:editId="0A05BEB6">
            <wp:extent cx="5274310" cy="4086860"/>
            <wp:effectExtent l="0" t="0" r="2540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184FE" w14:textId="77777777" w:rsidR="00EE3150" w:rsidRDefault="00EE3150" w:rsidP="00EE315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</w:rPr>
      </w:pPr>
    </w:p>
    <w:p w14:paraId="1287F2F2" w14:textId="77777777" w:rsidR="00EE3150" w:rsidRPr="00855A95" w:rsidRDefault="00EE3150" w:rsidP="00EE3150">
      <w:pPr>
        <w:pStyle w:val="1"/>
        <w:spacing w:line="360" w:lineRule="auto"/>
        <w:jc w:val="both"/>
        <w:rPr>
          <w:rFonts w:ascii="Arial" w:eastAsia="Arial-BoldMT" w:hAnsi="Arial" w:cs="Arial"/>
          <w:sz w:val="22"/>
          <w:szCs w:val="22"/>
        </w:rPr>
      </w:pPr>
      <w:bookmarkStart w:id="2" w:name="_Toc126933754"/>
      <w:bookmarkStart w:id="3" w:name="_Toc126934405"/>
      <w:r w:rsidRPr="00855A95">
        <w:rPr>
          <w:rFonts w:ascii="Arial" w:hAnsi="Arial" w:cs="Arial"/>
          <w:sz w:val="22"/>
          <w:szCs w:val="22"/>
        </w:rPr>
        <w:t>Fig</w:t>
      </w:r>
      <w:r>
        <w:rPr>
          <w:rFonts w:ascii="Arial" w:hAnsi="Arial" w:cs="Arial"/>
          <w:sz w:val="22"/>
          <w:szCs w:val="22"/>
        </w:rPr>
        <w:t xml:space="preserve">. </w:t>
      </w:r>
      <w:r w:rsidRPr="00855A95">
        <w:rPr>
          <w:rFonts w:ascii="Arial" w:hAnsi="Arial" w:cs="Arial"/>
          <w:sz w:val="22"/>
          <w:szCs w:val="22"/>
        </w:rPr>
        <w:t>S</w:t>
      </w:r>
      <w:r w:rsidRPr="00855A95">
        <w:rPr>
          <w:rFonts w:ascii="Arial" w:eastAsia="Arial-BoldMT" w:hAnsi="Arial" w:cs="Arial"/>
          <w:sz w:val="22"/>
          <w:szCs w:val="22"/>
        </w:rPr>
        <w:t>1</w:t>
      </w:r>
      <w:r w:rsidRPr="00855A95">
        <w:rPr>
          <w:rFonts w:ascii="Arial" w:hAnsi="Arial" w:cs="Arial"/>
          <w:sz w:val="22"/>
          <w:szCs w:val="22"/>
        </w:rPr>
        <w:t>. 3D Plots for genetic matching of three principal components</w:t>
      </w:r>
      <w:r w:rsidRPr="00855A95">
        <w:rPr>
          <w:rFonts w:ascii="Arial" w:eastAsia="Arial-BoldMT" w:hAnsi="Arial" w:cs="Arial"/>
          <w:sz w:val="22"/>
          <w:szCs w:val="22"/>
        </w:rPr>
        <w:t>.</w:t>
      </w:r>
      <w:bookmarkEnd w:id="2"/>
      <w:bookmarkEnd w:id="3"/>
      <w:r w:rsidRPr="00855A95">
        <w:rPr>
          <w:rFonts w:ascii="Arial" w:eastAsia="Arial-BoldMT" w:hAnsi="Arial" w:cs="Arial"/>
          <w:sz w:val="22"/>
          <w:szCs w:val="22"/>
        </w:rPr>
        <w:t xml:space="preserve"> </w:t>
      </w:r>
    </w:p>
    <w:p w14:paraId="047FEC55" w14:textId="77777777" w:rsidR="00EE3150" w:rsidRPr="00C8106E" w:rsidRDefault="00EE3150" w:rsidP="00EE3150">
      <w:pPr>
        <w:autoSpaceDE w:val="0"/>
        <w:autoSpaceDN w:val="0"/>
        <w:adjustRightInd w:val="0"/>
        <w:spacing w:line="360" w:lineRule="auto"/>
        <w:rPr>
          <w:rFonts w:ascii="Arial" w:eastAsia="Arial,Bold" w:hAnsi="Arial" w:cs="Arial"/>
          <w:kern w:val="0"/>
          <w:sz w:val="22"/>
        </w:rPr>
      </w:pPr>
      <w:r w:rsidRPr="00C8106E">
        <w:rPr>
          <w:rFonts w:ascii="Arial" w:eastAsia="Arial-BoldMT" w:hAnsi="Arial" w:cs="Arial"/>
          <w:b/>
          <w:bCs/>
          <w:kern w:val="0"/>
          <w:sz w:val="22"/>
        </w:rPr>
        <w:t xml:space="preserve">A. </w:t>
      </w:r>
      <w:r w:rsidRPr="00C8106E">
        <w:rPr>
          <w:rFonts w:ascii="Arial" w:eastAsia="Arial,Bold" w:hAnsi="Arial" w:cs="Arial"/>
          <w:kern w:val="0"/>
          <w:sz w:val="22"/>
        </w:rPr>
        <w:t xml:space="preserve">derived from the PCA of 1490 cases with early-onset CRC </w:t>
      </w:r>
      <w:r w:rsidRPr="00C8106E">
        <w:rPr>
          <w:rFonts w:ascii="Arial" w:hAnsi="Arial" w:cs="Arial"/>
          <w:bCs/>
          <w:sz w:val="22"/>
        </w:rPr>
        <w:t>under 50 years old</w:t>
      </w:r>
      <w:r w:rsidRPr="00C8106E">
        <w:rPr>
          <w:rFonts w:ascii="Arial" w:eastAsia="Arial,Bold" w:hAnsi="Arial" w:cs="Arial"/>
          <w:kern w:val="0"/>
          <w:sz w:val="22"/>
        </w:rPr>
        <w:t xml:space="preserve"> and 19951 controls, </w:t>
      </w:r>
      <w:r w:rsidRPr="00C8106E">
        <w:rPr>
          <w:rFonts w:ascii="Arial" w:eastAsia="Arial-BoldMT" w:hAnsi="Arial" w:cs="Arial"/>
          <w:b/>
          <w:bCs/>
          <w:kern w:val="0"/>
          <w:sz w:val="22"/>
        </w:rPr>
        <w:t xml:space="preserve">B. </w:t>
      </w:r>
      <w:r w:rsidRPr="00C8106E">
        <w:rPr>
          <w:rFonts w:ascii="Arial" w:eastAsia="Arial,Bold" w:hAnsi="Arial" w:cs="Arial"/>
          <w:kern w:val="0"/>
          <w:sz w:val="22"/>
        </w:rPr>
        <w:t xml:space="preserve">17,789 CRC cases, and </w:t>
      </w:r>
      <w:r w:rsidRPr="00C8106E">
        <w:rPr>
          <w:rFonts w:ascii="Arial" w:eastAsia="Arial,Bold" w:hAnsi="Arial" w:cs="Arial"/>
          <w:b/>
          <w:bCs/>
          <w:kern w:val="0"/>
          <w:sz w:val="22"/>
        </w:rPr>
        <w:t xml:space="preserve">C. </w:t>
      </w:r>
      <w:r w:rsidRPr="00C8106E">
        <w:rPr>
          <w:rFonts w:ascii="Arial" w:hAnsi="Arial" w:cs="Arial"/>
          <w:bCs/>
          <w:sz w:val="22"/>
        </w:rPr>
        <w:t>241 early-onset CRC cases under 40 years old and 3,374 controls</w:t>
      </w:r>
    </w:p>
    <w:p w14:paraId="3A9A381E" w14:textId="77777777" w:rsidR="00EE3150" w:rsidRDefault="00EE3150" w:rsidP="00EE3150">
      <w:pPr>
        <w:widowControl/>
        <w:jc w:val="left"/>
        <w:rPr>
          <w:rFonts w:ascii="Arial" w:eastAsia="Arial,Bold" w:hAnsi="Arial" w:cs="Arial"/>
          <w:kern w:val="0"/>
          <w:szCs w:val="21"/>
        </w:rPr>
      </w:pPr>
      <w:r>
        <w:rPr>
          <w:rFonts w:ascii="Arial" w:eastAsia="Arial,Bold" w:hAnsi="Arial" w:cs="Arial"/>
          <w:kern w:val="0"/>
          <w:szCs w:val="21"/>
        </w:rPr>
        <w:br w:type="page"/>
      </w:r>
    </w:p>
    <w:p w14:paraId="4967BC6D" w14:textId="77777777" w:rsidR="00EE3150" w:rsidRDefault="00EE3150" w:rsidP="00EE3150">
      <w:pPr>
        <w:spacing w:line="360" w:lineRule="auto"/>
        <w:jc w:val="lef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lastRenderedPageBreak/>
        <w:drawing>
          <wp:inline distT="0" distB="0" distL="0" distR="0" wp14:anchorId="1971F781" wp14:editId="4430C9DC">
            <wp:extent cx="4663440" cy="2878577"/>
            <wp:effectExtent l="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6044" cy="288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48029" w14:textId="77777777" w:rsidR="00EE3150" w:rsidRDefault="00EE3150" w:rsidP="00EE3150">
      <w:pPr>
        <w:spacing w:line="480" w:lineRule="auto"/>
        <w:jc w:val="left"/>
        <w:rPr>
          <w:rFonts w:ascii="Arial" w:hAnsi="Arial" w:cs="Arial"/>
          <w:b/>
          <w:sz w:val="22"/>
        </w:rPr>
      </w:pPr>
    </w:p>
    <w:p w14:paraId="46A56136" w14:textId="77777777" w:rsidR="00EE3150" w:rsidRPr="00855A95" w:rsidRDefault="00EE3150" w:rsidP="00EE3150">
      <w:pPr>
        <w:pStyle w:val="1"/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4" w:name="_Toc126933755"/>
      <w:bookmarkStart w:id="5" w:name="_Toc126934406"/>
      <w:r w:rsidRPr="00855A95">
        <w:rPr>
          <w:rFonts w:ascii="Arial" w:hAnsi="Arial" w:cs="Arial"/>
          <w:sz w:val="22"/>
          <w:szCs w:val="22"/>
        </w:rPr>
        <w:t>Fig</w:t>
      </w:r>
      <w:r>
        <w:rPr>
          <w:rFonts w:ascii="Arial" w:hAnsi="Arial" w:cs="Arial"/>
          <w:sz w:val="22"/>
          <w:szCs w:val="22"/>
        </w:rPr>
        <w:t>.</w:t>
      </w:r>
      <w:r w:rsidRPr="00855A95">
        <w:rPr>
          <w:rFonts w:ascii="Arial" w:hAnsi="Arial" w:cs="Arial"/>
          <w:sz w:val="22"/>
          <w:szCs w:val="22"/>
        </w:rPr>
        <w:t xml:space="preserve"> S2. Determination of the POLA2 transfection efficiency.</w:t>
      </w:r>
      <w:bookmarkEnd w:id="4"/>
      <w:bookmarkEnd w:id="5"/>
      <w:r w:rsidRPr="00855A95">
        <w:rPr>
          <w:rFonts w:ascii="Arial" w:hAnsi="Arial" w:cs="Arial"/>
          <w:sz w:val="22"/>
          <w:szCs w:val="22"/>
        </w:rPr>
        <w:t xml:space="preserve"> </w:t>
      </w:r>
    </w:p>
    <w:p w14:paraId="518F36EC" w14:textId="77777777" w:rsidR="00EE3150" w:rsidRDefault="00EE3150" w:rsidP="00EE3150">
      <w:pPr>
        <w:autoSpaceDE w:val="0"/>
        <w:autoSpaceDN w:val="0"/>
        <w:adjustRightInd w:val="0"/>
        <w:spacing w:line="360" w:lineRule="auto"/>
        <w:rPr>
          <w:rFonts w:ascii="Arial" w:eastAsia="Arial,Bold" w:hAnsi="Arial" w:cs="Arial"/>
          <w:kern w:val="0"/>
          <w:sz w:val="22"/>
        </w:rPr>
      </w:pPr>
      <w:r w:rsidRPr="00437BBC">
        <w:rPr>
          <w:rFonts w:ascii="Arial" w:eastAsia="Arial,Bold" w:hAnsi="Arial" w:cs="Arial"/>
          <w:kern w:val="0"/>
          <w:sz w:val="22"/>
        </w:rPr>
        <w:t>Relative</w:t>
      </w:r>
      <w:r w:rsidRPr="00437BBC">
        <w:rPr>
          <w:rFonts w:ascii="Arial" w:eastAsia="Arial,Bold" w:hAnsi="Arial" w:cs="Arial" w:hint="eastAsia"/>
          <w:kern w:val="0"/>
          <w:sz w:val="22"/>
        </w:rPr>
        <w:t xml:space="preserve"> </w:t>
      </w:r>
      <w:r w:rsidRPr="00437BBC">
        <w:rPr>
          <w:rFonts w:ascii="Arial" w:eastAsia="Arial,Bold" w:hAnsi="Arial" w:cs="Arial"/>
          <w:kern w:val="0"/>
          <w:sz w:val="22"/>
        </w:rPr>
        <w:t xml:space="preserve">expression levels of </w:t>
      </w:r>
      <w:r w:rsidRPr="00643CE3">
        <w:rPr>
          <w:rFonts w:ascii="Arial" w:eastAsia="Arial,Bold" w:hAnsi="Arial" w:cs="Arial"/>
          <w:i/>
          <w:iCs/>
          <w:kern w:val="0"/>
          <w:sz w:val="22"/>
        </w:rPr>
        <w:t>POLA2</w:t>
      </w:r>
      <w:r w:rsidRPr="00437BBC">
        <w:rPr>
          <w:rFonts w:ascii="Arial" w:eastAsia="Arial,Bold" w:hAnsi="Arial" w:cs="Arial"/>
          <w:kern w:val="0"/>
          <w:sz w:val="22"/>
        </w:rPr>
        <w:t xml:space="preserve"> in SW480 and HCT116 cell lines were determined by</w:t>
      </w:r>
      <w:r w:rsidRPr="00437BBC">
        <w:rPr>
          <w:rFonts w:ascii="Arial" w:eastAsia="Arial,Bold" w:hAnsi="Arial" w:cs="Arial" w:hint="eastAsia"/>
          <w:kern w:val="0"/>
          <w:sz w:val="22"/>
        </w:rPr>
        <w:t xml:space="preserve"> </w:t>
      </w:r>
      <w:r w:rsidRPr="00437BBC">
        <w:rPr>
          <w:rFonts w:ascii="Arial" w:eastAsia="Arial,Bold" w:hAnsi="Arial" w:cs="Arial"/>
          <w:kern w:val="0"/>
          <w:sz w:val="22"/>
        </w:rPr>
        <w:t>qRT-PCR assays. Data were presented from three experiments, each with three</w:t>
      </w:r>
      <w:r w:rsidRPr="00437BBC">
        <w:rPr>
          <w:rFonts w:ascii="Arial" w:eastAsia="Arial,Bold" w:hAnsi="Arial" w:cs="Arial" w:hint="eastAsia"/>
          <w:kern w:val="0"/>
          <w:sz w:val="22"/>
        </w:rPr>
        <w:t xml:space="preserve"> </w:t>
      </w:r>
      <w:r w:rsidRPr="00437BBC">
        <w:rPr>
          <w:rFonts w:ascii="Arial" w:eastAsia="Arial,Bold" w:hAnsi="Arial" w:cs="Arial"/>
          <w:kern w:val="0"/>
          <w:sz w:val="22"/>
        </w:rPr>
        <w:t>replicates and all ****</w:t>
      </w:r>
      <w:r w:rsidRPr="00643CE3">
        <w:rPr>
          <w:rFonts w:ascii="Arial" w:eastAsia="Arial,Bold" w:hAnsi="Arial" w:cs="Arial"/>
          <w:i/>
          <w:iCs/>
          <w:kern w:val="0"/>
          <w:sz w:val="22"/>
        </w:rPr>
        <w:t xml:space="preserve">P </w:t>
      </w:r>
      <w:r w:rsidRPr="00437BBC">
        <w:rPr>
          <w:rFonts w:ascii="Arial" w:eastAsia="Arial,Bold" w:hAnsi="Arial" w:cs="Arial"/>
          <w:kern w:val="0"/>
          <w:sz w:val="22"/>
        </w:rPr>
        <w:t xml:space="preserve">&lt; 0.0001 were calculated by a two-sided Student's </w:t>
      </w:r>
      <w:r w:rsidRPr="00B76614">
        <w:rPr>
          <w:rFonts w:ascii="Arial" w:eastAsia="Arial,Bold" w:hAnsi="Arial" w:cs="Arial"/>
          <w:i/>
          <w:iCs/>
          <w:kern w:val="0"/>
          <w:sz w:val="22"/>
        </w:rPr>
        <w:t>t</w:t>
      </w:r>
      <w:r w:rsidRPr="00437BBC">
        <w:rPr>
          <w:rFonts w:ascii="Arial" w:eastAsia="Arial,Bold" w:hAnsi="Arial" w:cs="Arial"/>
          <w:kern w:val="0"/>
          <w:sz w:val="22"/>
        </w:rPr>
        <w:t>-test.</w:t>
      </w:r>
    </w:p>
    <w:p w14:paraId="7E3AE18F" w14:textId="77777777" w:rsidR="00EE3150" w:rsidRDefault="00EE3150" w:rsidP="00EE3150">
      <w:pPr>
        <w:widowControl/>
        <w:jc w:val="left"/>
        <w:rPr>
          <w:rFonts w:ascii="Arial" w:eastAsia="Arial,Bold" w:hAnsi="Arial" w:cs="Arial"/>
          <w:kern w:val="0"/>
          <w:sz w:val="22"/>
        </w:rPr>
      </w:pPr>
      <w:r>
        <w:rPr>
          <w:rFonts w:ascii="Arial" w:eastAsia="Arial,Bold" w:hAnsi="Arial" w:cs="Arial"/>
          <w:kern w:val="0"/>
          <w:sz w:val="22"/>
        </w:rPr>
        <w:br w:type="page"/>
      </w:r>
    </w:p>
    <w:p w14:paraId="33EC2562" w14:textId="77777777" w:rsidR="00EE3150" w:rsidRDefault="00EE3150" w:rsidP="00EE3150">
      <w:pPr>
        <w:spacing w:line="480" w:lineRule="auto"/>
        <w:jc w:val="left"/>
        <w:rPr>
          <w:rFonts w:ascii="Arial" w:hAnsi="Arial" w:cs="Arial"/>
          <w:b/>
          <w:sz w:val="22"/>
        </w:rPr>
      </w:pPr>
      <w:r>
        <w:rPr>
          <w:rFonts w:ascii="Arial" w:hAnsi="Arial" w:cs="Arial" w:hint="eastAsia"/>
          <w:b/>
          <w:noProof/>
          <w:sz w:val="22"/>
        </w:rPr>
        <w:lastRenderedPageBreak/>
        <w:drawing>
          <wp:inline distT="0" distB="0" distL="0" distR="0" wp14:anchorId="1EBCC707" wp14:editId="4B2C23AB">
            <wp:extent cx="5274310" cy="4296410"/>
            <wp:effectExtent l="0" t="0" r="2540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2F2F4" w14:textId="77777777" w:rsidR="00EE3150" w:rsidRPr="00855A95" w:rsidRDefault="00EE3150" w:rsidP="00EE3150">
      <w:pPr>
        <w:pStyle w:val="1"/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6" w:name="_Toc126933756"/>
      <w:bookmarkStart w:id="7" w:name="_Toc126934407"/>
      <w:r w:rsidRPr="00855A95">
        <w:rPr>
          <w:rFonts w:ascii="Arial" w:hAnsi="Arial" w:cs="Arial"/>
          <w:sz w:val="22"/>
          <w:szCs w:val="22"/>
        </w:rPr>
        <w:t>Fig</w:t>
      </w:r>
      <w:r>
        <w:rPr>
          <w:rFonts w:ascii="Arial" w:hAnsi="Arial" w:cs="Arial"/>
          <w:sz w:val="22"/>
          <w:szCs w:val="22"/>
        </w:rPr>
        <w:t xml:space="preserve">. </w:t>
      </w:r>
      <w:r w:rsidRPr="00855A95">
        <w:rPr>
          <w:rFonts w:ascii="Arial" w:hAnsi="Arial" w:cs="Arial"/>
          <w:sz w:val="22"/>
          <w:szCs w:val="22"/>
        </w:rPr>
        <w:t>S3. Quantile-quantile plot and genomic inflation factor lambda for associations with early-onset CRC risk.</w:t>
      </w:r>
      <w:bookmarkEnd w:id="6"/>
      <w:bookmarkEnd w:id="7"/>
      <w:r w:rsidRPr="00855A95">
        <w:rPr>
          <w:rFonts w:ascii="Arial" w:hAnsi="Arial" w:cs="Arial"/>
          <w:sz w:val="22"/>
          <w:szCs w:val="22"/>
        </w:rPr>
        <w:t xml:space="preserve"> </w:t>
      </w:r>
    </w:p>
    <w:p w14:paraId="400F1FA8" w14:textId="77777777" w:rsidR="00EE3150" w:rsidRPr="00C8106E" w:rsidRDefault="00EE3150" w:rsidP="00EE3150">
      <w:pPr>
        <w:spacing w:line="360" w:lineRule="auto"/>
        <w:rPr>
          <w:rFonts w:ascii="Arial" w:hAnsi="Arial" w:cs="Arial"/>
          <w:bCs/>
          <w:sz w:val="22"/>
        </w:rPr>
      </w:pPr>
      <w:r w:rsidRPr="00643CE3">
        <w:rPr>
          <w:rFonts w:ascii="Arial" w:hAnsi="Arial" w:cs="Arial"/>
          <w:bCs/>
          <w:sz w:val="22"/>
        </w:rPr>
        <w:t>A. The results were based</w:t>
      </w:r>
      <w:r>
        <w:rPr>
          <w:rFonts w:ascii="Arial" w:hAnsi="Arial" w:cs="Arial" w:hint="eastAsia"/>
          <w:bCs/>
          <w:sz w:val="22"/>
        </w:rPr>
        <w:t xml:space="preserve"> </w:t>
      </w:r>
      <w:r w:rsidRPr="00643CE3">
        <w:rPr>
          <w:rFonts w:ascii="Arial" w:hAnsi="Arial" w:cs="Arial"/>
          <w:bCs/>
          <w:sz w:val="22"/>
        </w:rPr>
        <w:t>on in 1</w:t>
      </w:r>
      <w:r w:rsidRPr="00C8106E">
        <w:rPr>
          <w:rFonts w:ascii="Arial" w:hAnsi="Arial" w:cs="Arial"/>
          <w:bCs/>
          <w:sz w:val="22"/>
        </w:rPr>
        <w:t>,490 early-onset CRC cases under 50 years old and 19,951 controls in the first analysis of this study. B. The results were based on in 17,789 CRC cases in the</w:t>
      </w:r>
      <w:r w:rsidRPr="00C8106E">
        <w:rPr>
          <w:rFonts w:ascii="Arial" w:hAnsi="Arial" w:cs="Arial" w:hint="eastAsia"/>
          <w:bCs/>
          <w:sz w:val="22"/>
        </w:rPr>
        <w:t xml:space="preserve"> </w:t>
      </w:r>
      <w:r w:rsidRPr="00C8106E">
        <w:rPr>
          <w:rFonts w:ascii="Arial" w:hAnsi="Arial" w:cs="Arial"/>
          <w:bCs/>
          <w:sz w:val="22"/>
        </w:rPr>
        <w:t>second analysis of this study. C. The results were based</w:t>
      </w:r>
      <w:r w:rsidRPr="00C8106E">
        <w:rPr>
          <w:rFonts w:ascii="Arial" w:hAnsi="Arial" w:cs="Arial" w:hint="eastAsia"/>
          <w:bCs/>
          <w:sz w:val="22"/>
        </w:rPr>
        <w:t xml:space="preserve"> </w:t>
      </w:r>
      <w:r w:rsidRPr="00C8106E">
        <w:rPr>
          <w:rFonts w:ascii="Arial" w:hAnsi="Arial" w:cs="Arial"/>
          <w:bCs/>
          <w:sz w:val="22"/>
        </w:rPr>
        <w:t xml:space="preserve">on in 241 early-onset CRC cases under 40 years old and 3,374 controls in the first analysis of this study. The blue circles represent the distribution of </w:t>
      </w:r>
      <w:r w:rsidRPr="00C8106E">
        <w:rPr>
          <w:rFonts w:ascii="Arial" w:hAnsi="Arial" w:cs="Arial"/>
          <w:bCs/>
          <w:i/>
          <w:iCs/>
          <w:sz w:val="22"/>
        </w:rPr>
        <w:t>P</w:t>
      </w:r>
      <w:r w:rsidRPr="00C8106E">
        <w:rPr>
          <w:rFonts w:ascii="Arial" w:hAnsi="Arial" w:cs="Arial"/>
          <w:bCs/>
          <w:sz w:val="22"/>
        </w:rPr>
        <w:t xml:space="preserve"> values for the association. The observed versus expected χ</w:t>
      </w:r>
      <w:r w:rsidRPr="00C8106E">
        <w:rPr>
          <w:rFonts w:ascii="Arial" w:hAnsi="Arial" w:cs="Arial"/>
          <w:bCs/>
          <w:sz w:val="22"/>
          <w:vertAlign w:val="superscript"/>
        </w:rPr>
        <w:t>2</w:t>
      </w:r>
      <w:r w:rsidRPr="00C8106E">
        <w:rPr>
          <w:rFonts w:ascii="Arial" w:hAnsi="Arial" w:cs="Arial"/>
          <w:bCs/>
          <w:sz w:val="22"/>
        </w:rPr>
        <w:t xml:space="preserve"> test</w:t>
      </w:r>
      <w:r w:rsidRPr="00C8106E">
        <w:rPr>
          <w:rFonts w:ascii="Arial" w:hAnsi="Arial" w:cs="Arial" w:hint="eastAsia"/>
          <w:bCs/>
          <w:sz w:val="22"/>
        </w:rPr>
        <w:t xml:space="preserve"> </w:t>
      </w:r>
      <w:r w:rsidRPr="00C8106E">
        <w:rPr>
          <w:rFonts w:ascii="Arial" w:hAnsi="Arial" w:cs="Arial"/>
          <w:bCs/>
          <w:sz w:val="22"/>
        </w:rPr>
        <w:t>statistics shows no evidence for inflation of χ</w:t>
      </w:r>
      <w:r w:rsidRPr="00C8106E">
        <w:rPr>
          <w:rFonts w:ascii="Arial" w:hAnsi="Arial" w:cs="Arial"/>
          <w:bCs/>
          <w:sz w:val="22"/>
          <w:vertAlign w:val="superscript"/>
        </w:rPr>
        <w:t>2</w:t>
      </w:r>
      <w:r w:rsidRPr="00C8106E">
        <w:rPr>
          <w:rFonts w:ascii="Arial" w:hAnsi="Arial" w:cs="Arial"/>
          <w:bCs/>
          <w:sz w:val="22"/>
        </w:rPr>
        <w:t xml:space="preserve"> tests (inflation factor λ = 1.103, 1.168 and 1.017).</w:t>
      </w:r>
    </w:p>
    <w:p w14:paraId="1F3E3F88" w14:textId="77777777" w:rsidR="00EE3150" w:rsidRDefault="00EE3150" w:rsidP="00EE3150">
      <w:pPr>
        <w:widowControl/>
        <w:jc w:val="left"/>
        <w:rPr>
          <w:rFonts w:ascii="Arial" w:hAnsi="Arial" w:cs="Arial"/>
          <w:bCs/>
          <w:sz w:val="22"/>
        </w:rPr>
        <w:sectPr w:rsidR="00EE3150" w:rsidSect="009E57C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2181388" w14:textId="77777777" w:rsidR="00EE3150" w:rsidRDefault="00EE3150" w:rsidP="00EE3150">
      <w:pPr>
        <w:spacing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</w:rPr>
        <w:lastRenderedPageBreak/>
        <w:drawing>
          <wp:anchor distT="0" distB="0" distL="114300" distR="114300" simplePos="0" relativeHeight="251655680" behindDoc="0" locked="0" layoutInCell="1" allowOverlap="1" wp14:anchorId="776145F0" wp14:editId="69C4FAD3">
            <wp:simplePos x="0" y="0"/>
            <wp:positionH relativeFrom="margin">
              <wp:posOffset>-237490</wp:posOffset>
            </wp:positionH>
            <wp:positionV relativeFrom="paragraph">
              <wp:posOffset>0</wp:posOffset>
            </wp:positionV>
            <wp:extent cx="5488305" cy="3717925"/>
            <wp:effectExtent l="0" t="0" r="0" b="0"/>
            <wp:wrapTopAndBottom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B21B0D" w14:textId="77777777" w:rsidR="00EE3150" w:rsidRPr="00855A95" w:rsidRDefault="00EE3150" w:rsidP="00EE3150">
      <w:pPr>
        <w:pStyle w:val="1"/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8" w:name="_Toc126933757"/>
      <w:bookmarkStart w:id="9" w:name="_Toc126934408"/>
      <w:r w:rsidRPr="00855A95">
        <w:rPr>
          <w:rFonts w:ascii="Arial" w:hAnsi="Arial" w:cs="Arial"/>
          <w:sz w:val="22"/>
          <w:szCs w:val="22"/>
        </w:rPr>
        <w:t>Fig</w:t>
      </w:r>
      <w:r>
        <w:rPr>
          <w:rFonts w:ascii="Arial" w:hAnsi="Arial" w:cs="Arial"/>
          <w:sz w:val="22"/>
          <w:szCs w:val="22"/>
        </w:rPr>
        <w:t xml:space="preserve">. </w:t>
      </w:r>
      <w:r w:rsidRPr="00855A95">
        <w:rPr>
          <w:rFonts w:ascii="Arial" w:hAnsi="Arial" w:cs="Arial"/>
          <w:sz w:val="22"/>
          <w:szCs w:val="22"/>
        </w:rPr>
        <w:t>S4. Regional plots of association results and recombination rates within the four significant susceptibility loci.</w:t>
      </w:r>
      <w:bookmarkEnd w:id="8"/>
      <w:bookmarkEnd w:id="9"/>
    </w:p>
    <w:p w14:paraId="2BC4A8FA" w14:textId="77777777" w:rsidR="00EE3150" w:rsidRDefault="00EE3150" w:rsidP="00EE3150">
      <w:pPr>
        <w:spacing w:line="360" w:lineRule="auto"/>
        <w:rPr>
          <w:rFonts w:ascii="Arial" w:hAnsi="Arial" w:cs="Arial"/>
          <w:bCs/>
          <w:sz w:val="22"/>
        </w:rPr>
      </w:pPr>
      <w:r w:rsidRPr="009E57C3">
        <w:rPr>
          <w:rFonts w:ascii="Arial" w:hAnsi="Arial" w:cs="Arial"/>
          <w:bCs/>
          <w:sz w:val="22"/>
        </w:rPr>
        <w:t xml:space="preserve">A. rs12137323 B. rs401763 C. rs10139477 D. rs1620412. The association results were based on imputation results of 1,490 early-onset CRC cases and 19,951 controls in </w:t>
      </w:r>
      <w:r w:rsidRPr="00643CE3">
        <w:rPr>
          <w:rFonts w:ascii="Arial" w:hAnsi="Arial" w:cs="Arial"/>
          <w:bCs/>
          <w:sz w:val="22"/>
        </w:rPr>
        <w:t>the first analysis of this study</w:t>
      </w:r>
      <w:r w:rsidRPr="009E57C3">
        <w:rPr>
          <w:rFonts w:ascii="Arial" w:hAnsi="Arial" w:cs="Arial"/>
          <w:bCs/>
          <w:sz w:val="22"/>
        </w:rPr>
        <w:t xml:space="preserve">. </w:t>
      </w:r>
      <w:r w:rsidRPr="009E57C3">
        <w:rPr>
          <w:rFonts w:ascii="Arial" w:hAnsi="Arial" w:cs="Arial"/>
          <w:bCs/>
          <w:i/>
          <w:iCs/>
          <w:sz w:val="22"/>
        </w:rPr>
        <w:t>P</w:t>
      </w:r>
      <w:r w:rsidRPr="009E57C3">
        <w:rPr>
          <w:rFonts w:ascii="Arial" w:hAnsi="Arial" w:cs="Arial"/>
          <w:bCs/>
          <w:sz w:val="22"/>
        </w:rPr>
        <w:t xml:space="preserve"> values are two sided and were calculated by an additive model in logistic regression analysis adjusted for sex, recruitment center and 10 principal components. For each plot, the −log</w:t>
      </w:r>
      <w:r w:rsidRPr="009E57C3">
        <w:rPr>
          <w:rFonts w:ascii="Arial" w:hAnsi="Arial" w:cs="Arial"/>
          <w:bCs/>
          <w:sz w:val="22"/>
          <w:vertAlign w:val="subscript"/>
        </w:rPr>
        <w:t>10</w:t>
      </w:r>
      <w:r w:rsidRPr="009E57C3">
        <w:rPr>
          <w:rFonts w:ascii="Arial" w:hAnsi="Arial" w:cs="Arial"/>
          <w:bCs/>
          <w:i/>
          <w:iCs/>
          <w:sz w:val="22"/>
        </w:rPr>
        <w:t xml:space="preserve"> P</w:t>
      </w:r>
      <w:r w:rsidRPr="009E57C3">
        <w:rPr>
          <w:rFonts w:ascii="Arial" w:hAnsi="Arial" w:cs="Arial"/>
          <w:bCs/>
          <w:sz w:val="22"/>
        </w:rPr>
        <w:t xml:space="preserve"> values (y-axis) of the SNPs are presented according to their chromosomal positions (x-axis). The genetic recombination rates (cM/Mb) estimated based on the 1000 Genomes Nov 2014 EUR population are shown with a blue line. We annotated the genes within the region of interest, and these genes are shown as arrows. The LD r</w:t>
      </w:r>
      <w:r w:rsidRPr="009E57C3">
        <w:rPr>
          <w:rFonts w:ascii="Arial" w:hAnsi="Arial" w:cs="Arial"/>
          <w:bCs/>
          <w:sz w:val="22"/>
          <w:vertAlign w:val="superscript"/>
        </w:rPr>
        <w:t>2</w:t>
      </w:r>
      <w:r w:rsidRPr="009E57C3">
        <w:rPr>
          <w:rFonts w:ascii="Arial" w:hAnsi="Arial" w:cs="Arial"/>
          <w:bCs/>
          <w:sz w:val="22"/>
        </w:rPr>
        <w:t xml:space="preserve"> values were calculated using pairwise linkage disequilibrium analyses. The top genotyped SNP is labeled by rs ID, and the r</w:t>
      </w:r>
      <w:r w:rsidRPr="009E57C3">
        <w:rPr>
          <w:rFonts w:ascii="Arial" w:hAnsi="Arial" w:cs="Arial"/>
          <w:bCs/>
          <w:sz w:val="22"/>
          <w:vertAlign w:val="superscript"/>
        </w:rPr>
        <w:t>2</w:t>
      </w:r>
      <w:r w:rsidRPr="009E57C3">
        <w:rPr>
          <w:rFonts w:ascii="Arial" w:hAnsi="Arial" w:cs="Arial"/>
          <w:bCs/>
          <w:sz w:val="22"/>
        </w:rPr>
        <w:t xml:space="preserve"> values of the rest of the SNPs with the top genotyped SNP are indicated by different colors.</w:t>
      </w:r>
    </w:p>
    <w:p w14:paraId="32933DD6" w14:textId="77777777" w:rsidR="00EE3150" w:rsidRDefault="00EE3150" w:rsidP="00EE3150">
      <w:pPr>
        <w:widowControl/>
        <w:jc w:val="left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br w:type="page"/>
      </w:r>
    </w:p>
    <w:p w14:paraId="55B80B5D" w14:textId="77777777" w:rsidR="00EE3150" w:rsidRDefault="00EE3150" w:rsidP="00EE3150">
      <w:pPr>
        <w:spacing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</w:rPr>
        <w:lastRenderedPageBreak/>
        <w:drawing>
          <wp:anchor distT="0" distB="0" distL="114300" distR="114300" simplePos="0" relativeHeight="251658752" behindDoc="0" locked="0" layoutInCell="1" allowOverlap="1" wp14:anchorId="44D76D8F" wp14:editId="1792D8EC">
            <wp:simplePos x="0" y="0"/>
            <wp:positionH relativeFrom="margin">
              <wp:align>center</wp:align>
            </wp:positionH>
            <wp:positionV relativeFrom="paragraph">
              <wp:posOffset>88490</wp:posOffset>
            </wp:positionV>
            <wp:extent cx="4430702" cy="3394240"/>
            <wp:effectExtent l="0" t="0" r="8255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702" cy="3394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98D9B6" w14:textId="77777777" w:rsidR="00EE3150" w:rsidRPr="00855A95" w:rsidRDefault="00EE3150" w:rsidP="00EE3150">
      <w:pPr>
        <w:pStyle w:val="1"/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0" w:name="_Toc126933758"/>
      <w:bookmarkStart w:id="11" w:name="_Toc126934409"/>
      <w:r w:rsidRPr="00855A95">
        <w:rPr>
          <w:rFonts w:ascii="Arial" w:hAnsi="Arial" w:cs="Arial"/>
          <w:sz w:val="22"/>
          <w:szCs w:val="22"/>
        </w:rPr>
        <w:t>Fig</w:t>
      </w:r>
      <w:r>
        <w:rPr>
          <w:rFonts w:ascii="Arial" w:hAnsi="Arial" w:cs="Arial"/>
          <w:sz w:val="22"/>
          <w:szCs w:val="22"/>
        </w:rPr>
        <w:t>.</w:t>
      </w:r>
      <w:r w:rsidRPr="00855A95">
        <w:rPr>
          <w:rFonts w:ascii="Arial" w:hAnsi="Arial" w:cs="Arial"/>
          <w:sz w:val="22"/>
          <w:szCs w:val="22"/>
        </w:rPr>
        <w:t xml:space="preserve"> S5. Manhattan plots for associations between genetic variants and EOCRC risk under 40 years old.</w:t>
      </w:r>
      <w:bookmarkEnd w:id="10"/>
      <w:bookmarkEnd w:id="11"/>
    </w:p>
    <w:p w14:paraId="52E4D64F" w14:textId="77777777" w:rsidR="00EE3150" w:rsidRDefault="00EE3150" w:rsidP="00EE3150">
      <w:pPr>
        <w:spacing w:line="360" w:lineRule="auto"/>
        <w:rPr>
          <w:rFonts w:ascii="Arial" w:hAnsi="Arial" w:cs="Arial"/>
          <w:sz w:val="22"/>
        </w:rPr>
      </w:pPr>
      <w:r w:rsidRPr="00207B03">
        <w:rPr>
          <w:rFonts w:ascii="Arial" w:hAnsi="Arial" w:cs="Arial"/>
          <w:sz w:val="22"/>
        </w:rPr>
        <w:t>The</w:t>
      </w:r>
      <w:r w:rsidRPr="00295418">
        <w:rPr>
          <w:rFonts w:ascii="Arial" w:hAnsi="Arial" w:cs="Arial"/>
          <w:sz w:val="22"/>
        </w:rPr>
        <w:t xml:space="preserve"> logistic regression analysis of </w:t>
      </w:r>
      <w:r>
        <w:rPr>
          <w:rFonts w:ascii="Arial" w:hAnsi="Arial" w:cs="Arial"/>
          <w:sz w:val="22"/>
        </w:rPr>
        <w:t>241</w:t>
      </w:r>
      <w:r w:rsidRPr="00295418">
        <w:rPr>
          <w:rFonts w:ascii="Arial" w:hAnsi="Arial" w:cs="Arial"/>
          <w:sz w:val="22"/>
        </w:rPr>
        <w:t xml:space="preserve"> EOCRC cases and </w:t>
      </w:r>
      <w:r>
        <w:rPr>
          <w:rFonts w:ascii="Arial" w:hAnsi="Arial" w:cs="Arial"/>
          <w:sz w:val="22"/>
        </w:rPr>
        <w:t>3,374</w:t>
      </w:r>
      <w:r w:rsidRPr="00295418">
        <w:rPr>
          <w:rFonts w:ascii="Arial" w:hAnsi="Arial" w:cs="Arial"/>
          <w:sz w:val="22"/>
        </w:rPr>
        <w:t xml:space="preserve"> controls</w:t>
      </w:r>
      <w:r w:rsidRPr="00207B03">
        <w:rPr>
          <w:rFonts w:ascii="Arial" w:hAnsi="Arial" w:cs="Arial"/>
          <w:sz w:val="22"/>
        </w:rPr>
        <w:t xml:space="preserve">. </w:t>
      </w:r>
      <w:r w:rsidRPr="00207B03">
        <w:rPr>
          <w:rFonts w:ascii="Arial" w:hAnsi="Arial" w:cs="Arial"/>
          <w:i/>
          <w:iCs/>
          <w:sz w:val="22"/>
        </w:rPr>
        <w:t>P</w:t>
      </w:r>
      <w:r w:rsidRPr="00207B03">
        <w:rPr>
          <w:rFonts w:ascii="Arial" w:hAnsi="Arial" w:cs="Arial"/>
          <w:sz w:val="22"/>
        </w:rPr>
        <w:t xml:space="preserve"> values are two</w:t>
      </w:r>
      <w:r>
        <w:rPr>
          <w:rFonts w:ascii="Arial" w:hAnsi="Arial" w:cs="Arial"/>
          <w:sz w:val="22"/>
        </w:rPr>
        <w:t>-</w:t>
      </w:r>
      <w:r w:rsidRPr="00207B03">
        <w:rPr>
          <w:rFonts w:ascii="Arial" w:hAnsi="Arial" w:cs="Arial"/>
          <w:sz w:val="22"/>
        </w:rPr>
        <w:t>sided</w:t>
      </w:r>
      <w:r>
        <w:rPr>
          <w:rFonts w:ascii="Arial" w:hAnsi="Arial" w:cs="Arial" w:hint="eastAsia"/>
          <w:sz w:val="22"/>
        </w:rPr>
        <w:t>,</w:t>
      </w:r>
      <w:r>
        <w:rPr>
          <w:rFonts w:ascii="Arial" w:hAnsi="Arial" w:cs="Arial"/>
          <w:sz w:val="22"/>
        </w:rPr>
        <w:t xml:space="preserve"> </w:t>
      </w:r>
      <w:r w:rsidRPr="00207B03">
        <w:rPr>
          <w:rFonts w:ascii="Arial" w:hAnsi="Arial" w:cs="Arial"/>
          <w:sz w:val="22"/>
        </w:rPr>
        <w:t xml:space="preserve">calculated by an additive model </w:t>
      </w:r>
      <w:r>
        <w:rPr>
          <w:rFonts w:ascii="Arial" w:hAnsi="Arial" w:cs="Arial"/>
          <w:sz w:val="22"/>
        </w:rPr>
        <w:t xml:space="preserve">and </w:t>
      </w:r>
      <w:r w:rsidRPr="00207B03">
        <w:rPr>
          <w:rFonts w:ascii="Arial" w:hAnsi="Arial" w:cs="Arial"/>
          <w:sz w:val="22"/>
        </w:rPr>
        <w:t xml:space="preserve">adjusted for sex, recruitment center and the 10 </w:t>
      </w:r>
      <w:r w:rsidRPr="00AD6921">
        <w:rPr>
          <w:rFonts w:ascii="Arial" w:hAnsi="Arial" w:cs="Arial"/>
          <w:sz w:val="22"/>
        </w:rPr>
        <w:t>principal components</w:t>
      </w:r>
      <w:r w:rsidRPr="00207B03" w:rsidDel="00295418">
        <w:rPr>
          <w:rFonts w:ascii="Arial" w:hAnsi="Arial" w:cs="Arial"/>
          <w:sz w:val="22"/>
        </w:rPr>
        <w:t>.</w:t>
      </w:r>
      <w:r w:rsidRPr="00207B03">
        <w:rPr>
          <w:rFonts w:ascii="Arial" w:hAnsi="Arial" w:cs="Arial"/>
          <w:sz w:val="22"/>
        </w:rPr>
        <w:t xml:space="preserve"> </w:t>
      </w:r>
      <w:r w:rsidRPr="00756538">
        <w:rPr>
          <w:rFonts w:ascii="Arial" w:hAnsi="Arial" w:cs="Arial"/>
          <w:sz w:val="22"/>
        </w:rPr>
        <w:t xml:space="preserve">The red line indicates the genome-wide significance threshold. </w:t>
      </w:r>
      <w:r w:rsidRPr="00207B03">
        <w:rPr>
          <w:rFonts w:ascii="Arial" w:hAnsi="Arial" w:cs="Arial"/>
          <w:sz w:val="22"/>
        </w:rPr>
        <w:t>The associations (–log</w:t>
      </w:r>
      <w:r w:rsidRPr="00207B03">
        <w:rPr>
          <w:rFonts w:ascii="Arial" w:hAnsi="Arial" w:cs="Arial"/>
          <w:sz w:val="22"/>
          <w:vertAlign w:val="subscript"/>
        </w:rPr>
        <w:t>10</w:t>
      </w:r>
      <w:r w:rsidRPr="00207B03">
        <w:rPr>
          <w:rFonts w:ascii="Arial" w:hAnsi="Arial" w:cs="Arial"/>
          <w:sz w:val="22"/>
        </w:rPr>
        <w:t>(</w:t>
      </w:r>
      <w:r w:rsidRPr="00207B03">
        <w:rPr>
          <w:rFonts w:ascii="Arial" w:hAnsi="Arial" w:cs="Arial"/>
          <w:i/>
          <w:iCs/>
          <w:sz w:val="22"/>
        </w:rPr>
        <w:t>P</w:t>
      </w:r>
      <w:r w:rsidRPr="00207B03">
        <w:rPr>
          <w:rFonts w:ascii="Arial" w:hAnsi="Arial" w:cs="Arial"/>
          <w:sz w:val="22"/>
        </w:rPr>
        <w:t>) values, y</w:t>
      </w:r>
      <w:r>
        <w:rPr>
          <w:rFonts w:ascii="Arial" w:hAnsi="Arial" w:cs="Arial"/>
          <w:sz w:val="22"/>
        </w:rPr>
        <w:t>-</w:t>
      </w:r>
      <w:r w:rsidRPr="00207B03">
        <w:rPr>
          <w:rFonts w:ascii="Arial" w:hAnsi="Arial" w:cs="Arial"/>
          <w:sz w:val="22"/>
        </w:rPr>
        <w:t>axis) are plotted against genomic position (x</w:t>
      </w:r>
      <w:r>
        <w:rPr>
          <w:rFonts w:ascii="Arial" w:hAnsi="Arial" w:cs="Arial"/>
          <w:sz w:val="22"/>
        </w:rPr>
        <w:t>-</w:t>
      </w:r>
      <w:r w:rsidRPr="00207B03">
        <w:rPr>
          <w:rFonts w:ascii="Arial" w:hAnsi="Arial" w:cs="Arial"/>
          <w:sz w:val="22"/>
        </w:rPr>
        <w:t xml:space="preserve">axis by chromosome and chromosomal position of NCBI build </w:t>
      </w:r>
      <w:r w:rsidRPr="00260F08">
        <w:rPr>
          <w:rFonts w:ascii="Arial" w:hAnsi="Arial" w:cs="Arial"/>
          <w:sz w:val="22"/>
        </w:rPr>
        <w:t>37).</w:t>
      </w:r>
    </w:p>
    <w:p w14:paraId="2FFE8192" w14:textId="77777777" w:rsidR="00EE3150" w:rsidRDefault="00EE3150" w:rsidP="00EE3150">
      <w:pPr>
        <w:widowControl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51BD94F5" w14:textId="77777777" w:rsidR="00EE3150" w:rsidRDefault="00EE3150" w:rsidP="00EE3150">
      <w:pPr>
        <w:spacing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</w:rPr>
        <w:lastRenderedPageBreak/>
        <w:drawing>
          <wp:inline distT="0" distB="0" distL="0" distR="0" wp14:anchorId="7798A4A1" wp14:editId="35F0BEF5">
            <wp:extent cx="5274310" cy="1974215"/>
            <wp:effectExtent l="0" t="0" r="254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84973" w14:textId="77777777" w:rsidR="00EE3150" w:rsidRPr="00855A95" w:rsidRDefault="00EE3150" w:rsidP="00EE3150">
      <w:pPr>
        <w:pStyle w:val="1"/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2" w:name="_Toc126933759"/>
      <w:bookmarkStart w:id="13" w:name="_Toc126934410"/>
      <w:r w:rsidRPr="00855A95">
        <w:rPr>
          <w:rFonts w:ascii="Arial" w:hAnsi="Arial" w:cs="Arial"/>
          <w:sz w:val="22"/>
          <w:szCs w:val="22"/>
        </w:rPr>
        <w:t>Fig</w:t>
      </w:r>
      <w:r>
        <w:rPr>
          <w:rFonts w:ascii="Arial" w:hAnsi="Arial" w:cs="Arial"/>
          <w:sz w:val="22"/>
          <w:szCs w:val="22"/>
        </w:rPr>
        <w:t>.</w:t>
      </w:r>
      <w:r w:rsidRPr="00855A95">
        <w:rPr>
          <w:rFonts w:ascii="Arial" w:hAnsi="Arial" w:cs="Arial"/>
          <w:sz w:val="22"/>
          <w:szCs w:val="22"/>
        </w:rPr>
        <w:t xml:space="preserve"> S6. Risk estimates for EOCRC (under 40 years old) associated with the PRS deriving from distinct SNPs.</w:t>
      </w:r>
      <w:bookmarkEnd w:id="12"/>
      <w:bookmarkEnd w:id="13"/>
    </w:p>
    <w:p w14:paraId="65F6C7CC" w14:textId="6D03AD1B" w:rsidR="00EE3150" w:rsidRPr="00F9265B" w:rsidRDefault="00EE3150" w:rsidP="00EE3150">
      <w:pPr>
        <w:spacing w:line="360" w:lineRule="auto"/>
        <w:rPr>
          <w:rFonts w:ascii="Arial" w:hAnsi="Arial" w:cs="Arial"/>
          <w:sz w:val="22"/>
        </w:rPr>
      </w:pPr>
      <w:bookmarkStart w:id="14" w:name="_Hlk120657577"/>
      <w:r w:rsidRPr="00F9265B">
        <w:rPr>
          <w:rFonts w:ascii="Arial" w:hAnsi="Arial" w:cs="Arial"/>
          <w:b/>
          <w:bCs/>
          <w:sz w:val="22"/>
        </w:rPr>
        <w:t xml:space="preserve">A. </w:t>
      </w:r>
      <w:r w:rsidRPr="00F9265B">
        <w:rPr>
          <w:rFonts w:ascii="Arial" w:hAnsi="Arial" w:cs="Arial"/>
          <w:sz w:val="22"/>
        </w:rPr>
        <w:t xml:space="preserve">The </w:t>
      </w:r>
      <w:r w:rsidRPr="00AD6921">
        <w:rPr>
          <w:rFonts w:ascii="Arial" w:hAnsi="Arial" w:cs="Arial"/>
          <w:sz w:val="22"/>
        </w:rPr>
        <w:t>PRS</w:t>
      </w:r>
      <w:r w:rsidRPr="00F9265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was </w:t>
      </w:r>
      <w:r w:rsidRPr="00AD6921">
        <w:rPr>
          <w:rFonts w:ascii="Arial" w:hAnsi="Arial" w:cs="Arial"/>
          <w:sz w:val="22"/>
        </w:rPr>
        <w:t>generated</w:t>
      </w:r>
      <w:r>
        <w:rPr>
          <w:rFonts w:ascii="Arial" w:hAnsi="Arial" w:cs="Arial"/>
          <w:sz w:val="22"/>
        </w:rPr>
        <w:t xml:space="preserve"> </w:t>
      </w:r>
      <w:r w:rsidRPr="00AD6921">
        <w:rPr>
          <w:rFonts w:ascii="Arial" w:hAnsi="Arial" w:cs="Arial"/>
          <w:sz w:val="22"/>
        </w:rPr>
        <w:t xml:space="preserve">by calculating </w:t>
      </w:r>
      <w:r>
        <w:rPr>
          <w:rFonts w:ascii="Arial" w:hAnsi="Arial" w:cs="Arial"/>
          <w:sz w:val="22"/>
        </w:rPr>
        <w:t xml:space="preserve">the </w:t>
      </w:r>
      <w:r w:rsidRPr="00AD6921">
        <w:rPr>
          <w:rFonts w:ascii="Arial" w:hAnsi="Arial" w:cs="Arial"/>
          <w:sz w:val="22"/>
        </w:rPr>
        <w:t>effect sizes</w:t>
      </w:r>
      <w:r>
        <w:rPr>
          <w:rFonts w:ascii="Arial" w:hAnsi="Arial" w:cs="Arial"/>
          <w:sz w:val="22"/>
        </w:rPr>
        <w:t xml:space="preserve"> of EO</w:t>
      </w:r>
      <w:r w:rsidRPr="00AD6921">
        <w:rPr>
          <w:rFonts w:ascii="Arial" w:hAnsi="Arial" w:cs="Arial"/>
          <w:sz w:val="22"/>
        </w:rPr>
        <w:t>CRC</w:t>
      </w:r>
      <w:r>
        <w:rPr>
          <w:rFonts w:ascii="Arial" w:hAnsi="Arial" w:cs="Arial"/>
          <w:sz w:val="22"/>
        </w:rPr>
        <w:t xml:space="preserve"> specific</w:t>
      </w:r>
      <w:r w:rsidRPr="00AD6921">
        <w:rPr>
          <w:rFonts w:ascii="Arial" w:hAnsi="Arial" w:cs="Arial"/>
          <w:sz w:val="22"/>
        </w:rPr>
        <w:t xml:space="preserve"> risk loci</w:t>
      </w:r>
      <w:r w:rsidRPr="00F9265B">
        <w:rPr>
          <w:rFonts w:ascii="Arial" w:hAnsi="Arial" w:cs="Arial"/>
          <w:sz w:val="22"/>
        </w:rPr>
        <w:t xml:space="preserve"> </w:t>
      </w:r>
      <w:r w:rsidRPr="00BE27CD">
        <w:rPr>
          <w:rFonts w:ascii="Arial" w:hAnsi="Arial" w:cs="Arial"/>
          <w:sz w:val="22"/>
        </w:rPr>
        <w:t>in</w:t>
      </w:r>
      <w:r>
        <w:rPr>
          <w:rFonts w:ascii="Arial" w:hAnsi="Arial" w:cs="Arial"/>
          <w:sz w:val="22"/>
        </w:rPr>
        <w:t xml:space="preserve"> </w:t>
      </w:r>
      <w:r w:rsidRPr="000F61CC">
        <w:rPr>
          <w:rFonts w:ascii="Arial" w:hAnsi="Arial" w:cs="Arial"/>
          <w:sz w:val="22"/>
        </w:rPr>
        <w:t>241</w:t>
      </w:r>
      <w:r>
        <w:rPr>
          <w:rFonts w:ascii="Arial" w:hAnsi="Arial" w:cs="Arial"/>
          <w:sz w:val="22"/>
        </w:rPr>
        <w:t xml:space="preserve"> </w:t>
      </w:r>
      <w:r w:rsidRPr="00BE27CD">
        <w:rPr>
          <w:rFonts w:ascii="Arial" w:hAnsi="Arial" w:cs="Arial"/>
          <w:sz w:val="22"/>
        </w:rPr>
        <w:t>EOCRC cases (&lt;</w:t>
      </w:r>
      <w:r>
        <w:rPr>
          <w:rFonts w:ascii="Arial" w:hAnsi="Arial" w:cs="Arial"/>
          <w:sz w:val="22"/>
        </w:rPr>
        <w:t xml:space="preserve"> 4</w:t>
      </w:r>
      <w:r w:rsidRPr="00BE27CD">
        <w:rPr>
          <w:rFonts w:ascii="Arial" w:hAnsi="Arial" w:cs="Arial"/>
          <w:sz w:val="22"/>
        </w:rPr>
        <w:t>0 years</w:t>
      </w:r>
      <w:r>
        <w:rPr>
          <w:rFonts w:ascii="Arial" w:hAnsi="Arial" w:cs="Arial" w:hint="eastAsia"/>
          <w:sz w:val="22"/>
        </w:rPr>
        <w:t xml:space="preserve">) </w:t>
      </w:r>
      <w:r w:rsidRPr="00BE27CD">
        <w:rPr>
          <w:rFonts w:ascii="Arial" w:hAnsi="Arial" w:cs="Arial"/>
          <w:sz w:val="22"/>
        </w:rPr>
        <w:t xml:space="preserve">and </w:t>
      </w:r>
      <w:r w:rsidRPr="00F40141">
        <w:rPr>
          <w:rFonts w:ascii="Arial" w:hAnsi="Arial" w:cs="Arial"/>
          <w:sz w:val="22"/>
        </w:rPr>
        <w:t>3</w:t>
      </w:r>
      <w:r>
        <w:rPr>
          <w:rFonts w:ascii="Arial" w:hAnsi="Arial" w:cs="Arial"/>
          <w:sz w:val="22"/>
        </w:rPr>
        <w:t>,</w:t>
      </w:r>
      <w:r w:rsidRPr="00F40141">
        <w:rPr>
          <w:rFonts w:ascii="Arial" w:hAnsi="Arial" w:cs="Arial"/>
          <w:sz w:val="22"/>
        </w:rPr>
        <w:t>374</w:t>
      </w:r>
      <w:r w:rsidRPr="00BE27CD">
        <w:rPr>
          <w:rFonts w:ascii="Arial" w:hAnsi="Arial" w:cs="Arial"/>
          <w:sz w:val="22"/>
        </w:rPr>
        <w:t xml:space="preserve"> healthy controls </w:t>
      </w:r>
      <w:r w:rsidRPr="00F9265B">
        <w:rPr>
          <w:rFonts w:ascii="Arial" w:hAnsi="Arial" w:cs="Arial"/>
          <w:sz w:val="22"/>
        </w:rPr>
        <w:t>in the GECCO cohort</w:t>
      </w:r>
      <w:r>
        <w:rPr>
          <w:rFonts w:ascii="Arial" w:hAnsi="Arial" w:cs="Arial"/>
          <w:sz w:val="22"/>
        </w:rPr>
        <w:t xml:space="preserve"> and</w:t>
      </w:r>
      <w:r w:rsidRPr="00F9265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bCs/>
          <w:sz w:val="22"/>
        </w:rPr>
        <w:t>B</w:t>
      </w:r>
      <w:r w:rsidRPr="00F9265B">
        <w:rPr>
          <w:rFonts w:ascii="Arial" w:hAnsi="Arial" w:cs="Arial"/>
          <w:b/>
          <w:bCs/>
          <w:sz w:val="22"/>
        </w:rPr>
        <w:t>.</w:t>
      </w:r>
      <w:r w:rsidRPr="00F9265B">
        <w:rPr>
          <w:rFonts w:ascii="Arial" w:hAnsi="Arial" w:cs="Arial"/>
          <w:sz w:val="22"/>
        </w:rPr>
        <w:t xml:space="preserve"> Two</w:t>
      </w:r>
      <w:r w:rsidRPr="00295418">
        <w:t xml:space="preserve"> </w:t>
      </w:r>
      <w:r w:rsidRPr="00295418">
        <w:rPr>
          <w:rFonts w:ascii="Arial" w:hAnsi="Arial" w:cs="Arial"/>
          <w:sz w:val="22"/>
        </w:rPr>
        <w:t>PRS</w:t>
      </w:r>
      <w:r w:rsidRPr="00F9265B">
        <w:rPr>
          <w:rFonts w:ascii="Arial" w:hAnsi="Arial" w:cs="Arial"/>
          <w:sz w:val="22"/>
        </w:rPr>
        <w:t xml:space="preserve"> models</w:t>
      </w:r>
      <w:r>
        <w:rPr>
          <w:rFonts w:ascii="Arial" w:hAnsi="Arial" w:cs="Arial"/>
          <w:sz w:val="22"/>
        </w:rPr>
        <w:t xml:space="preserve"> were</w:t>
      </w:r>
      <w:r w:rsidRPr="00F9265B">
        <w:rPr>
          <w:rFonts w:ascii="Arial" w:hAnsi="Arial" w:cs="Arial"/>
          <w:sz w:val="22"/>
        </w:rPr>
        <w:t xml:space="preserve"> deriving from </w:t>
      </w:r>
      <w:r w:rsidRPr="00295418">
        <w:rPr>
          <w:rFonts w:ascii="Arial" w:hAnsi="Arial" w:cs="Arial"/>
          <w:sz w:val="22"/>
        </w:rPr>
        <w:t>86</w:t>
      </w:r>
      <w:r>
        <w:rPr>
          <w:rFonts w:ascii="Arial" w:hAnsi="Arial" w:cs="Arial"/>
          <w:sz w:val="22"/>
        </w:rPr>
        <w:t xml:space="preserve"> </w:t>
      </w:r>
      <w:r w:rsidRPr="00AD6921">
        <w:rPr>
          <w:rFonts w:ascii="Arial" w:hAnsi="Arial" w:cs="Arial"/>
          <w:sz w:val="22"/>
        </w:rPr>
        <w:t xml:space="preserve">previously </w:t>
      </w:r>
      <w:r>
        <w:rPr>
          <w:rFonts w:ascii="Arial" w:hAnsi="Arial" w:cs="Arial"/>
          <w:sz w:val="22"/>
        </w:rPr>
        <w:t>GWAS-identified</w:t>
      </w:r>
      <w:r w:rsidRPr="00AD6921">
        <w:rPr>
          <w:rFonts w:ascii="Arial" w:hAnsi="Arial" w:cs="Arial"/>
          <w:sz w:val="22"/>
        </w:rPr>
        <w:t xml:space="preserve"> CRC </w:t>
      </w:r>
      <w:r>
        <w:rPr>
          <w:rFonts w:ascii="Arial" w:hAnsi="Arial" w:cs="Arial"/>
          <w:sz w:val="22"/>
        </w:rPr>
        <w:t xml:space="preserve">risk </w:t>
      </w:r>
      <w:r>
        <w:rPr>
          <w:rFonts w:ascii="Arial" w:hAnsi="Arial" w:cs="Arial" w:hint="eastAsia"/>
          <w:sz w:val="22"/>
        </w:rPr>
        <w:t>SNPs</w:t>
      </w:r>
      <w:r w:rsidRPr="00F9265B">
        <w:rPr>
          <w:rFonts w:ascii="Arial" w:hAnsi="Arial" w:cs="Arial"/>
          <w:sz w:val="22"/>
        </w:rPr>
        <w:t xml:space="preserve"> and </w:t>
      </w:r>
      <w:r>
        <w:rPr>
          <w:rFonts w:ascii="Arial" w:hAnsi="Arial" w:cs="Arial" w:hint="eastAsia"/>
          <w:sz w:val="22"/>
        </w:rPr>
        <w:t>those</w:t>
      </w:r>
      <w:r>
        <w:rPr>
          <w:rFonts w:ascii="Arial" w:hAnsi="Arial" w:cs="Arial"/>
          <w:sz w:val="22"/>
        </w:rPr>
        <w:t xml:space="preserve"> 86</w:t>
      </w:r>
      <w:r w:rsidRPr="00295418"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SNPs</w:t>
      </w:r>
      <w:r>
        <w:rPr>
          <w:rFonts w:ascii="Arial" w:hAnsi="Arial" w:cs="Arial"/>
          <w:sz w:val="22"/>
        </w:rPr>
        <w:t xml:space="preserve"> combined with 16 EO</w:t>
      </w:r>
      <w:r w:rsidRPr="00AD6921">
        <w:rPr>
          <w:rFonts w:ascii="Arial" w:hAnsi="Arial" w:cs="Arial"/>
          <w:sz w:val="22"/>
        </w:rPr>
        <w:t>CRC</w:t>
      </w:r>
      <w:r>
        <w:rPr>
          <w:rFonts w:ascii="Arial" w:hAnsi="Arial" w:cs="Arial"/>
          <w:sz w:val="22"/>
        </w:rPr>
        <w:t xml:space="preserve"> </w:t>
      </w:r>
      <w:r w:rsidRPr="00BE27CD">
        <w:rPr>
          <w:rFonts w:ascii="Arial" w:hAnsi="Arial" w:cs="Arial"/>
          <w:sz w:val="22"/>
        </w:rPr>
        <w:t>(&lt;</w:t>
      </w:r>
      <w:r>
        <w:rPr>
          <w:rFonts w:ascii="Arial" w:hAnsi="Arial" w:cs="Arial"/>
          <w:sz w:val="22"/>
        </w:rPr>
        <w:t xml:space="preserve"> 4</w:t>
      </w:r>
      <w:r w:rsidRPr="00BE27CD">
        <w:rPr>
          <w:rFonts w:ascii="Arial" w:hAnsi="Arial" w:cs="Arial"/>
          <w:sz w:val="22"/>
        </w:rPr>
        <w:t>0 years</w:t>
      </w:r>
      <w:r>
        <w:rPr>
          <w:rFonts w:ascii="Arial" w:hAnsi="Arial" w:cs="Arial" w:hint="eastAsia"/>
          <w:sz w:val="22"/>
        </w:rPr>
        <w:t xml:space="preserve">) </w:t>
      </w:r>
      <w:r>
        <w:rPr>
          <w:rFonts w:ascii="Arial" w:hAnsi="Arial" w:cs="Arial"/>
          <w:sz w:val="22"/>
        </w:rPr>
        <w:t xml:space="preserve">specific SNPs </w:t>
      </w:r>
      <w:r w:rsidRPr="00BE27CD">
        <w:rPr>
          <w:rFonts w:ascii="Arial" w:hAnsi="Arial" w:cs="Arial"/>
          <w:sz w:val="22"/>
        </w:rPr>
        <w:t xml:space="preserve">in </w:t>
      </w:r>
      <w:r w:rsidRPr="000F61CC">
        <w:rPr>
          <w:rFonts w:ascii="Arial" w:hAnsi="Arial" w:cs="Arial"/>
          <w:sz w:val="22"/>
        </w:rPr>
        <w:t>241</w:t>
      </w:r>
      <w:r>
        <w:rPr>
          <w:rFonts w:ascii="Arial" w:hAnsi="Arial" w:cs="Arial"/>
          <w:sz w:val="22"/>
        </w:rPr>
        <w:t xml:space="preserve"> </w:t>
      </w:r>
      <w:r w:rsidRPr="00BE27CD">
        <w:rPr>
          <w:rFonts w:ascii="Arial" w:hAnsi="Arial" w:cs="Arial"/>
          <w:sz w:val="22"/>
        </w:rPr>
        <w:t>EOCRC cases (&lt;</w:t>
      </w:r>
      <w:r>
        <w:rPr>
          <w:rFonts w:ascii="Arial" w:hAnsi="Arial" w:cs="Arial"/>
          <w:sz w:val="22"/>
        </w:rPr>
        <w:t xml:space="preserve"> 4</w:t>
      </w:r>
      <w:r w:rsidRPr="00BE27CD">
        <w:rPr>
          <w:rFonts w:ascii="Arial" w:hAnsi="Arial" w:cs="Arial"/>
          <w:sz w:val="22"/>
        </w:rPr>
        <w:t>0 years</w:t>
      </w:r>
      <w:r>
        <w:rPr>
          <w:rFonts w:ascii="Arial" w:hAnsi="Arial" w:cs="Arial" w:hint="eastAsia"/>
          <w:sz w:val="22"/>
        </w:rPr>
        <w:t xml:space="preserve">) </w:t>
      </w:r>
      <w:r w:rsidRPr="00BE27CD">
        <w:rPr>
          <w:rFonts w:ascii="Arial" w:hAnsi="Arial" w:cs="Arial"/>
          <w:sz w:val="22"/>
        </w:rPr>
        <w:t xml:space="preserve">and </w:t>
      </w:r>
      <w:r w:rsidRPr="00F40141">
        <w:rPr>
          <w:rFonts w:ascii="Arial" w:hAnsi="Arial" w:cs="Arial"/>
          <w:sz w:val="22"/>
        </w:rPr>
        <w:t>3</w:t>
      </w:r>
      <w:r>
        <w:rPr>
          <w:rFonts w:ascii="Arial" w:hAnsi="Arial" w:cs="Arial"/>
          <w:sz w:val="22"/>
        </w:rPr>
        <w:t>,</w:t>
      </w:r>
      <w:r w:rsidRPr="00F40141">
        <w:rPr>
          <w:rFonts w:ascii="Arial" w:hAnsi="Arial" w:cs="Arial"/>
          <w:sz w:val="22"/>
        </w:rPr>
        <w:t>374</w:t>
      </w:r>
      <w:r w:rsidRPr="00BE27CD">
        <w:rPr>
          <w:rFonts w:ascii="Arial" w:hAnsi="Arial" w:cs="Arial"/>
          <w:sz w:val="22"/>
        </w:rPr>
        <w:t xml:space="preserve"> healthy controls </w:t>
      </w:r>
      <w:r w:rsidRPr="00F9265B">
        <w:rPr>
          <w:rFonts w:ascii="Arial" w:hAnsi="Arial" w:cs="Arial"/>
          <w:sz w:val="22"/>
        </w:rPr>
        <w:t>in the GECCO cohort</w:t>
      </w:r>
      <w:r w:rsidRPr="00295418">
        <w:rPr>
          <w:rFonts w:ascii="Arial" w:hAnsi="Arial" w:cs="Arial"/>
          <w:sz w:val="22"/>
        </w:rPr>
        <w:t>, respectively</w:t>
      </w:r>
      <w:r>
        <w:rPr>
          <w:rFonts w:ascii="Arial" w:hAnsi="Arial" w:cs="Arial"/>
          <w:sz w:val="22"/>
        </w:rPr>
        <w:t>.</w:t>
      </w:r>
      <w:r w:rsidRPr="00F9265B">
        <w:rPr>
          <w:rFonts w:ascii="Arial" w:hAnsi="Arial" w:cs="Arial"/>
          <w:sz w:val="22"/>
        </w:rPr>
        <w:t xml:space="preserve"> Models were adjusted for sex and PRS </w:t>
      </w:r>
      <w:r w:rsidR="003348E5" w:rsidRPr="003348E5">
        <w:rPr>
          <w:rFonts w:ascii="Arial" w:hAnsi="Arial" w:cs="Arial"/>
          <w:sz w:val="22"/>
        </w:rPr>
        <w:t>quartiles</w:t>
      </w:r>
      <w:r w:rsidRPr="00F9265B">
        <w:rPr>
          <w:rFonts w:ascii="Arial" w:hAnsi="Arial" w:cs="Arial"/>
          <w:sz w:val="22"/>
        </w:rPr>
        <w:t xml:space="preserve">. </w:t>
      </w:r>
      <w:r w:rsidRPr="00EF6279">
        <w:rPr>
          <w:rFonts w:ascii="Arial" w:hAnsi="Arial" w:cs="Arial"/>
          <w:sz w:val="22"/>
        </w:rPr>
        <w:t>The PRS scores were modeled as a continuous variable per 1 standard deviation (SD), transformed to the standard normal distribution. ORs and 95% confidence intervals were estimated comparing quartiles of PRS.</w:t>
      </w:r>
      <w:r w:rsidRPr="00037B36">
        <w:rPr>
          <w:rFonts w:ascii="Arial" w:hAnsi="Arial" w:cs="Arial"/>
          <w:sz w:val="22"/>
        </w:rPr>
        <w:t xml:space="preserve"> T</w:t>
      </w:r>
      <w:r w:rsidRPr="00037B36">
        <w:rPr>
          <w:rFonts w:ascii="Arial" w:hAnsi="Arial" w:cs="Arial" w:hint="eastAsia"/>
          <w:sz w:val="22"/>
        </w:rPr>
        <w:t>he</w:t>
      </w:r>
      <w:r w:rsidRPr="00037B36">
        <w:rPr>
          <w:rFonts w:ascii="Arial" w:hAnsi="Arial" w:cs="Arial"/>
          <w:sz w:val="22"/>
        </w:rPr>
        <w:t xml:space="preserve"> dashed line</w:t>
      </w:r>
      <w:r>
        <w:rPr>
          <w:rFonts w:ascii="Arial" w:hAnsi="Arial" w:cs="Arial"/>
          <w:sz w:val="22"/>
        </w:rPr>
        <w:t xml:space="preserve"> indicated </w:t>
      </w:r>
      <w:r>
        <w:rPr>
          <w:rFonts w:ascii="Arial" w:hAnsi="Arial" w:cs="Arial" w:hint="eastAsia"/>
          <w:sz w:val="22"/>
        </w:rPr>
        <w:t>the</w:t>
      </w:r>
      <w:r>
        <w:rPr>
          <w:rFonts w:ascii="Arial" w:hAnsi="Arial" w:cs="Arial"/>
          <w:sz w:val="22"/>
        </w:rPr>
        <w:t xml:space="preserve"> o</w:t>
      </w:r>
      <w:r w:rsidRPr="00037B36">
        <w:rPr>
          <w:rFonts w:ascii="Arial" w:hAnsi="Arial" w:cs="Arial"/>
          <w:sz w:val="22"/>
        </w:rPr>
        <w:t xml:space="preserve">dds ratio </w:t>
      </w:r>
      <w:r w:rsidRPr="00037B36">
        <w:rPr>
          <w:rFonts w:ascii="Arial" w:hAnsi="Arial" w:cs="Arial" w:hint="eastAsia"/>
          <w:sz w:val="22"/>
        </w:rPr>
        <w:t>=</w:t>
      </w:r>
      <w:r w:rsidRPr="00037B36">
        <w:rPr>
          <w:rFonts w:ascii="Arial" w:hAnsi="Arial" w:cs="Arial"/>
          <w:sz w:val="22"/>
        </w:rPr>
        <w:t xml:space="preserve"> 1 </w:t>
      </w:r>
      <w:r w:rsidRPr="00037B36">
        <w:rPr>
          <w:rFonts w:ascii="Arial" w:hAnsi="Arial" w:cs="Arial" w:hint="eastAsia"/>
          <w:sz w:val="22"/>
        </w:rPr>
        <w:t>as</w:t>
      </w:r>
      <w:r w:rsidRPr="00037B36">
        <w:rPr>
          <w:rFonts w:ascii="Arial" w:hAnsi="Arial" w:cs="Arial"/>
          <w:sz w:val="22"/>
        </w:rPr>
        <w:t xml:space="preserve"> </w:t>
      </w:r>
      <w:r w:rsidRPr="00037B36">
        <w:rPr>
          <w:rFonts w:ascii="Arial" w:hAnsi="Arial" w:cs="Arial" w:hint="eastAsia"/>
          <w:sz w:val="22"/>
        </w:rPr>
        <w:t>reference</w:t>
      </w:r>
      <w:r>
        <w:rPr>
          <w:rFonts w:ascii="ArialMT" w:hAnsi="ArialMT" w:cs="ArialMT" w:hint="eastAsia"/>
          <w:kern w:val="0"/>
          <w:sz w:val="20"/>
          <w:szCs w:val="20"/>
        </w:rPr>
        <w:t>.</w:t>
      </w:r>
    </w:p>
    <w:bookmarkEnd w:id="14"/>
    <w:p w14:paraId="475BC33D" w14:textId="77777777" w:rsidR="00EE3150" w:rsidRDefault="00EE3150" w:rsidP="00EE3150">
      <w:pPr>
        <w:spacing w:line="360" w:lineRule="auto"/>
        <w:rPr>
          <w:rFonts w:ascii="Arial" w:hAnsi="Arial" w:cs="Arial"/>
          <w:b/>
          <w:bCs/>
          <w:sz w:val="22"/>
        </w:rPr>
      </w:pPr>
    </w:p>
    <w:p w14:paraId="265DC4BE" w14:textId="77777777" w:rsidR="00EE3150" w:rsidRDefault="00EE3150" w:rsidP="00EE3150">
      <w:pPr>
        <w:widowControl/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14:paraId="76516EBC" w14:textId="77777777" w:rsidR="00EE3150" w:rsidRDefault="00EE3150" w:rsidP="00EE3150">
      <w:pPr>
        <w:spacing w:line="360" w:lineRule="auto"/>
        <w:rPr>
          <w:rFonts w:ascii="Arial" w:hAnsi="Arial" w:cs="Arial"/>
          <w:bCs/>
          <w:sz w:val="22"/>
        </w:rPr>
      </w:pPr>
    </w:p>
    <w:p w14:paraId="2D12079A" w14:textId="77777777" w:rsidR="00EE3150" w:rsidRPr="00236D46" w:rsidRDefault="00EE3150" w:rsidP="00EE3150">
      <w:pPr>
        <w:spacing w:line="276" w:lineRule="auto"/>
        <w:rPr>
          <w:rFonts w:ascii="Arial" w:hAnsi="Arial" w:cs="Arial"/>
          <w:b/>
          <w:color w:val="0000FF"/>
          <w:szCs w:val="21"/>
        </w:rPr>
      </w:pPr>
      <w:r>
        <w:rPr>
          <w:rFonts w:ascii="Arial" w:hAnsi="Arial" w:cs="Arial"/>
          <w:b/>
          <w:noProof/>
          <w:color w:val="0000FF"/>
          <w:szCs w:val="21"/>
        </w:rPr>
        <w:drawing>
          <wp:inline distT="0" distB="0" distL="0" distR="0" wp14:anchorId="6FDA8A41" wp14:editId="2DF6C3DE">
            <wp:extent cx="5274310" cy="4301490"/>
            <wp:effectExtent l="0" t="0" r="254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A689A" w14:textId="77777777" w:rsidR="00EE3150" w:rsidRPr="00855A95" w:rsidRDefault="00EE3150" w:rsidP="00EE3150">
      <w:pPr>
        <w:pStyle w:val="1"/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5" w:name="_Toc126933760"/>
      <w:bookmarkStart w:id="16" w:name="_Toc126934411"/>
      <w:r w:rsidRPr="00855A95">
        <w:rPr>
          <w:rFonts w:ascii="Arial" w:hAnsi="Arial" w:cs="Arial"/>
          <w:sz w:val="22"/>
          <w:szCs w:val="22"/>
        </w:rPr>
        <w:t>Fig</w:t>
      </w:r>
      <w:r>
        <w:rPr>
          <w:rFonts w:ascii="Arial" w:hAnsi="Arial" w:cs="Arial"/>
          <w:sz w:val="22"/>
          <w:szCs w:val="22"/>
        </w:rPr>
        <w:t>.</w:t>
      </w:r>
      <w:r w:rsidRPr="00855A95">
        <w:rPr>
          <w:rFonts w:ascii="Arial" w:hAnsi="Arial" w:cs="Arial"/>
          <w:sz w:val="22"/>
          <w:szCs w:val="22"/>
        </w:rPr>
        <w:t xml:space="preserve"> S7. Risk estimates for EOCRC associated with the PRSs under the adjustment of </w:t>
      </w:r>
      <w:bookmarkStart w:id="17" w:name="_Hlk120740069"/>
      <w:r w:rsidRPr="00855A95">
        <w:rPr>
          <w:rFonts w:ascii="Arial" w:hAnsi="Arial" w:cs="Arial"/>
          <w:sz w:val="22"/>
          <w:szCs w:val="22"/>
        </w:rPr>
        <w:t xml:space="preserve">sociodemographic </w:t>
      </w:r>
      <w:bookmarkStart w:id="18" w:name="_Hlk120728741"/>
      <w:r w:rsidRPr="00855A95">
        <w:rPr>
          <w:rFonts w:ascii="Arial" w:hAnsi="Arial" w:cs="Arial"/>
          <w:sz w:val="22"/>
          <w:szCs w:val="22"/>
        </w:rPr>
        <w:t>factors</w:t>
      </w:r>
      <w:bookmarkEnd w:id="17"/>
      <w:bookmarkEnd w:id="18"/>
      <w:r w:rsidRPr="00855A95">
        <w:rPr>
          <w:rFonts w:ascii="Arial" w:hAnsi="Arial" w:cs="Arial"/>
          <w:sz w:val="22"/>
          <w:szCs w:val="22"/>
        </w:rPr>
        <w:t xml:space="preserve"> in the UKB cohort</w:t>
      </w:r>
      <w:bookmarkEnd w:id="15"/>
      <w:bookmarkEnd w:id="16"/>
    </w:p>
    <w:p w14:paraId="354BA4A0" w14:textId="4D85794E" w:rsidR="00EE3150" w:rsidRPr="001E632C" w:rsidRDefault="00EE3150" w:rsidP="00EE3150">
      <w:pPr>
        <w:spacing w:line="360" w:lineRule="auto"/>
        <w:rPr>
          <w:rFonts w:ascii="Arial" w:hAnsi="Arial" w:cs="Arial"/>
          <w:sz w:val="22"/>
        </w:rPr>
      </w:pPr>
      <w:r w:rsidRPr="001E632C">
        <w:rPr>
          <w:rFonts w:ascii="Arial" w:hAnsi="Arial" w:cs="Arial"/>
          <w:b/>
          <w:bCs/>
          <w:sz w:val="22"/>
        </w:rPr>
        <w:t xml:space="preserve">A. </w:t>
      </w:r>
      <w:r w:rsidRPr="001E632C">
        <w:rPr>
          <w:rFonts w:ascii="Arial" w:hAnsi="Arial" w:cs="Arial"/>
          <w:sz w:val="22"/>
        </w:rPr>
        <w:t xml:space="preserve">The PRS was generated by calculating the effect sizes of EOCRC specific risk loci in the UKB cohort. </w:t>
      </w:r>
      <w:r w:rsidRPr="001E632C">
        <w:rPr>
          <w:rFonts w:ascii="Arial" w:hAnsi="Arial" w:cs="Arial"/>
          <w:b/>
          <w:bCs/>
          <w:sz w:val="22"/>
        </w:rPr>
        <w:t>B.</w:t>
      </w:r>
      <w:r w:rsidRPr="001E632C">
        <w:rPr>
          <w:rFonts w:ascii="Arial" w:hAnsi="Arial" w:cs="Arial"/>
          <w:sz w:val="22"/>
        </w:rPr>
        <w:t xml:space="preserve"> Two</w:t>
      </w:r>
      <w:r w:rsidRPr="001E632C">
        <w:rPr>
          <w:sz w:val="22"/>
        </w:rPr>
        <w:t xml:space="preserve"> </w:t>
      </w:r>
      <w:r w:rsidRPr="001E632C">
        <w:rPr>
          <w:rFonts w:ascii="Arial" w:hAnsi="Arial" w:cs="Arial"/>
          <w:sz w:val="22"/>
        </w:rPr>
        <w:t xml:space="preserve">PRS models were deriving from 86 previously GWAS-identified CRC risk </w:t>
      </w:r>
      <w:r w:rsidRPr="001E632C">
        <w:rPr>
          <w:rFonts w:ascii="Arial" w:hAnsi="Arial" w:cs="Arial" w:hint="eastAsia"/>
          <w:sz w:val="22"/>
        </w:rPr>
        <w:t>SNPs</w:t>
      </w:r>
      <w:r w:rsidRPr="001E632C">
        <w:rPr>
          <w:rFonts w:ascii="Arial" w:hAnsi="Arial" w:cs="Arial"/>
          <w:sz w:val="22"/>
        </w:rPr>
        <w:t xml:space="preserve"> and the 86 </w:t>
      </w:r>
      <w:r w:rsidRPr="001E632C">
        <w:rPr>
          <w:rFonts w:ascii="Arial" w:hAnsi="Arial" w:cs="Arial" w:hint="eastAsia"/>
          <w:sz w:val="22"/>
        </w:rPr>
        <w:t>SNPs</w:t>
      </w:r>
      <w:r w:rsidRPr="001E632C">
        <w:rPr>
          <w:rFonts w:ascii="Arial" w:hAnsi="Arial" w:cs="Arial"/>
          <w:sz w:val="22"/>
        </w:rPr>
        <w:t xml:space="preserve"> combined with 49 SNPs in the UKB cohort, respectively. Models were adjusted for sex, race, drinking frequency, smoking status, and family history of bowel cancer and PRS </w:t>
      </w:r>
      <w:r w:rsidR="003348E5" w:rsidRPr="003348E5">
        <w:rPr>
          <w:rFonts w:ascii="Arial" w:hAnsi="Arial" w:cs="Arial"/>
          <w:sz w:val="22"/>
        </w:rPr>
        <w:t>quartile</w:t>
      </w:r>
      <w:r w:rsidRPr="001E632C">
        <w:rPr>
          <w:rFonts w:ascii="Arial" w:hAnsi="Arial" w:cs="Arial"/>
          <w:sz w:val="22"/>
        </w:rPr>
        <w:t xml:space="preserve">s. The PRS scores were modeled as a continuous variable per 1 standard deviation (SD), transformed to the standard normal distribution. ORs and 95% confidence intervals were estimated comparing quartiles of PRS. </w:t>
      </w:r>
      <w:r w:rsidRPr="001E632C">
        <w:rPr>
          <w:rFonts w:ascii="Arial" w:hAnsi="Arial" w:cs="Arial"/>
          <w:b/>
          <w:bCs/>
          <w:sz w:val="22"/>
        </w:rPr>
        <w:t>C.</w:t>
      </w:r>
      <w:r w:rsidRPr="001E632C">
        <w:rPr>
          <w:b/>
          <w:bCs/>
          <w:sz w:val="22"/>
        </w:rPr>
        <w:t xml:space="preserve"> </w:t>
      </w:r>
      <w:r w:rsidRPr="001E632C">
        <w:rPr>
          <w:rFonts w:ascii="Arial" w:hAnsi="Arial" w:cs="Arial"/>
          <w:sz w:val="22"/>
        </w:rPr>
        <w:t>In the UK Biobank cohort, ROC curves for the distinct predicted models with PRS and several risk factors, respectively.</w:t>
      </w:r>
      <w:r w:rsidRPr="001E632C">
        <w:rPr>
          <w:sz w:val="22"/>
        </w:rPr>
        <w:t xml:space="preserve"> </w:t>
      </w:r>
      <w:bookmarkStart w:id="19" w:name="_Hlk122723933"/>
      <w:r w:rsidRPr="001E632C">
        <w:rPr>
          <w:rFonts w:ascii="Arial" w:hAnsi="Arial" w:cs="Arial"/>
          <w:sz w:val="22"/>
        </w:rPr>
        <w:t>PRS</w:t>
      </w:r>
      <w:r w:rsidRPr="001E632C">
        <w:rPr>
          <w:rFonts w:ascii="Arial" w:hAnsi="Arial" w:cs="Arial"/>
          <w:sz w:val="22"/>
          <w:vertAlign w:val="subscript"/>
        </w:rPr>
        <w:t>sociodemographic factors</w:t>
      </w:r>
      <w:r w:rsidRPr="001E632C">
        <w:rPr>
          <w:rFonts w:ascii="Arial" w:hAnsi="Arial" w:cs="Arial"/>
          <w:sz w:val="22"/>
        </w:rPr>
        <w:t xml:space="preserve">: Models were adjusted for sociodemographic factors </w:t>
      </w:r>
      <w:r>
        <w:rPr>
          <w:rFonts w:ascii="Arial" w:hAnsi="Arial" w:cs="Arial"/>
          <w:sz w:val="22"/>
        </w:rPr>
        <w:t>(</w:t>
      </w:r>
      <w:r w:rsidRPr="001E632C">
        <w:rPr>
          <w:rFonts w:ascii="Arial" w:hAnsi="Arial" w:cs="Arial"/>
          <w:sz w:val="22"/>
        </w:rPr>
        <w:t>sex, race, drinking frequency, smoking status, and family history of bowel cancer</w:t>
      </w:r>
      <w:r>
        <w:rPr>
          <w:rFonts w:ascii="Arial" w:hAnsi="Arial" w:cs="Arial"/>
          <w:sz w:val="22"/>
        </w:rPr>
        <w:t xml:space="preserve">); </w:t>
      </w:r>
      <w:r w:rsidRPr="001E632C">
        <w:rPr>
          <w:rFonts w:ascii="Arial" w:hAnsi="Arial" w:cs="Arial"/>
          <w:sz w:val="22"/>
        </w:rPr>
        <w:t>PRS</w:t>
      </w:r>
      <w:r w:rsidRPr="001E632C">
        <w:rPr>
          <w:rFonts w:ascii="Arial" w:hAnsi="Arial" w:cs="Arial"/>
          <w:sz w:val="22"/>
          <w:vertAlign w:val="subscript"/>
        </w:rPr>
        <w:t>EOCRC+sociodemographic</w:t>
      </w:r>
      <w:r w:rsidRPr="001E632C">
        <w:rPr>
          <w:rFonts w:ascii="Arial" w:hAnsi="Arial" w:cs="Arial"/>
          <w:sz w:val="22"/>
        </w:rPr>
        <w:t>: Models were adjusted for sociodemographic factors</w:t>
      </w:r>
      <w:r>
        <w:rPr>
          <w:rFonts w:ascii="Arial" w:hAnsi="Arial" w:cs="Arial"/>
          <w:sz w:val="22"/>
        </w:rPr>
        <w:t xml:space="preserve"> and </w:t>
      </w:r>
      <w:r w:rsidRPr="001E632C">
        <w:rPr>
          <w:rFonts w:ascii="Arial" w:hAnsi="Arial" w:cs="Arial"/>
          <w:sz w:val="22"/>
        </w:rPr>
        <w:t>PRS</w:t>
      </w:r>
      <w:r w:rsidRPr="001E632C">
        <w:rPr>
          <w:rFonts w:ascii="Arial" w:hAnsi="Arial" w:cs="Arial"/>
          <w:sz w:val="22"/>
          <w:vertAlign w:val="subscript"/>
        </w:rPr>
        <w:t>EOCRC</w:t>
      </w:r>
      <w:r w:rsidRPr="001E632C">
        <w:rPr>
          <w:rFonts w:ascii="Arial" w:hAnsi="Arial" w:cs="Arial"/>
          <w:sz w:val="22"/>
        </w:rPr>
        <w:t xml:space="preserve"> </w:t>
      </w:r>
      <w:r w:rsidR="003348E5" w:rsidRPr="003348E5">
        <w:rPr>
          <w:rFonts w:ascii="Arial" w:hAnsi="Arial" w:cs="Arial"/>
          <w:sz w:val="22"/>
        </w:rPr>
        <w:t>quartiles</w:t>
      </w:r>
      <w:r>
        <w:rPr>
          <w:rFonts w:ascii="Arial" w:hAnsi="Arial" w:cs="Arial"/>
          <w:sz w:val="22"/>
        </w:rPr>
        <w:t>;</w:t>
      </w:r>
      <w:r w:rsidRPr="001E632C">
        <w:rPr>
          <w:rFonts w:ascii="Arial" w:hAnsi="Arial" w:cs="Arial"/>
          <w:sz w:val="22"/>
        </w:rPr>
        <w:t xml:space="preserve"> PRS</w:t>
      </w:r>
      <w:r w:rsidRPr="001E632C">
        <w:rPr>
          <w:rFonts w:ascii="Arial" w:hAnsi="Arial" w:cs="Arial"/>
          <w:sz w:val="22"/>
          <w:vertAlign w:val="subscript"/>
        </w:rPr>
        <w:t>CRC+sociodemographic</w:t>
      </w:r>
      <w:r>
        <w:rPr>
          <w:rFonts w:ascii="Arial" w:hAnsi="Arial" w:cs="Arial"/>
          <w:sz w:val="22"/>
        </w:rPr>
        <w:t xml:space="preserve">: </w:t>
      </w:r>
      <w:r w:rsidRPr="001E632C">
        <w:rPr>
          <w:rFonts w:ascii="Arial" w:hAnsi="Arial" w:cs="Arial"/>
          <w:sz w:val="22"/>
        </w:rPr>
        <w:lastRenderedPageBreak/>
        <w:t>Models were adjusted for sociodemographic factors</w:t>
      </w:r>
      <w:r>
        <w:rPr>
          <w:rFonts w:ascii="Arial" w:hAnsi="Arial" w:cs="Arial"/>
          <w:sz w:val="22"/>
        </w:rPr>
        <w:t xml:space="preserve"> and </w:t>
      </w:r>
      <w:r w:rsidRPr="001E632C">
        <w:rPr>
          <w:rFonts w:ascii="Arial" w:hAnsi="Arial" w:cs="Arial"/>
          <w:sz w:val="22"/>
        </w:rPr>
        <w:t>PRS</w:t>
      </w:r>
      <w:r w:rsidRPr="001E632C">
        <w:rPr>
          <w:rFonts w:ascii="Arial" w:hAnsi="Arial" w:cs="Arial"/>
          <w:sz w:val="22"/>
          <w:vertAlign w:val="subscript"/>
        </w:rPr>
        <w:t>CRC</w:t>
      </w:r>
      <w:r w:rsidRPr="001E632C">
        <w:rPr>
          <w:rFonts w:ascii="Arial" w:hAnsi="Arial" w:cs="Arial"/>
          <w:sz w:val="22"/>
        </w:rPr>
        <w:t xml:space="preserve"> </w:t>
      </w:r>
      <w:r w:rsidR="003348E5" w:rsidRPr="003348E5">
        <w:rPr>
          <w:rFonts w:ascii="Arial" w:hAnsi="Arial" w:cs="Arial"/>
          <w:sz w:val="22"/>
        </w:rPr>
        <w:t>quartiles</w:t>
      </w:r>
      <w:r>
        <w:rPr>
          <w:rFonts w:ascii="Arial" w:hAnsi="Arial" w:cs="Arial"/>
          <w:sz w:val="22"/>
        </w:rPr>
        <w:t xml:space="preserve">; </w:t>
      </w:r>
      <w:r w:rsidRPr="001E632C">
        <w:rPr>
          <w:rFonts w:ascii="Arial" w:hAnsi="Arial" w:cs="Arial"/>
          <w:sz w:val="22"/>
        </w:rPr>
        <w:t>PRS</w:t>
      </w:r>
      <w:r w:rsidRPr="001E632C">
        <w:rPr>
          <w:rFonts w:ascii="Arial" w:hAnsi="Arial" w:cs="Arial"/>
          <w:sz w:val="22"/>
          <w:vertAlign w:val="subscript"/>
        </w:rPr>
        <w:t>EOCRC+CRC+sociodemographic</w:t>
      </w:r>
      <w:r>
        <w:rPr>
          <w:rFonts w:ascii="Arial" w:hAnsi="Arial" w:cs="Arial"/>
          <w:sz w:val="22"/>
        </w:rPr>
        <w:t xml:space="preserve">: </w:t>
      </w:r>
      <w:r w:rsidRPr="001E632C">
        <w:rPr>
          <w:rFonts w:ascii="Arial" w:hAnsi="Arial" w:cs="Arial"/>
          <w:sz w:val="22"/>
        </w:rPr>
        <w:t>Models were adjusted for sociodemographic factors</w:t>
      </w:r>
      <w:r>
        <w:rPr>
          <w:rFonts w:ascii="Arial" w:hAnsi="Arial" w:cs="Arial"/>
          <w:sz w:val="22"/>
        </w:rPr>
        <w:t xml:space="preserve"> and </w:t>
      </w:r>
      <w:r w:rsidRPr="001E632C">
        <w:rPr>
          <w:rFonts w:ascii="Arial" w:hAnsi="Arial" w:cs="Arial"/>
          <w:sz w:val="22"/>
        </w:rPr>
        <w:t>PRS</w:t>
      </w:r>
      <w:r w:rsidRPr="001E632C">
        <w:rPr>
          <w:rFonts w:ascii="Arial" w:hAnsi="Arial" w:cs="Arial"/>
          <w:sz w:val="22"/>
          <w:vertAlign w:val="subscript"/>
        </w:rPr>
        <w:t>EOCRC</w:t>
      </w:r>
      <w:r>
        <w:rPr>
          <w:rFonts w:ascii="Arial" w:hAnsi="Arial" w:cs="Arial"/>
          <w:sz w:val="22"/>
          <w:vertAlign w:val="subscript"/>
        </w:rPr>
        <w:t>+</w:t>
      </w:r>
      <w:r w:rsidRPr="001E632C">
        <w:rPr>
          <w:rFonts w:ascii="Arial" w:hAnsi="Arial" w:cs="Arial"/>
          <w:sz w:val="22"/>
          <w:vertAlign w:val="subscript"/>
        </w:rPr>
        <w:t>CRC</w:t>
      </w:r>
      <w:r w:rsidRPr="001E632C">
        <w:rPr>
          <w:rFonts w:ascii="Arial" w:hAnsi="Arial" w:cs="Arial"/>
          <w:sz w:val="22"/>
        </w:rPr>
        <w:t xml:space="preserve"> </w:t>
      </w:r>
      <w:r w:rsidR="003348E5" w:rsidRPr="003348E5">
        <w:rPr>
          <w:rFonts w:ascii="Arial" w:hAnsi="Arial" w:cs="Arial"/>
          <w:sz w:val="22"/>
        </w:rPr>
        <w:t>quartiles</w:t>
      </w:r>
      <w:r>
        <w:rPr>
          <w:rFonts w:ascii="Arial" w:hAnsi="Arial" w:cs="Arial"/>
          <w:sz w:val="22"/>
        </w:rPr>
        <w:t>.</w:t>
      </w:r>
      <w:bookmarkEnd w:id="19"/>
      <w:r w:rsidRPr="001E632C">
        <w:rPr>
          <w:rFonts w:ascii="Arial" w:hAnsi="Arial" w:cs="Arial"/>
          <w:sz w:val="22"/>
        </w:rPr>
        <w:t xml:space="preserve"> AUC and the point in the ROC curve identifying the best probability cutoff value (according to the Youden index) were presented</w:t>
      </w:r>
    </w:p>
    <w:p w14:paraId="31F76F4F" w14:textId="77777777" w:rsidR="00EE3150" w:rsidRDefault="00EE3150" w:rsidP="00EE3150">
      <w:pPr>
        <w:widowControl/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14:paraId="7C75F3BA" w14:textId="77777777" w:rsidR="00EE3150" w:rsidRDefault="00EE3150" w:rsidP="00EE3150">
      <w:pPr>
        <w:spacing w:line="360" w:lineRule="auto"/>
        <w:rPr>
          <w:rFonts w:ascii="Arial" w:hAnsi="Arial" w:cs="Arial"/>
          <w:b/>
          <w:bCs/>
          <w:sz w:val="22"/>
        </w:rPr>
      </w:pPr>
      <w:r w:rsidRPr="007F61A5">
        <w:rPr>
          <w:rFonts w:ascii="Arial" w:hAnsi="Arial" w:cs="Arial"/>
          <w:noProof/>
          <w:color w:val="0000FF"/>
          <w:szCs w:val="21"/>
          <w:highlight w:val="yellow"/>
        </w:rPr>
        <w:lastRenderedPageBreak/>
        <w:drawing>
          <wp:anchor distT="0" distB="0" distL="114300" distR="114300" simplePos="0" relativeHeight="251661824" behindDoc="0" locked="0" layoutInCell="1" allowOverlap="1" wp14:anchorId="6EC4F6FC" wp14:editId="15440B80">
            <wp:simplePos x="0" y="0"/>
            <wp:positionH relativeFrom="margin">
              <wp:align>center</wp:align>
            </wp:positionH>
            <wp:positionV relativeFrom="paragraph">
              <wp:posOffset>269240</wp:posOffset>
            </wp:positionV>
            <wp:extent cx="2667000" cy="1965960"/>
            <wp:effectExtent l="19050" t="19050" r="19050" b="1524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65960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  <a:prstDash val="sysDash"/>
                    </a:ln>
                  </pic:spPr>
                </pic:pic>
              </a:graphicData>
            </a:graphic>
          </wp:anchor>
        </w:drawing>
      </w:r>
    </w:p>
    <w:p w14:paraId="54141217" w14:textId="77777777" w:rsidR="00EE3150" w:rsidRDefault="00EE3150" w:rsidP="00EE3150">
      <w:pPr>
        <w:spacing w:line="360" w:lineRule="auto"/>
        <w:rPr>
          <w:rFonts w:ascii="Arial" w:hAnsi="Arial" w:cs="Arial"/>
          <w:b/>
          <w:bCs/>
          <w:sz w:val="22"/>
        </w:rPr>
      </w:pPr>
    </w:p>
    <w:p w14:paraId="2106EF5F" w14:textId="77777777" w:rsidR="00EE3150" w:rsidRPr="00855A95" w:rsidRDefault="00EE3150" w:rsidP="00EE3150">
      <w:pPr>
        <w:pStyle w:val="1"/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20" w:name="_Toc126933761"/>
      <w:bookmarkStart w:id="21" w:name="_Toc126934412"/>
      <w:bookmarkStart w:id="22" w:name="_Hlk122725437"/>
      <w:r w:rsidRPr="00855A95">
        <w:rPr>
          <w:rFonts w:ascii="Arial" w:hAnsi="Arial" w:cs="Arial"/>
          <w:sz w:val="22"/>
          <w:szCs w:val="22"/>
        </w:rPr>
        <w:t>Fig</w:t>
      </w:r>
      <w:r>
        <w:rPr>
          <w:rFonts w:ascii="Arial" w:hAnsi="Arial" w:cs="Arial"/>
          <w:sz w:val="22"/>
          <w:szCs w:val="22"/>
        </w:rPr>
        <w:t>.</w:t>
      </w:r>
      <w:r w:rsidRPr="00855A95">
        <w:rPr>
          <w:rFonts w:ascii="Arial" w:hAnsi="Arial" w:cs="Arial"/>
          <w:sz w:val="22"/>
          <w:szCs w:val="22"/>
        </w:rPr>
        <w:t xml:space="preserve"> S8. Higher tumor mutational burden was associated with the higher expression of </w:t>
      </w:r>
      <w:r w:rsidRPr="00B76F11">
        <w:rPr>
          <w:rFonts w:ascii="Arial" w:hAnsi="Arial" w:cs="Arial"/>
          <w:i/>
          <w:iCs/>
          <w:sz w:val="22"/>
          <w:szCs w:val="22"/>
        </w:rPr>
        <w:t>POLA2</w:t>
      </w:r>
      <w:r w:rsidRPr="00855A95">
        <w:rPr>
          <w:rFonts w:ascii="Arial" w:hAnsi="Arial" w:cs="Arial"/>
          <w:sz w:val="22"/>
          <w:szCs w:val="22"/>
        </w:rPr>
        <w:t xml:space="preserve"> in TCGA CRC tissues</w:t>
      </w:r>
      <w:bookmarkEnd w:id="20"/>
      <w:bookmarkEnd w:id="21"/>
    </w:p>
    <w:p w14:paraId="2D01A09D" w14:textId="1B42A4B4" w:rsidR="0072034F" w:rsidRPr="00EE3150" w:rsidRDefault="00EE3150" w:rsidP="00EE3150">
      <w:pPr>
        <w:spacing w:line="360" w:lineRule="auto"/>
        <w:rPr>
          <w:rFonts w:ascii="Arial" w:hAnsi="Arial" w:cs="Arial"/>
          <w:sz w:val="22"/>
        </w:rPr>
      </w:pPr>
      <w:r w:rsidRPr="00552F19">
        <w:rPr>
          <w:rFonts w:ascii="Arial" w:hAnsi="Arial" w:cs="Arial"/>
          <w:sz w:val="22"/>
        </w:rPr>
        <w:t xml:space="preserve">The data of </w:t>
      </w:r>
      <w:r>
        <w:rPr>
          <w:rFonts w:ascii="Arial" w:hAnsi="Arial" w:cs="Arial"/>
          <w:sz w:val="22"/>
        </w:rPr>
        <w:t>t</w:t>
      </w:r>
      <w:r w:rsidRPr="00552F19">
        <w:rPr>
          <w:rFonts w:ascii="Arial" w:hAnsi="Arial" w:cs="Arial"/>
          <w:sz w:val="22"/>
        </w:rPr>
        <w:t xml:space="preserve">umor mutational burden </w:t>
      </w:r>
      <w:r>
        <w:rPr>
          <w:rFonts w:ascii="Arial" w:hAnsi="Arial" w:cs="Arial"/>
          <w:sz w:val="22"/>
        </w:rPr>
        <w:t>(</w:t>
      </w:r>
      <w:r w:rsidRPr="00552F19">
        <w:rPr>
          <w:rFonts w:ascii="Arial" w:hAnsi="Arial" w:cs="Arial"/>
          <w:sz w:val="22"/>
        </w:rPr>
        <w:t>TMB</w:t>
      </w:r>
      <w:r>
        <w:rPr>
          <w:rFonts w:ascii="Arial" w:hAnsi="Arial" w:cs="Arial"/>
          <w:sz w:val="22"/>
        </w:rPr>
        <w:t xml:space="preserve">) </w:t>
      </w:r>
      <w:r w:rsidRPr="00552F19">
        <w:rPr>
          <w:rFonts w:ascii="Arial" w:hAnsi="Arial" w:cs="Arial"/>
          <w:sz w:val="22"/>
        </w:rPr>
        <w:t>and gene expression data were obtained from C</w:t>
      </w:r>
      <w:r>
        <w:rPr>
          <w:rFonts w:ascii="Arial" w:hAnsi="Arial" w:cs="Arial"/>
          <w:sz w:val="22"/>
        </w:rPr>
        <w:t>OAD and READ</w:t>
      </w:r>
      <w:r w:rsidRPr="00552F19">
        <w:rPr>
          <w:rFonts w:ascii="Arial" w:hAnsi="Arial" w:cs="Arial"/>
          <w:sz w:val="22"/>
        </w:rPr>
        <w:t xml:space="preserve"> tissues in the TCGA database</w:t>
      </w:r>
      <w:r w:rsidRPr="00594F0C">
        <w:rPr>
          <w:rFonts w:ascii="Arial" w:hAnsi="Arial" w:cs="Arial"/>
          <w:sz w:val="22"/>
        </w:rPr>
        <w:t xml:space="preserve"> (https://portal.gdc.cancer.gov)</w:t>
      </w:r>
      <w:r w:rsidRPr="00552F19">
        <w:rPr>
          <w:rFonts w:ascii="Arial" w:hAnsi="Arial" w:cs="Arial"/>
          <w:sz w:val="22"/>
        </w:rPr>
        <w:t xml:space="preserve">. </w:t>
      </w:r>
      <w:r w:rsidRPr="00FE6107">
        <w:rPr>
          <w:rFonts w:ascii="Arial" w:hAnsi="Arial" w:cs="Arial"/>
          <w:sz w:val="22"/>
        </w:rPr>
        <w:t>The samples included 261 CRC tissue samples. </w:t>
      </w:r>
      <w:r w:rsidRPr="00594F0C">
        <w:rPr>
          <w:rFonts w:ascii="Arial" w:hAnsi="Arial" w:cs="Arial"/>
          <w:sz w:val="22"/>
        </w:rPr>
        <w:t xml:space="preserve">TMB per megabase is calculated by dividing the total number of mutations by the size of the coding region of the target. </w:t>
      </w:r>
      <w:r w:rsidRPr="00FE6107">
        <w:rPr>
          <w:rFonts w:ascii="Arial" w:hAnsi="Arial" w:cs="Arial"/>
          <w:sz w:val="22"/>
        </w:rPr>
        <w:t>Based on the median TMB value</w:t>
      </w:r>
      <w:r>
        <w:rPr>
          <w:rFonts w:ascii="Arial" w:hAnsi="Arial" w:cs="Arial"/>
          <w:sz w:val="22"/>
        </w:rPr>
        <w:t xml:space="preserve"> </w:t>
      </w:r>
      <w:r w:rsidRPr="00FE6107">
        <w:rPr>
          <w:rFonts w:ascii="Arial" w:hAnsi="Arial" w:cs="Arial"/>
          <w:sz w:val="22"/>
        </w:rPr>
        <w:t>(2.02), the TMB group was divided into a high-TMB group and a low-TMB group.</w:t>
      </w:r>
      <w:r w:rsidRPr="00FE6107">
        <w:rPr>
          <w:rFonts w:ascii="Arial" w:eastAsia="Arial,Bold" w:hAnsi="Arial" w:cs="Arial"/>
          <w:i/>
          <w:iCs/>
          <w:kern w:val="0"/>
          <w:sz w:val="22"/>
        </w:rPr>
        <w:t xml:space="preserve"> </w:t>
      </w:r>
      <w:r w:rsidRPr="00643CE3">
        <w:rPr>
          <w:rFonts w:ascii="Arial" w:eastAsia="Arial,Bold" w:hAnsi="Arial" w:cs="Arial"/>
          <w:i/>
          <w:iCs/>
          <w:kern w:val="0"/>
          <w:sz w:val="22"/>
        </w:rPr>
        <w:t xml:space="preserve">P </w:t>
      </w:r>
      <w:r>
        <w:rPr>
          <w:rFonts w:ascii="Arial" w:eastAsia="Arial,Bold" w:hAnsi="Arial" w:cs="Arial"/>
          <w:kern w:val="0"/>
          <w:sz w:val="22"/>
        </w:rPr>
        <w:t>=</w:t>
      </w:r>
      <w:r w:rsidRPr="00437BBC">
        <w:rPr>
          <w:rFonts w:ascii="Arial" w:eastAsia="Arial,Bold" w:hAnsi="Arial" w:cs="Arial"/>
          <w:kern w:val="0"/>
          <w:sz w:val="22"/>
        </w:rPr>
        <w:t xml:space="preserve"> 0.000</w:t>
      </w:r>
      <w:r>
        <w:rPr>
          <w:rFonts w:ascii="Arial" w:eastAsia="Arial,Bold" w:hAnsi="Arial" w:cs="Arial"/>
          <w:kern w:val="0"/>
          <w:sz w:val="22"/>
        </w:rPr>
        <w:t>3</w:t>
      </w:r>
      <w:r w:rsidRPr="00437BBC">
        <w:rPr>
          <w:rFonts w:ascii="Arial" w:eastAsia="Arial,Bold" w:hAnsi="Arial" w:cs="Arial"/>
          <w:kern w:val="0"/>
          <w:sz w:val="22"/>
        </w:rPr>
        <w:t xml:space="preserve"> were calculated by a two-sided Student's </w:t>
      </w:r>
      <w:r w:rsidRPr="00B76614">
        <w:rPr>
          <w:rFonts w:ascii="Arial" w:eastAsia="Arial,Bold" w:hAnsi="Arial" w:cs="Arial"/>
          <w:i/>
          <w:iCs/>
          <w:kern w:val="0"/>
          <w:sz w:val="22"/>
        </w:rPr>
        <w:t>t</w:t>
      </w:r>
      <w:r w:rsidRPr="00437BBC">
        <w:rPr>
          <w:rFonts w:ascii="Arial" w:eastAsia="Arial,Bold" w:hAnsi="Arial" w:cs="Arial"/>
          <w:kern w:val="0"/>
          <w:sz w:val="22"/>
        </w:rPr>
        <w:t>-test.</w:t>
      </w:r>
      <w:bookmarkEnd w:id="22"/>
    </w:p>
    <w:sectPr w:rsidR="0072034F" w:rsidRPr="00EE31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CB571" w14:textId="77777777" w:rsidR="008949FE" w:rsidRDefault="008949FE" w:rsidP="00154107">
      <w:r>
        <w:separator/>
      </w:r>
    </w:p>
  </w:endnote>
  <w:endnote w:type="continuationSeparator" w:id="0">
    <w:p w14:paraId="4D5492C6" w14:textId="77777777" w:rsidR="008949FE" w:rsidRDefault="008949FE" w:rsidP="00154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,Bold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48349" w14:textId="77777777" w:rsidR="008949FE" w:rsidRDefault="008949FE" w:rsidP="00154107">
      <w:r>
        <w:separator/>
      </w:r>
    </w:p>
  </w:footnote>
  <w:footnote w:type="continuationSeparator" w:id="0">
    <w:p w14:paraId="4117F627" w14:textId="77777777" w:rsidR="008949FE" w:rsidRDefault="008949FE" w:rsidP="001541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50"/>
    <w:rsid w:val="000270E1"/>
    <w:rsid w:val="0013468E"/>
    <w:rsid w:val="00154107"/>
    <w:rsid w:val="0023434A"/>
    <w:rsid w:val="003348E5"/>
    <w:rsid w:val="003A073D"/>
    <w:rsid w:val="004A7AB3"/>
    <w:rsid w:val="005A34D6"/>
    <w:rsid w:val="00646462"/>
    <w:rsid w:val="006960DA"/>
    <w:rsid w:val="0072034F"/>
    <w:rsid w:val="007D051D"/>
    <w:rsid w:val="0085544C"/>
    <w:rsid w:val="008949FE"/>
    <w:rsid w:val="009E5C95"/>
    <w:rsid w:val="00C3483C"/>
    <w:rsid w:val="00D806CF"/>
    <w:rsid w:val="00EE3150"/>
    <w:rsid w:val="00FA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D17DE"/>
  <w15:chartTrackingRefBased/>
  <w15:docId w15:val="{4ED17278-2B84-475B-854C-22098206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150"/>
    <w:pPr>
      <w:widowControl w:val="0"/>
      <w:spacing w:line="240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EE3150"/>
    <w:pPr>
      <w:widowControl/>
      <w:spacing w:line="256" w:lineRule="auto"/>
      <w:jc w:val="left"/>
      <w:outlineLvl w:val="0"/>
    </w:pPr>
    <w:rPr>
      <w:rFonts w:ascii="Times New Roman" w:eastAsia="宋体" w:hAnsi="Times New Roman" w:cs="Times New Roman"/>
      <w:b/>
      <w:bCs/>
      <w:kern w:val="0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E3150"/>
    <w:rPr>
      <w:rFonts w:ascii="Times New Roman" w:eastAsia="宋体" w:hAnsi="Times New Roman" w:cs="Times New Roman"/>
      <w:b/>
      <w:bCs/>
      <w:kern w:val="0"/>
      <w:sz w:val="24"/>
      <w:szCs w:val="24"/>
      <w:lang w:val="en-GB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EE315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EE3150"/>
    <w:rPr>
      <w:rFonts w:ascii="宋体" w:eastAsia="宋体" w:hAnsi="宋体" w:cs="宋体"/>
      <w:kern w:val="0"/>
      <w:sz w:val="24"/>
      <w:szCs w:val="24"/>
    </w:rPr>
  </w:style>
  <w:style w:type="paragraph" w:styleId="TOC">
    <w:name w:val="TOC Heading"/>
    <w:basedOn w:val="1"/>
    <w:next w:val="a"/>
    <w:uiPriority w:val="39"/>
    <w:unhideWhenUsed/>
    <w:qFormat/>
    <w:rsid w:val="00EE3150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 w:eastAsia="zh-CN"/>
    </w:rPr>
  </w:style>
  <w:style w:type="paragraph" w:styleId="TOC1">
    <w:name w:val="toc 1"/>
    <w:basedOn w:val="a"/>
    <w:next w:val="a"/>
    <w:autoRedefine/>
    <w:uiPriority w:val="39"/>
    <w:unhideWhenUsed/>
    <w:rsid w:val="00EE3150"/>
  </w:style>
  <w:style w:type="character" w:styleId="a3">
    <w:name w:val="Hyperlink"/>
    <w:basedOn w:val="a0"/>
    <w:uiPriority w:val="99"/>
    <w:unhideWhenUsed/>
    <w:rsid w:val="00EE315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541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5410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541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541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13" Type="http://schemas.openxmlformats.org/officeDocument/2006/relationships/image" Target="media/image8.tmp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12" Type="http://schemas.openxmlformats.org/officeDocument/2006/relationships/image" Target="media/image7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image" Target="media/image6.tmp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mp"/><Relationship Id="rId4" Type="http://schemas.openxmlformats.org/officeDocument/2006/relationships/footnotes" Target="footnotes.xml"/><Relationship Id="rId9" Type="http://schemas.openxmlformats.org/officeDocument/2006/relationships/image" Target="media/image4.tm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1072</Words>
  <Characters>6115</Characters>
  <Application>Microsoft Office Word</Application>
  <DocSecurity>0</DocSecurity>
  <Lines>50</Lines>
  <Paragraphs>14</Paragraphs>
  <ScaleCrop>false</ScaleCrop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</dc:creator>
  <cp:keywords/>
  <dc:description/>
  <cp:lastModifiedBy>snow</cp:lastModifiedBy>
  <cp:revision>3</cp:revision>
  <dcterms:created xsi:type="dcterms:W3CDTF">2023-02-10T07:11:00Z</dcterms:created>
  <dcterms:modified xsi:type="dcterms:W3CDTF">2023-02-11T15:57:00Z</dcterms:modified>
</cp:coreProperties>
</file>