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PlainTable4"/>
        <w:tblW w:w="14007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65"/>
        <w:gridCol w:w="903"/>
        <w:gridCol w:w="365"/>
        <w:gridCol w:w="365"/>
        <w:gridCol w:w="724"/>
        <w:gridCol w:w="903"/>
        <w:gridCol w:w="903"/>
        <w:gridCol w:w="544"/>
        <w:gridCol w:w="544"/>
        <w:gridCol w:w="864"/>
        <w:gridCol w:w="1977"/>
        <w:gridCol w:w="1977"/>
        <w:gridCol w:w="1620"/>
        <w:gridCol w:w="903"/>
        <w:gridCol w:w="1050"/>
      </w:tblGrid>
      <w:tr w:rsidR="00386955" w:rsidRPr="00162A77" w14:paraId="5C488CD0" w14:textId="77777777" w:rsidTr="0038695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5DF74613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Chr</w:t>
            </w:r>
          </w:p>
        </w:tc>
        <w:tc>
          <w:tcPr>
            <w:tcW w:w="903" w:type="dxa"/>
            <w:noWrap/>
            <w:hideMark/>
          </w:tcPr>
          <w:p w14:paraId="72482BC1" w14:textId="77777777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Position</w:t>
            </w:r>
          </w:p>
        </w:tc>
        <w:tc>
          <w:tcPr>
            <w:tcW w:w="365" w:type="dxa"/>
            <w:noWrap/>
            <w:hideMark/>
          </w:tcPr>
          <w:p w14:paraId="55C377AF" w14:textId="6A8208F3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Ref</w:t>
            </w:r>
          </w:p>
        </w:tc>
        <w:tc>
          <w:tcPr>
            <w:tcW w:w="365" w:type="dxa"/>
            <w:noWrap/>
            <w:hideMark/>
          </w:tcPr>
          <w:p w14:paraId="46D3560E" w14:textId="77777777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Alt</w:t>
            </w:r>
          </w:p>
        </w:tc>
        <w:tc>
          <w:tcPr>
            <w:tcW w:w="724" w:type="dxa"/>
            <w:noWrap/>
            <w:hideMark/>
          </w:tcPr>
          <w:p w14:paraId="34993CFD" w14:textId="77777777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Gene</w:t>
            </w:r>
          </w:p>
        </w:tc>
        <w:tc>
          <w:tcPr>
            <w:tcW w:w="903" w:type="dxa"/>
          </w:tcPr>
          <w:p w14:paraId="3B8BA794" w14:textId="77777777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cDNA,</w:t>
            </w:r>
          </w:p>
          <w:p w14:paraId="12D3888B" w14:textId="77A89F58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  <w:lang w:val="fr-FR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protein</w:t>
            </w:r>
          </w:p>
        </w:tc>
        <w:tc>
          <w:tcPr>
            <w:tcW w:w="903" w:type="dxa"/>
            <w:noWrap/>
            <w:hideMark/>
          </w:tcPr>
          <w:p w14:paraId="75C590F2" w14:textId="49A67B43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  <w:lang w:val="fr-FR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  <w:lang w:val="fr-FR"/>
              </w:rPr>
              <w:t>Variant type</w:t>
            </w:r>
          </w:p>
        </w:tc>
        <w:tc>
          <w:tcPr>
            <w:tcW w:w="544" w:type="dxa"/>
            <w:noWrap/>
          </w:tcPr>
          <w:p w14:paraId="3756885A" w14:textId="1B10C84C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# </w:t>
            </w:r>
            <w:proofErr w:type="spellStart"/>
            <w:proofErr w:type="gramStart"/>
            <w:r w:rsidR="00A767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om</w:t>
            </w:r>
            <w:proofErr w:type="spellEnd"/>
            <w:proofErr w:type="gramEnd"/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or hemi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in </w:t>
            </w:r>
            <w:r w:rsidR="00A767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1KGP</w:t>
            </w:r>
          </w:p>
        </w:tc>
        <w:tc>
          <w:tcPr>
            <w:tcW w:w="544" w:type="dxa"/>
            <w:noWrap/>
          </w:tcPr>
          <w:p w14:paraId="0DB9C907" w14:textId="36F2956A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# </w:t>
            </w:r>
            <w:proofErr w:type="gramStart"/>
            <w:r w:rsidR="00A767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comp</w:t>
            </w:r>
            <w:proofErr w:type="gramEnd"/>
            <w:r w:rsidR="00A767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het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in </w:t>
            </w:r>
            <w:r w:rsidR="00A767F4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1KGP</w:t>
            </w:r>
          </w:p>
        </w:tc>
        <w:tc>
          <w:tcPr>
            <w:tcW w:w="864" w:type="dxa"/>
          </w:tcPr>
          <w:p w14:paraId="27CD83FC" w14:textId="78240CC8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1KGP sample ID(s)</w:t>
            </w:r>
          </w:p>
        </w:tc>
        <w:tc>
          <w:tcPr>
            <w:tcW w:w="1977" w:type="dxa"/>
            <w:noWrap/>
            <w:hideMark/>
          </w:tcPr>
          <w:p w14:paraId="2B61CD56" w14:textId="3E2B8D03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First pathogenic submission: Submitter, Date, Interpretation, Evidence</w:t>
            </w:r>
          </w:p>
        </w:tc>
        <w:tc>
          <w:tcPr>
            <w:tcW w:w="1977" w:type="dxa"/>
            <w:noWrap/>
            <w:hideMark/>
          </w:tcPr>
          <w:p w14:paraId="620F3422" w14:textId="77777777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First non-pathogenic submission: Submitter, Date, Interpretation, Evidence</w:t>
            </w:r>
          </w:p>
        </w:tc>
        <w:tc>
          <w:tcPr>
            <w:tcW w:w="1620" w:type="dxa"/>
            <w:noWrap/>
            <w:hideMark/>
          </w:tcPr>
          <w:p w14:paraId="7C4FD8A9" w14:textId="77777777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Consensus Interpretation as of Dec 2020*</w:t>
            </w:r>
          </w:p>
        </w:tc>
        <w:tc>
          <w:tcPr>
            <w:tcW w:w="1953" w:type="dxa"/>
            <w:gridSpan w:val="2"/>
            <w:noWrap/>
            <w:hideMark/>
          </w:tcPr>
          <w:p w14:paraId="6BF85D15" w14:textId="77777777" w:rsidR="00386955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Submitted </w:t>
            </w:r>
          </w:p>
          <w:p w14:paraId="1E37C335" w14:textId="71628795" w:rsidR="00386955" w:rsidRPr="00162A77" w:rsidRDefault="00386955" w:rsidP="0038695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Interpretations</w:t>
            </w:r>
          </w:p>
        </w:tc>
      </w:tr>
      <w:tr w:rsidR="00386955" w:rsidRPr="00162A77" w14:paraId="2D3A1393" w14:textId="77777777" w:rsidTr="0038695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50" w:type="dxa"/>
          <w:trHeight w:val="6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2988AE2D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5</w:t>
            </w:r>
          </w:p>
        </w:tc>
        <w:tc>
          <w:tcPr>
            <w:tcW w:w="903" w:type="dxa"/>
            <w:noWrap/>
            <w:hideMark/>
          </w:tcPr>
          <w:p w14:paraId="7B8EBADA" w14:textId="77777777" w:rsidR="00386955" w:rsidRPr="00162A77" w:rsidRDefault="00386955" w:rsidP="003869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132384290</w:t>
            </w:r>
          </w:p>
        </w:tc>
        <w:tc>
          <w:tcPr>
            <w:tcW w:w="365" w:type="dxa"/>
            <w:noWrap/>
            <w:hideMark/>
          </w:tcPr>
          <w:p w14:paraId="2DA33A7A" w14:textId="68595B2A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</w:t>
            </w:r>
          </w:p>
        </w:tc>
        <w:tc>
          <w:tcPr>
            <w:tcW w:w="365" w:type="dxa"/>
            <w:noWrap/>
            <w:hideMark/>
          </w:tcPr>
          <w:p w14:paraId="6A0728C5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bookmarkStart w:id="0" w:name="RANGE!E11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  <w:bookmarkEnd w:id="0"/>
          </w:p>
        </w:tc>
        <w:tc>
          <w:tcPr>
            <w:tcW w:w="724" w:type="dxa"/>
            <w:noWrap/>
            <w:hideMark/>
          </w:tcPr>
          <w:p w14:paraId="2FB3EE3A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SLC22A5</w:t>
            </w:r>
          </w:p>
        </w:tc>
        <w:tc>
          <w:tcPr>
            <w:tcW w:w="903" w:type="dxa"/>
          </w:tcPr>
          <w:p w14:paraId="1AF5F738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c.713C&gt;T</w:t>
            </w:r>
          </w:p>
          <w:p w14:paraId="5BDF5584" w14:textId="6919E9BF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p.A238G</w:t>
            </w:r>
          </w:p>
        </w:tc>
        <w:tc>
          <w:tcPr>
            <w:tcW w:w="903" w:type="dxa"/>
            <w:noWrap/>
            <w:hideMark/>
          </w:tcPr>
          <w:p w14:paraId="24C6E6B0" w14:textId="5829EFBF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7D8CA994" w14:textId="5D95873E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544" w:type="dxa"/>
            <w:noWrap/>
          </w:tcPr>
          <w:p w14:paraId="18528316" w14:textId="4C72343B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864" w:type="dxa"/>
          </w:tcPr>
          <w:p w14:paraId="317EA996" w14:textId="3018DFA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HG04075</w:t>
            </w:r>
          </w:p>
        </w:tc>
        <w:tc>
          <w:tcPr>
            <w:tcW w:w="1977" w:type="dxa"/>
            <w:noWrap/>
            <w:hideMark/>
          </w:tcPr>
          <w:p w14:paraId="307BA142" w14:textId="124D1080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Research and Development (ARUP Laboratories),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 w:type="page"/>
            </w:r>
          </w:p>
          <w:p w14:paraId="11E638A5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April 2014,</w:t>
            </w:r>
          </w:p>
          <w:p w14:paraId="4817D959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 w:type="page"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 w:type="page"/>
            </w:r>
          </w:p>
          <w:p w14:paraId="55FA0924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Present in affected individuals</w:t>
            </w:r>
          </w:p>
        </w:tc>
        <w:tc>
          <w:tcPr>
            <w:tcW w:w="1977" w:type="dxa"/>
            <w:noWrap/>
            <w:hideMark/>
          </w:tcPr>
          <w:p w14:paraId="743D93CD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EGL Genetic Diagnostics,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 w:type="page"/>
            </w:r>
          </w:p>
          <w:p w14:paraId="795C049F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January 2017,</w:t>
            </w:r>
          </w:p>
          <w:p w14:paraId="5A2A505B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 w:type="page"/>
              <w:t>VUS,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 w:type="page"/>
            </w:r>
          </w:p>
          <w:p w14:paraId="245991FF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Clinical testing</w:t>
            </w:r>
          </w:p>
        </w:tc>
        <w:tc>
          <w:tcPr>
            <w:tcW w:w="1620" w:type="dxa"/>
            <w:noWrap/>
            <w:hideMark/>
          </w:tcPr>
          <w:p w14:paraId="1B429C6F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Conflicting Interpretations of Pathogenicity</w:t>
            </w:r>
          </w:p>
        </w:tc>
        <w:tc>
          <w:tcPr>
            <w:tcW w:w="903" w:type="dxa"/>
            <w:noWrap/>
            <w:hideMark/>
          </w:tcPr>
          <w:p w14:paraId="65781C06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 Pathogenic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 w:type="page"/>
            </w:r>
          </w:p>
          <w:p w14:paraId="4BD7F9E1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 Likely pathogenic</w:t>
            </w:r>
          </w:p>
          <w:p w14:paraId="379A1590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 w:type="page"/>
              <w:t>1 VUS</w:t>
            </w:r>
          </w:p>
        </w:tc>
      </w:tr>
      <w:tr w:rsidR="00386955" w:rsidRPr="00162A77" w14:paraId="22A6B1AD" w14:textId="77777777" w:rsidTr="00386955">
        <w:trPr>
          <w:gridAfter w:val="1"/>
          <w:wAfter w:w="1050" w:type="dxa"/>
          <w:trHeight w:val="9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280DB536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6</w:t>
            </w:r>
          </w:p>
        </w:tc>
        <w:tc>
          <w:tcPr>
            <w:tcW w:w="903" w:type="dxa"/>
            <w:noWrap/>
            <w:hideMark/>
          </w:tcPr>
          <w:p w14:paraId="30EDA50C" w14:textId="77777777" w:rsidR="00386955" w:rsidRPr="00162A77" w:rsidRDefault="00386955" w:rsidP="003869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49456101</w:t>
            </w:r>
          </w:p>
        </w:tc>
        <w:tc>
          <w:tcPr>
            <w:tcW w:w="365" w:type="dxa"/>
            <w:noWrap/>
            <w:hideMark/>
          </w:tcPr>
          <w:p w14:paraId="27E17B54" w14:textId="195535A5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</w:t>
            </w:r>
          </w:p>
        </w:tc>
        <w:tc>
          <w:tcPr>
            <w:tcW w:w="365" w:type="dxa"/>
            <w:noWrap/>
            <w:hideMark/>
          </w:tcPr>
          <w:p w14:paraId="10450150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724" w:type="dxa"/>
            <w:noWrap/>
            <w:hideMark/>
          </w:tcPr>
          <w:p w14:paraId="42500B97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MMUT</w:t>
            </w:r>
          </w:p>
        </w:tc>
        <w:tc>
          <w:tcPr>
            <w:tcW w:w="903" w:type="dxa"/>
          </w:tcPr>
          <w:p w14:paraId="22292C64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c.890C&gt;T</w:t>
            </w:r>
          </w:p>
          <w:p w14:paraId="3ECF82DB" w14:textId="2098B04D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p.T297I</w:t>
            </w:r>
          </w:p>
        </w:tc>
        <w:tc>
          <w:tcPr>
            <w:tcW w:w="903" w:type="dxa"/>
            <w:noWrap/>
            <w:hideMark/>
          </w:tcPr>
          <w:p w14:paraId="13D97C2C" w14:textId="21E08EB5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197D4F12" w14:textId="544AAC0D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</w:t>
            </w:r>
          </w:p>
        </w:tc>
        <w:tc>
          <w:tcPr>
            <w:tcW w:w="544" w:type="dxa"/>
            <w:noWrap/>
          </w:tcPr>
          <w:p w14:paraId="774F2A05" w14:textId="4FB748C9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864" w:type="dxa"/>
          </w:tcPr>
          <w:p w14:paraId="369748AC" w14:textId="77777777" w:rsidR="0038695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HG03598</w:t>
            </w:r>
          </w:p>
          <w:p w14:paraId="286B8869" w14:textId="48D7C7EA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HG03686</w:t>
            </w:r>
          </w:p>
        </w:tc>
        <w:tc>
          <w:tcPr>
            <w:tcW w:w="1977" w:type="dxa"/>
            <w:noWrap/>
            <w:hideMark/>
          </w:tcPr>
          <w:p w14:paraId="330C02C5" w14:textId="633CA3FA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Institute of Medical Genetics and Genomics (Sir Ganga Ram Hospital),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October 2018,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None</w:t>
            </w:r>
          </w:p>
        </w:tc>
        <w:tc>
          <w:tcPr>
            <w:tcW w:w="1977" w:type="dxa"/>
            <w:noWrap/>
            <w:hideMark/>
          </w:tcPr>
          <w:p w14:paraId="6ED30A44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Invitae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December 2019,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Likely benign,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Clinical testing</w:t>
            </w:r>
          </w:p>
        </w:tc>
        <w:tc>
          <w:tcPr>
            <w:tcW w:w="1620" w:type="dxa"/>
            <w:noWrap/>
            <w:hideMark/>
          </w:tcPr>
          <w:p w14:paraId="313DD694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Conflicting Interpretations of Pathogenicity</w:t>
            </w:r>
          </w:p>
        </w:tc>
        <w:tc>
          <w:tcPr>
            <w:tcW w:w="903" w:type="dxa"/>
            <w:noWrap/>
            <w:hideMark/>
          </w:tcPr>
          <w:p w14:paraId="2C5DB99E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 Pathogenic NC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VUS,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Likely benign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Benign NC</w:t>
            </w:r>
          </w:p>
        </w:tc>
      </w:tr>
      <w:tr w:rsidR="00386955" w:rsidRPr="00162A77" w14:paraId="7077C8B9" w14:textId="77777777" w:rsidTr="0038695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50" w:type="dxa"/>
          <w:trHeight w:val="9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6FFAF410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9</w:t>
            </w:r>
          </w:p>
        </w:tc>
        <w:tc>
          <w:tcPr>
            <w:tcW w:w="903" w:type="dxa"/>
            <w:noWrap/>
            <w:hideMark/>
          </w:tcPr>
          <w:p w14:paraId="09720F30" w14:textId="77777777" w:rsidR="00386955" w:rsidRPr="00162A77" w:rsidRDefault="00386955" w:rsidP="003869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bookmarkStart w:id="1" w:name="RANGE!C14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130452225</w:t>
            </w:r>
            <w:bookmarkEnd w:id="1"/>
          </w:p>
        </w:tc>
        <w:tc>
          <w:tcPr>
            <w:tcW w:w="365" w:type="dxa"/>
            <w:noWrap/>
            <w:hideMark/>
          </w:tcPr>
          <w:p w14:paraId="77BD6433" w14:textId="602CAB09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</w:t>
            </w:r>
          </w:p>
        </w:tc>
        <w:tc>
          <w:tcPr>
            <w:tcW w:w="365" w:type="dxa"/>
            <w:noWrap/>
            <w:hideMark/>
          </w:tcPr>
          <w:p w14:paraId="37B9E879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</w:p>
        </w:tc>
        <w:tc>
          <w:tcPr>
            <w:tcW w:w="724" w:type="dxa"/>
            <w:noWrap/>
            <w:hideMark/>
          </w:tcPr>
          <w:p w14:paraId="72182BD1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ASS1</w:t>
            </w:r>
          </w:p>
        </w:tc>
        <w:tc>
          <w:tcPr>
            <w:tcW w:w="903" w:type="dxa"/>
          </w:tcPr>
          <w:p w14:paraId="1CB047C0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gram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c.-4</w:t>
            </w:r>
            <w:proofErr w:type="gram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=</w:t>
            </w:r>
          </w:p>
          <w:p w14:paraId="437531CE" w14:textId="31BD590F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</w:t>
            </w:r>
          </w:p>
        </w:tc>
        <w:tc>
          <w:tcPr>
            <w:tcW w:w="903" w:type="dxa"/>
            <w:noWrap/>
            <w:hideMark/>
          </w:tcPr>
          <w:p w14:paraId="2455E42B" w14:textId="39DBE1E0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5' UTR</w:t>
            </w:r>
          </w:p>
        </w:tc>
        <w:tc>
          <w:tcPr>
            <w:tcW w:w="544" w:type="dxa"/>
            <w:noWrap/>
          </w:tcPr>
          <w:p w14:paraId="0E1F0730" w14:textId="45702D99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544" w:type="dxa"/>
            <w:noWrap/>
          </w:tcPr>
          <w:p w14:paraId="57636D71" w14:textId="7B92139B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864" w:type="dxa"/>
          </w:tcPr>
          <w:p w14:paraId="4840F879" w14:textId="75384E06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NA19030</w:t>
            </w:r>
          </w:p>
        </w:tc>
        <w:tc>
          <w:tcPr>
            <w:tcW w:w="1977" w:type="dxa"/>
            <w:noWrap/>
            <w:hideMark/>
          </w:tcPr>
          <w:p w14:paraId="1C6A59F3" w14:textId="405CEEC6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GeneDx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August 2015,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clinical testing</w:t>
            </w:r>
          </w:p>
        </w:tc>
        <w:tc>
          <w:tcPr>
            <w:tcW w:w="1977" w:type="dxa"/>
            <w:noWrap/>
            <w:hideMark/>
          </w:tcPr>
          <w:p w14:paraId="37098736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Invitae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January 2017,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VUS,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</w:r>
            <w:proofErr w:type="gram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Non-coding</w:t>
            </w:r>
            <w:proofErr w:type="gram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variant seen in affected and in population databases</w:t>
            </w:r>
          </w:p>
        </w:tc>
        <w:tc>
          <w:tcPr>
            <w:tcW w:w="1620" w:type="dxa"/>
            <w:noWrap/>
            <w:hideMark/>
          </w:tcPr>
          <w:p w14:paraId="0394E47C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Conflicting Interpretations of Pathogenicity</w:t>
            </w:r>
          </w:p>
        </w:tc>
        <w:tc>
          <w:tcPr>
            <w:tcW w:w="903" w:type="dxa"/>
            <w:noWrap/>
            <w:hideMark/>
          </w:tcPr>
          <w:p w14:paraId="020E0F90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 Likely pathogenic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2 VUS</w:t>
            </w:r>
          </w:p>
        </w:tc>
      </w:tr>
      <w:tr w:rsidR="00386955" w:rsidRPr="00162A77" w14:paraId="641170EF" w14:textId="77777777" w:rsidTr="00386955">
        <w:trPr>
          <w:gridAfter w:val="1"/>
          <w:wAfter w:w="1050" w:type="dxa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3E5C5101" w14:textId="77777777" w:rsidR="00386955" w:rsidRPr="00E02985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9</w:t>
            </w:r>
          </w:p>
        </w:tc>
        <w:tc>
          <w:tcPr>
            <w:tcW w:w="903" w:type="dxa"/>
            <w:noWrap/>
            <w:hideMark/>
          </w:tcPr>
          <w:p w14:paraId="769C5E37" w14:textId="77777777" w:rsidR="00386955" w:rsidRPr="00E02985" w:rsidRDefault="00386955" w:rsidP="003869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130458549</w:t>
            </w:r>
          </w:p>
        </w:tc>
        <w:tc>
          <w:tcPr>
            <w:tcW w:w="365" w:type="dxa"/>
            <w:noWrap/>
            <w:hideMark/>
          </w:tcPr>
          <w:p w14:paraId="67D74F6D" w14:textId="21EB167F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</w:t>
            </w:r>
          </w:p>
        </w:tc>
        <w:tc>
          <w:tcPr>
            <w:tcW w:w="365" w:type="dxa"/>
            <w:noWrap/>
            <w:hideMark/>
          </w:tcPr>
          <w:p w14:paraId="4A0EF4B8" w14:textId="77777777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</w:p>
        </w:tc>
        <w:tc>
          <w:tcPr>
            <w:tcW w:w="724" w:type="dxa"/>
            <w:noWrap/>
            <w:hideMark/>
          </w:tcPr>
          <w:p w14:paraId="3ACF14CE" w14:textId="77777777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ASS1</w:t>
            </w:r>
          </w:p>
        </w:tc>
        <w:tc>
          <w:tcPr>
            <w:tcW w:w="903" w:type="dxa"/>
          </w:tcPr>
          <w:p w14:paraId="480E52CA" w14:textId="77777777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c.323G&gt;T</w:t>
            </w:r>
          </w:p>
          <w:p w14:paraId="02BFAD11" w14:textId="688AEE04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R108L</w:t>
            </w:r>
          </w:p>
        </w:tc>
        <w:tc>
          <w:tcPr>
            <w:tcW w:w="903" w:type="dxa"/>
            <w:noWrap/>
            <w:hideMark/>
          </w:tcPr>
          <w:p w14:paraId="355DF422" w14:textId="0204871A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706B9943" w14:textId="2E071706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544" w:type="dxa"/>
            <w:noWrap/>
          </w:tcPr>
          <w:p w14:paraId="6AE3822B" w14:textId="610B0271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864" w:type="dxa"/>
          </w:tcPr>
          <w:p w14:paraId="1286574E" w14:textId="77777777" w:rsidR="00386955" w:rsidRPr="0038695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NA19030</w:t>
            </w:r>
          </w:p>
          <w:p w14:paraId="479B785C" w14:textId="46CFFF90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NA19395</w:t>
            </w:r>
          </w:p>
        </w:tc>
        <w:tc>
          <w:tcPr>
            <w:tcW w:w="1977" w:type="dxa"/>
            <w:noWrap/>
            <w:hideMark/>
          </w:tcPr>
          <w:p w14:paraId="35059BF1" w14:textId="7F890BED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OMIM, 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April 2014, 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Pathogenic, 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Heterozygous variant in affected individual</w:t>
            </w:r>
          </w:p>
        </w:tc>
        <w:tc>
          <w:tcPr>
            <w:tcW w:w="1977" w:type="dxa"/>
            <w:noWrap/>
            <w:hideMark/>
          </w:tcPr>
          <w:p w14:paraId="333C2AD1" w14:textId="77777777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Illumina, 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April 2017, 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VUS, 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Observed in healthy population</w:t>
            </w:r>
          </w:p>
        </w:tc>
        <w:tc>
          <w:tcPr>
            <w:tcW w:w="1620" w:type="dxa"/>
            <w:noWrap/>
            <w:hideMark/>
          </w:tcPr>
          <w:p w14:paraId="26436B98" w14:textId="77777777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Conflicting Interpretations of Pathogenicity</w:t>
            </w:r>
          </w:p>
        </w:tc>
        <w:tc>
          <w:tcPr>
            <w:tcW w:w="903" w:type="dxa"/>
            <w:noWrap/>
            <w:hideMark/>
          </w:tcPr>
          <w:p w14:paraId="03836DA1" w14:textId="77777777" w:rsidR="00386955" w:rsidRPr="00E0298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 Pathogenic NC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VUS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4 Likely benign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Benign</w:t>
            </w:r>
            <w:r w:rsidRPr="00E0298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Benign NC</w:t>
            </w:r>
          </w:p>
        </w:tc>
      </w:tr>
      <w:tr w:rsidR="00386955" w:rsidRPr="00162A77" w14:paraId="591BD80D" w14:textId="77777777" w:rsidTr="0038695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50" w:type="dxa"/>
          <w:trHeight w:val="10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0C266A8D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12</w:t>
            </w:r>
          </w:p>
        </w:tc>
        <w:tc>
          <w:tcPr>
            <w:tcW w:w="903" w:type="dxa"/>
            <w:noWrap/>
            <w:hideMark/>
          </w:tcPr>
          <w:p w14:paraId="38D26203" w14:textId="77777777" w:rsidR="00386955" w:rsidRPr="00162A77" w:rsidRDefault="00386955" w:rsidP="003869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109561798</w:t>
            </w:r>
          </w:p>
        </w:tc>
        <w:tc>
          <w:tcPr>
            <w:tcW w:w="365" w:type="dxa"/>
            <w:noWrap/>
            <w:hideMark/>
          </w:tcPr>
          <w:p w14:paraId="7A06EF2B" w14:textId="4650CCEE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</w:t>
            </w:r>
          </w:p>
        </w:tc>
        <w:tc>
          <w:tcPr>
            <w:tcW w:w="365" w:type="dxa"/>
            <w:noWrap/>
            <w:hideMark/>
          </w:tcPr>
          <w:p w14:paraId="77123BE7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</w:p>
        </w:tc>
        <w:tc>
          <w:tcPr>
            <w:tcW w:w="724" w:type="dxa"/>
            <w:noWrap/>
            <w:hideMark/>
          </w:tcPr>
          <w:p w14:paraId="119113B8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MMAB</w:t>
            </w:r>
          </w:p>
        </w:tc>
        <w:tc>
          <w:tcPr>
            <w:tcW w:w="903" w:type="dxa"/>
          </w:tcPr>
          <w:p w14:paraId="34D9F91A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c.403G&gt;A</w:t>
            </w:r>
          </w:p>
          <w:p w14:paraId="70F40AD4" w14:textId="293638A2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p.A135T</w:t>
            </w:r>
          </w:p>
        </w:tc>
        <w:tc>
          <w:tcPr>
            <w:tcW w:w="903" w:type="dxa"/>
            <w:noWrap/>
            <w:hideMark/>
          </w:tcPr>
          <w:p w14:paraId="05AE24A2" w14:textId="0E5F16A2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04C00377" w14:textId="7E698AE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544" w:type="dxa"/>
            <w:noWrap/>
          </w:tcPr>
          <w:p w14:paraId="5551B0F0" w14:textId="3202C8AA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864" w:type="dxa"/>
          </w:tcPr>
          <w:p w14:paraId="722BF929" w14:textId="20B92E0B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HG03169</w:t>
            </w:r>
          </w:p>
        </w:tc>
        <w:tc>
          <w:tcPr>
            <w:tcW w:w="1977" w:type="dxa"/>
            <w:noWrap/>
            <w:hideMark/>
          </w:tcPr>
          <w:p w14:paraId="39FDD6AE" w14:textId="3265459A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GeneReviews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February 2016,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Seen in affected individuals</w:t>
            </w:r>
          </w:p>
        </w:tc>
        <w:tc>
          <w:tcPr>
            <w:tcW w:w="1977" w:type="dxa"/>
            <w:noWrap/>
            <w:hideMark/>
          </w:tcPr>
          <w:p w14:paraId="5A21B5D7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GeneDx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May 2017,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VUS,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Variant is conserved and predicted damaging, but seen at high frequency in African ancestry populations.</w:t>
            </w:r>
          </w:p>
        </w:tc>
        <w:tc>
          <w:tcPr>
            <w:tcW w:w="1620" w:type="dxa"/>
            <w:noWrap/>
            <w:hideMark/>
          </w:tcPr>
          <w:p w14:paraId="5A49D0C5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Conflicting Interpretations of Pathogenicity</w:t>
            </w:r>
          </w:p>
        </w:tc>
        <w:tc>
          <w:tcPr>
            <w:tcW w:w="903" w:type="dxa"/>
            <w:noWrap/>
            <w:hideMark/>
          </w:tcPr>
          <w:p w14:paraId="5CDB0356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 Pathogenic NC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VUS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Benign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Benign NC</w:t>
            </w:r>
          </w:p>
        </w:tc>
      </w:tr>
      <w:tr w:rsidR="00386955" w:rsidRPr="00162A77" w14:paraId="6562CB09" w14:textId="77777777" w:rsidTr="00386955">
        <w:trPr>
          <w:gridAfter w:val="1"/>
          <w:wAfter w:w="1050" w:type="dxa"/>
          <w:trHeight w:val="1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1C3C5473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12</w:t>
            </w:r>
          </w:p>
        </w:tc>
        <w:tc>
          <w:tcPr>
            <w:tcW w:w="903" w:type="dxa"/>
            <w:noWrap/>
            <w:hideMark/>
          </w:tcPr>
          <w:p w14:paraId="51807E91" w14:textId="77777777" w:rsidR="00386955" w:rsidRPr="00162A77" w:rsidRDefault="00386955" w:rsidP="003869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120739317</w:t>
            </w:r>
          </w:p>
        </w:tc>
        <w:tc>
          <w:tcPr>
            <w:tcW w:w="365" w:type="dxa"/>
            <w:noWrap/>
            <w:hideMark/>
          </w:tcPr>
          <w:p w14:paraId="498462C2" w14:textId="415664E2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365" w:type="dxa"/>
            <w:noWrap/>
            <w:hideMark/>
          </w:tcPr>
          <w:p w14:paraId="76CD7D65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</w:t>
            </w:r>
          </w:p>
        </w:tc>
        <w:tc>
          <w:tcPr>
            <w:tcW w:w="724" w:type="dxa"/>
            <w:noWrap/>
            <w:hideMark/>
          </w:tcPr>
          <w:p w14:paraId="4450927D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ACADS</w:t>
            </w:r>
          </w:p>
        </w:tc>
        <w:tc>
          <w:tcPr>
            <w:tcW w:w="903" w:type="dxa"/>
          </w:tcPr>
          <w:p w14:paraId="20275EB1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c.1108A&gt;G</w:t>
            </w:r>
          </w:p>
          <w:p w14:paraId="6D707D53" w14:textId="21687CDA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p.M370V</w:t>
            </w:r>
          </w:p>
        </w:tc>
        <w:tc>
          <w:tcPr>
            <w:tcW w:w="903" w:type="dxa"/>
            <w:noWrap/>
            <w:hideMark/>
          </w:tcPr>
          <w:p w14:paraId="6210968E" w14:textId="5D505241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316CBAED" w14:textId="2FD8E844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544" w:type="dxa"/>
            <w:noWrap/>
          </w:tcPr>
          <w:p w14:paraId="334BDACF" w14:textId="2F534F9F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864" w:type="dxa"/>
          </w:tcPr>
          <w:p w14:paraId="2BCFF7F8" w14:textId="3B84F150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NA20878</w:t>
            </w:r>
          </w:p>
        </w:tc>
        <w:tc>
          <w:tcPr>
            <w:tcW w:w="1977" w:type="dxa"/>
            <w:noWrap/>
            <w:hideMark/>
          </w:tcPr>
          <w:p w14:paraId="00160055" w14:textId="1C02A065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GeneDx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August 2015,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clinical testing</w:t>
            </w:r>
          </w:p>
        </w:tc>
        <w:tc>
          <w:tcPr>
            <w:tcW w:w="1977" w:type="dxa"/>
            <w:noWrap/>
            <w:hideMark/>
          </w:tcPr>
          <w:p w14:paraId="67177B24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Illumina,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January 2017,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VUS,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Observed in both healthy and affected individuals, with high population allele frequency</w:t>
            </w:r>
          </w:p>
        </w:tc>
        <w:tc>
          <w:tcPr>
            <w:tcW w:w="1620" w:type="dxa"/>
            <w:noWrap/>
            <w:hideMark/>
          </w:tcPr>
          <w:p w14:paraId="0ADC121D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Conflicting Interpretations of Pathogenicity</w:t>
            </w:r>
          </w:p>
        </w:tc>
        <w:tc>
          <w:tcPr>
            <w:tcW w:w="903" w:type="dxa"/>
            <w:noWrap/>
            <w:hideMark/>
          </w:tcPr>
          <w:p w14:paraId="37AF9137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 VUS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Likely Benign</w:t>
            </w:r>
          </w:p>
        </w:tc>
      </w:tr>
      <w:tr w:rsidR="00386955" w:rsidRPr="00162A77" w14:paraId="0A32B2B1" w14:textId="77777777" w:rsidTr="0038695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50" w:type="dxa"/>
          <w:trHeight w:val="1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1A14133B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22</w:t>
            </w:r>
          </w:p>
        </w:tc>
        <w:tc>
          <w:tcPr>
            <w:tcW w:w="903" w:type="dxa"/>
            <w:noWrap/>
            <w:hideMark/>
          </w:tcPr>
          <w:p w14:paraId="0F3274AF" w14:textId="77777777" w:rsidR="00386955" w:rsidRPr="00162A77" w:rsidRDefault="00386955" w:rsidP="003869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bookmarkStart w:id="2" w:name="RANGE!C8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18918386</w:t>
            </w:r>
            <w:bookmarkEnd w:id="2"/>
          </w:p>
        </w:tc>
        <w:tc>
          <w:tcPr>
            <w:tcW w:w="365" w:type="dxa"/>
            <w:noWrap/>
            <w:hideMark/>
          </w:tcPr>
          <w:p w14:paraId="1DB32489" w14:textId="1B74A8CB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</w:t>
            </w:r>
          </w:p>
        </w:tc>
        <w:tc>
          <w:tcPr>
            <w:tcW w:w="365" w:type="dxa"/>
            <w:noWrap/>
            <w:hideMark/>
          </w:tcPr>
          <w:p w14:paraId="7C8D4FC4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724" w:type="dxa"/>
            <w:noWrap/>
            <w:hideMark/>
          </w:tcPr>
          <w:p w14:paraId="543A14A7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PRODH</w:t>
            </w:r>
          </w:p>
        </w:tc>
        <w:tc>
          <w:tcPr>
            <w:tcW w:w="903" w:type="dxa"/>
          </w:tcPr>
          <w:p w14:paraId="408A74C9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c.1357C&gt;T</w:t>
            </w:r>
          </w:p>
          <w:p w14:paraId="72E1946D" w14:textId="1AAF28B3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p.R453C</w:t>
            </w:r>
          </w:p>
        </w:tc>
        <w:tc>
          <w:tcPr>
            <w:tcW w:w="903" w:type="dxa"/>
            <w:noWrap/>
            <w:hideMark/>
          </w:tcPr>
          <w:p w14:paraId="53372DA6" w14:textId="0F84C0B5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06DF1120" w14:textId="2A22553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544" w:type="dxa"/>
            <w:noWrap/>
          </w:tcPr>
          <w:p w14:paraId="36A0A79B" w14:textId="022BD94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864" w:type="dxa"/>
          </w:tcPr>
          <w:p w14:paraId="1C898104" w14:textId="2ACB1929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NA19372</w:t>
            </w:r>
          </w:p>
        </w:tc>
        <w:tc>
          <w:tcPr>
            <w:tcW w:w="1977" w:type="dxa"/>
            <w:noWrap/>
            <w:hideMark/>
          </w:tcPr>
          <w:p w14:paraId="4C4ABAE0" w14:textId="64689E30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OMIM, 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April 2014,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In vitro assay </w:t>
            </w:r>
          </w:p>
        </w:tc>
        <w:tc>
          <w:tcPr>
            <w:tcW w:w="1977" w:type="dxa"/>
            <w:noWrap/>
            <w:hideMark/>
          </w:tcPr>
          <w:p w14:paraId="69F00DD9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Laboratory for Molecular Medicine (Partners HealthCare Personalized Medicine),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 xml:space="preserve">May 2017, 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Benign,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Elevated population allele frequency</w:t>
            </w:r>
          </w:p>
        </w:tc>
        <w:tc>
          <w:tcPr>
            <w:tcW w:w="1620" w:type="dxa"/>
            <w:noWrap/>
            <w:hideMark/>
          </w:tcPr>
          <w:p w14:paraId="39501BF1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Conflicting Interpretations of Pathogenicity</w:t>
            </w:r>
          </w:p>
        </w:tc>
        <w:tc>
          <w:tcPr>
            <w:tcW w:w="903" w:type="dxa"/>
            <w:noWrap/>
            <w:hideMark/>
          </w:tcPr>
          <w:p w14:paraId="514CCBC9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 Pathogenic NC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VUS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Likely benign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Benign</w:t>
            </w:r>
          </w:p>
        </w:tc>
      </w:tr>
      <w:tr w:rsidR="00386955" w:rsidRPr="00162A77" w14:paraId="2ABA91BB" w14:textId="77777777" w:rsidTr="00386955">
        <w:trPr>
          <w:gridAfter w:val="1"/>
          <w:wAfter w:w="1050" w:type="dxa"/>
          <w:trHeight w:val="9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55FDED84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22</w:t>
            </w:r>
          </w:p>
        </w:tc>
        <w:tc>
          <w:tcPr>
            <w:tcW w:w="903" w:type="dxa"/>
            <w:noWrap/>
            <w:hideMark/>
          </w:tcPr>
          <w:p w14:paraId="098DCA28" w14:textId="77777777" w:rsidR="00386955" w:rsidRPr="00162A77" w:rsidRDefault="00386955" w:rsidP="003869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18918421</w:t>
            </w:r>
          </w:p>
        </w:tc>
        <w:tc>
          <w:tcPr>
            <w:tcW w:w="365" w:type="dxa"/>
            <w:noWrap/>
            <w:hideMark/>
          </w:tcPr>
          <w:p w14:paraId="1F9114E9" w14:textId="69B6E7D2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365" w:type="dxa"/>
            <w:noWrap/>
            <w:hideMark/>
          </w:tcPr>
          <w:p w14:paraId="1BDBE0D9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</w:t>
            </w:r>
          </w:p>
        </w:tc>
        <w:tc>
          <w:tcPr>
            <w:tcW w:w="724" w:type="dxa"/>
            <w:noWrap/>
            <w:hideMark/>
          </w:tcPr>
          <w:p w14:paraId="5D4DB321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PRODH</w:t>
            </w:r>
          </w:p>
        </w:tc>
        <w:tc>
          <w:tcPr>
            <w:tcW w:w="903" w:type="dxa"/>
          </w:tcPr>
          <w:p w14:paraId="4CB92129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c.1322T&gt;C</w:t>
            </w:r>
          </w:p>
          <w:p w14:paraId="770F5398" w14:textId="7539FC54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p.L441P</w:t>
            </w:r>
          </w:p>
        </w:tc>
        <w:tc>
          <w:tcPr>
            <w:tcW w:w="903" w:type="dxa"/>
            <w:noWrap/>
            <w:hideMark/>
          </w:tcPr>
          <w:p w14:paraId="08DDF213" w14:textId="53080E09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459C8AC2" w14:textId="673B3868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544" w:type="dxa"/>
            <w:noWrap/>
          </w:tcPr>
          <w:p w14:paraId="218415BC" w14:textId="65EFCFCA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864" w:type="dxa"/>
          </w:tcPr>
          <w:p w14:paraId="131BC5AA" w14:textId="3A2094C3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NA19372</w:t>
            </w:r>
          </w:p>
        </w:tc>
        <w:tc>
          <w:tcPr>
            <w:tcW w:w="1977" w:type="dxa"/>
            <w:noWrap/>
            <w:hideMark/>
          </w:tcPr>
          <w:p w14:paraId="63429E4B" w14:textId="6227274E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OMIM,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April 2014,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In vitro assay</w:t>
            </w:r>
          </w:p>
        </w:tc>
        <w:tc>
          <w:tcPr>
            <w:tcW w:w="1977" w:type="dxa"/>
            <w:noWrap/>
            <w:hideMark/>
          </w:tcPr>
          <w:p w14:paraId="0DBF8AA7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Invitae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December 2017,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VUS,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Highly conserved, with in vitro evidence, but high allele frequency</w:t>
            </w:r>
          </w:p>
        </w:tc>
        <w:tc>
          <w:tcPr>
            <w:tcW w:w="1620" w:type="dxa"/>
            <w:noWrap/>
            <w:hideMark/>
          </w:tcPr>
          <w:p w14:paraId="0836CF43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Conflicting Interpretations of Pathogenicity</w:t>
            </w:r>
          </w:p>
        </w:tc>
        <w:tc>
          <w:tcPr>
            <w:tcW w:w="903" w:type="dxa"/>
            <w:noWrap/>
            <w:hideMark/>
          </w:tcPr>
          <w:p w14:paraId="39B9DF5C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 Pathogenic NC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3 Likely pathogenic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VUS</w:t>
            </w:r>
          </w:p>
        </w:tc>
      </w:tr>
      <w:tr w:rsidR="00386955" w:rsidRPr="00162A77" w14:paraId="09638C60" w14:textId="77777777" w:rsidTr="0038695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50" w:type="dxa"/>
          <w:trHeight w:val="7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4383BF9D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X</w:t>
            </w:r>
          </w:p>
        </w:tc>
        <w:tc>
          <w:tcPr>
            <w:tcW w:w="903" w:type="dxa"/>
            <w:noWrap/>
            <w:hideMark/>
          </w:tcPr>
          <w:p w14:paraId="305ABD95" w14:textId="77777777" w:rsidR="00386955" w:rsidRPr="00162A77" w:rsidRDefault="00386955" w:rsidP="003869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38367361</w:t>
            </w:r>
          </w:p>
        </w:tc>
        <w:tc>
          <w:tcPr>
            <w:tcW w:w="365" w:type="dxa"/>
            <w:noWrap/>
            <w:hideMark/>
          </w:tcPr>
          <w:p w14:paraId="2427C4EA" w14:textId="74F5F92F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</w:t>
            </w:r>
          </w:p>
        </w:tc>
        <w:tc>
          <w:tcPr>
            <w:tcW w:w="365" w:type="dxa"/>
            <w:noWrap/>
            <w:hideMark/>
          </w:tcPr>
          <w:p w14:paraId="24B9F8EF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A</w:t>
            </w:r>
          </w:p>
        </w:tc>
        <w:tc>
          <w:tcPr>
            <w:tcW w:w="724" w:type="dxa"/>
            <w:noWrap/>
            <w:hideMark/>
          </w:tcPr>
          <w:p w14:paraId="0D8FBDF2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OTC</w:t>
            </w:r>
          </w:p>
        </w:tc>
        <w:tc>
          <w:tcPr>
            <w:tcW w:w="903" w:type="dxa"/>
          </w:tcPr>
          <w:p w14:paraId="4C922BEF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c.148G&gt;A</w:t>
            </w:r>
          </w:p>
          <w:p w14:paraId="003488B5" w14:textId="1EAC4EC3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p.G50R</w:t>
            </w:r>
          </w:p>
        </w:tc>
        <w:tc>
          <w:tcPr>
            <w:tcW w:w="903" w:type="dxa"/>
            <w:noWrap/>
            <w:hideMark/>
          </w:tcPr>
          <w:p w14:paraId="5E76AD93" w14:textId="2206F6BE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09EDD73E" w14:textId="1681C3E4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544" w:type="dxa"/>
            <w:noWrap/>
          </w:tcPr>
          <w:p w14:paraId="1E5720AE" w14:textId="77777777" w:rsidR="00386955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  <w:p w14:paraId="04671C26" w14:textId="11D11D20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</w:p>
        </w:tc>
        <w:tc>
          <w:tcPr>
            <w:tcW w:w="864" w:type="dxa"/>
          </w:tcPr>
          <w:p w14:paraId="1D6E0627" w14:textId="6B065CE2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NA21124</w:t>
            </w:r>
          </w:p>
        </w:tc>
        <w:tc>
          <w:tcPr>
            <w:tcW w:w="1977" w:type="dxa"/>
            <w:noWrap/>
            <w:hideMark/>
          </w:tcPr>
          <w:p w14:paraId="02AFA13F" w14:textId="2B7AB492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GenMed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Metabolism Lab,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April 2014,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Identified in late onset individual</w:t>
            </w:r>
          </w:p>
        </w:tc>
        <w:tc>
          <w:tcPr>
            <w:tcW w:w="1977" w:type="dxa"/>
            <w:noWrap/>
            <w:hideMark/>
          </w:tcPr>
          <w:p w14:paraId="26C98D49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None</w:t>
            </w:r>
          </w:p>
        </w:tc>
        <w:tc>
          <w:tcPr>
            <w:tcW w:w="1620" w:type="dxa"/>
            <w:noWrap/>
            <w:hideMark/>
          </w:tcPr>
          <w:p w14:paraId="1D3DE11F" w14:textId="6E1FC450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Pathogenic, 0 stars</w:t>
            </w:r>
            <w:r w:rsidR="00EE28ED" w:rsidRPr="00EE28ED">
              <w:rPr>
                <w:rFonts w:ascii="Arial" w:eastAsia="Times New Roman" w:hAnsi="Arial" w:cs="Arial"/>
                <w:color w:val="000000"/>
                <w:sz w:val="12"/>
                <w:szCs w:val="12"/>
                <w:vertAlign w:val="superscript"/>
              </w:rPr>
              <w:t>†</w:t>
            </w:r>
          </w:p>
        </w:tc>
        <w:tc>
          <w:tcPr>
            <w:tcW w:w="903" w:type="dxa"/>
            <w:noWrap/>
            <w:hideMark/>
          </w:tcPr>
          <w:p w14:paraId="69F22432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2 Pathogenic NC</w:t>
            </w:r>
          </w:p>
        </w:tc>
      </w:tr>
      <w:tr w:rsidR="00386955" w:rsidRPr="00162A77" w14:paraId="6D675DC3" w14:textId="77777777" w:rsidTr="00386955">
        <w:trPr>
          <w:gridAfter w:val="1"/>
          <w:wAfter w:w="1050" w:type="dxa"/>
          <w:trHeight w:val="8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4B0CFC2A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X</w:t>
            </w:r>
          </w:p>
        </w:tc>
        <w:tc>
          <w:tcPr>
            <w:tcW w:w="903" w:type="dxa"/>
            <w:noWrap/>
            <w:hideMark/>
          </w:tcPr>
          <w:p w14:paraId="4C32C76D" w14:textId="77777777" w:rsidR="00386955" w:rsidRPr="00162A77" w:rsidRDefault="00386955" w:rsidP="00386955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38369882</w:t>
            </w:r>
          </w:p>
        </w:tc>
        <w:tc>
          <w:tcPr>
            <w:tcW w:w="365" w:type="dxa"/>
            <w:noWrap/>
            <w:hideMark/>
          </w:tcPr>
          <w:p w14:paraId="53197737" w14:textId="214FE606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</w:t>
            </w:r>
          </w:p>
        </w:tc>
        <w:tc>
          <w:tcPr>
            <w:tcW w:w="365" w:type="dxa"/>
            <w:noWrap/>
            <w:hideMark/>
          </w:tcPr>
          <w:p w14:paraId="12FF51EC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</w:t>
            </w:r>
          </w:p>
        </w:tc>
        <w:tc>
          <w:tcPr>
            <w:tcW w:w="724" w:type="dxa"/>
            <w:noWrap/>
            <w:hideMark/>
          </w:tcPr>
          <w:p w14:paraId="67F69583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OTC</w:t>
            </w:r>
          </w:p>
        </w:tc>
        <w:tc>
          <w:tcPr>
            <w:tcW w:w="903" w:type="dxa"/>
          </w:tcPr>
          <w:p w14:paraId="535647A2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c.298+5G&gt;C</w:t>
            </w:r>
          </w:p>
          <w:p w14:paraId="483BDE00" w14:textId="300705EB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</w:t>
            </w:r>
          </w:p>
        </w:tc>
        <w:tc>
          <w:tcPr>
            <w:tcW w:w="903" w:type="dxa"/>
            <w:noWrap/>
            <w:hideMark/>
          </w:tcPr>
          <w:p w14:paraId="79D2A711" w14:textId="7A6D2546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Donor splice site</w:t>
            </w:r>
          </w:p>
        </w:tc>
        <w:tc>
          <w:tcPr>
            <w:tcW w:w="544" w:type="dxa"/>
            <w:noWrap/>
          </w:tcPr>
          <w:p w14:paraId="21602745" w14:textId="0B44AE7D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</w:t>
            </w:r>
          </w:p>
        </w:tc>
        <w:tc>
          <w:tcPr>
            <w:tcW w:w="544" w:type="dxa"/>
            <w:noWrap/>
          </w:tcPr>
          <w:p w14:paraId="00CF51B8" w14:textId="0F8D74B4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864" w:type="dxa"/>
          </w:tcPr>
          <w:p w14:paraId="0631689E" w14:textId="3A2D8742" w:rsidR="0038695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HG00622</w:t>
            </w:r>
          </w:p>
          <w:p w14:paraId="7FAABF72" w14:textId="38126EF0" w:rsidR="0038695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HG01844</w:t>
            </w:r>
          </w:p>
          <w:p w14:paraId="3636C5E7" w14:textId="16ADA104" w:rsidR="0038695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HG02073</w:t>
            </w:r>
          </w:p>
          <w:p w14:paraId="53ABF1A0" w14:textId="77777777" w:rsidR="00386955" w:rsidRPr="00386955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12"/>
                <w:szCs w:val="12"/>
              </w:rPr>
            </w:pPr>
          </w:p>
        </w:tc>
        <w:tc>
          <w:tcPr>
            <w:tcW w:w="1977" w:type="dxa"/>
            <w:noWrap/>
            <w:hideMark/>
          </w:tcPr>
          <w:p w14:paraId="2C7EB68B" w14:textId="20EEDA1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GenMed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Metabolism Lab,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April 2014,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Identified in affected female</w:t>
            </w:r>
          </w:p>
        </w:tc>
        <w:tc>
          <w:tcPr>
            <w:tcW w:w="1977" w:type="dxa"/>
            <w:noWrap/>
            <w:hideMark/>
          </w:tcPr>
          <w:p w14:paraId="142DBCE7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EGL Genetic Diagnostics,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January 2017,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Benign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Classified in clinical testing</w:t>
            </w:r>
          </w:p>
        </w:tc>
        <w:tc>
          <w:tcPr>
            <w:tcW w:w="1620" w:type="dxa"/>
            <w:noWrap/>
            <w:hideMark/>
          </w:tcPr>
          <w:p w14:paraId="39B4B70F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Benign/Likely benign</w:t>
            </w:r>
          </w:p>
        </w:tc>
        <w:tc>
          <w:tcPr>
            <w:tcW w:w="903" w:type="dxa"/>
            <w:noWrap/>
            <w:hideMark/>
          </w:tcPr>
          <w:p w14:paraId="64DF8111" w14:textId="77777777" w:rsidR="00386955" w:rsidRPr="00162A77" w:rsidRDefault="00386955" w:rsidP="0038695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 Pathogenic NC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VUS NC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Likely benign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5 Benign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Benign NC</w:t>
            </w:r>
          </w:p>
        </w:tc>
      </w:tr>
      <w:tr w:rsidR="00386955" w:rsidRPr="00162A77" w14:paraId="5D88A101" w14:textId="77777777" w:rsidTr="00386955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050" w:type="dxa"/>
          <w:trHeight w:val="10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5" w:type="dxa"/>
            <w:noWrap/>
            <w:hideMark/>
          </w:tcPr>
          <w:p w14:paraId="3184F3F5" w14:textId="77777777" w:rsidR="00386955" w:rsidRPr="00162A77" w:rsidRDefault="00386955" w:rsidP="00386955">
            <w:pPr>
              <w:jc w:val="right"/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b w:val="0"/>
                <w:bCs w:val="0"/>
                <w:color w:val="000000"/>
                <w:sz w:val="12"/>
                <w:szCs w:val="12"/>
              </w:rPr>
              <w:t>X</w:t>
            </w:r>
          </w:p>
        </w:tc>
        <w:tc>
          <w:tcPr>
            <w:tcW w:w="903" w:type="dxa"/>
            <w:noWrap/>
            <w:hideMark/>
          </w:tcPr>
          <w:p w14:paraId="548FCA0E" w14:textId="77777777" w:rsidR="00386955" w:rsidRPr="00162A77" w:rsidRDefault="00386955" w:rsidP="00386955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38381417</w:t>
            </w:r>
          </w:p>
        </w:tc>
        <w:tc>
          <w:tcPr>
            <w:tcW w:w="365" w:type="dxa"/>
            <w:noWrap/>
            <w:hideMark/>
          </w:tcPr>
          <w:p w14:paraId="2B4762F0" w14:textId="33F13736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</w:t>
            </w:r>
          </w:p>
        </w:tc>
        <w:tc>
          <w:tcPr>
            <w:tcW w:w="365" w:type="dxa"/>
            <w:noWrap/>
            <w:hideMark/>
          </w:tcPr>
          <w:p w14:paraId="6CAB6195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T</w:t>
            </w:r>
          </w:p>
        </w:tc>
        <w:tc>
          <w:tcPr>
            <w:tcW w:w="724" w:type="dxa"/>
            <w:noWrap/>
            <w:hideMark/>
          </w:tcPr>
          <w:p w14:paraId="05CB8D84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OTC</w:t>
            </w:r>
          </w:p>
        </w:tc>
        <w:tc>
          <w:tcPr>
            <w:tcW w:w="903" w:type="dxa"/>
          </w:tcPr>
          <w:p w14:paraId="187AC9B6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c.374C&gt;T</w:t>
            </w:r>
          </w:p>
          <w:p w14:paraId="62097761" w14:textId="39990D94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p.T125M</w:t>
            </w:r>
          </w:p>
        </w:tc>
        <w:tc>
          <w:tcPr>
            <w:tcW w:w="903" w:type="dxa"/>
            <w:noWrap/>
            <w:hideMark/>
          </w:tcPr>
          <w:p w14:paraId="6D00A225" w14:textId="3BC079B2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missense</w:t>
            </w:r>
          </w:p>
        </w:tc>
        <w:tc>
          <w:tcPr>
            <w:tcW w:w="544" w:type="dxa"/>
            <w:noWrap/>
          </w:tcPr>
          <w:p w14:paraId="4C595130" w14:textId="64E6AEC6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1</w:t>
            </w:r>
          </w:p>
        </w:tc>
        <w:tc>
          <w:tcPr>
            <w:tcW w:w="544" w:type="dxa"/>
            <w:noWrap/>
          </w:tcPr>
          <w:p w14:paraId="198C8012" w14:textId="40C2C76D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0</w:t>
            </w:r>
          </w:p>
        </w:tc>
        <w:tc>
          <w:tcPr>
            <w:tcW w:w="864" w:type="dxa"/>
          </w:tcPr>
          <w:p w14:paraId="4EF26B9F" w14:textId="208CED12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386955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NA19117</w:t>
            </w:r>
          </w:p>
        </w:tc>
        <w:tc>
          <w:tcPr>
            <w:tcW w:w="1977" w:type="dxa"/>
            <w:noWrap/>
            <w:hideMark/>
          </w:tcPr>
          <w:p w14:paraId="3E1A0004" w14:textId="30873B15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proofErr w:type="spellStart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GenMed</w:t>
            </w:r>
            <w:proofErr w:type="spellEnd"/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 Metabolism Lab,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April 2014,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Pathogenic,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Identified in affected individual</w:t>
            </w:r>
          </w:p>
        </w:tc>
        <w:tc>
          <w:tcPr>
            <w:tcW w:w="1977" w:type="dxa"/>
            <w:noWrap/>
            <w:hideMark/>
          </w:tcPr>
          <w:p w14:paraId="067F6C41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 xml:space="preserve">University of Washington, 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January 2015,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VUS,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Classified as part of investigation of incidental findings in population cohort</w:t>
            </w:r>
          </w:p>
        </w:tc>
        <w:tc>
          <w:tcPr>
            <w:tcW w:w="1620" w:type="dxa"/>
            <w:noWrap/>
            <w:hideMark/>
          </w:tcPr>
          <w:p w14:paraId="6168A213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VUS</w:t>
            </w:r>
          </w:p>
        </w:tc>
        <w:tc>
          <w:tcPr>
            <w:tcW w:w="903" w:type="dxa"/>
            <w:noWrap/>
            <w:hideMark/>
          </w:tcPr>
          <w:p w14:paraId="061E900B" w14:textId="77777777" w:rsidR="00386955" w:rsidRPr="00162A77" w:rsidRDefault="00386955" w:rsidP="0038695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sz w:val="12"/>
                <w:szCs w:val="12"/>
              </w:rPr>
            </w:pP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t>3 VUS</w:t>
            </w:r>
            <w:r w:rsidRPr="00162A77">
              <w:rPr>
                <w:rFonts w:ascii="Arial" w:eastAsia="Times New Roman" w:hAnsi="Arial" w:cs="Arial"/>
                <w:color w:val="000000"/>
                <w:sz w:val="12"/>
                <w:szCs w:val="12"/>
              </w:rPr>
              <w:br/>
              <w:t>1 Pathogenic NC</w:t>
            </w:r>
          </w:p>
        </w:tc>
      </w:tr>
    </w:tbl>
    <w:p w14:paraId="55F776CA" w14:textId="77777777" w:rsidR="00B007AE" w:rsidRDefault="00B007AE">
      <w:pPr>
        <w:rPr>
          <w:sz w:val="12"/>
          <w:szCs w:val="12"/>
        </w:rPr>
      </w:pPr>
    </w:p>
    <w:p w14:paraId="1BDD2438" w14:textId="377DD33E" w:rsidR="00B007AE" w:rsidRDefault="00B007AE">
      <w:pPr>
        <w:rPr>
          <w:sz w:val="12"/>
          <w:szCs w:val="12"/>
        </w:rPr>
      </w:pPr>
      <w:r w:rsidRPr="00DA09A4">
        <w:rPr>
          <w:rFonts w:ascii="Arial" w:eastAsia="Times New Roman" w:hAnsi="Arial" w:cs="Arial"/>
          <w:noProof/>
          <w:color w:val="000000"/>
          <w:sz w:val="12"/>
          <w:szCs w:val="1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388026" wp14:editId="7773A624">
                <wp:simplePos x="0" y="0"/>
                <wp:positionH relativeFrom="column">
                  <wp:posOffset>194310</wp:posOffset>
                </wp:positionH>
                <wp:positionV relativeFrom="paragraph">
                  <wp:posOffset>-134337</wp:posOffset>
                </wp:positionV>
                <wp:extent cx="7010400" cy="1404620"/>
                <wp:effectExtent l="0" t="0" r="0" b="190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0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C4F34" w14:textId="4498D1CD" w:rsidR="0047029A" w:rsidRPr="0047029A" w:rsidRDefault="0047029A" w:rsidP="0047029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7029A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Table </w:t>
                            </w:r>
                            <w:r w:rsidR="00A448EB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S6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ClinVar variants found in a pathogenic genotype in one or more predicted affected individuals from 1KGP. </w:t>
                            </w:r>
                            <w:r w:rsidRPr="0047029A">
                              <w:rPr>
                                <w:rFonts w:ascii="Arial" w:hAnsi="Arial" w:cs="Arial"/>
                              </w:rPr>
                              <w:t xml:space="preserve">*ClinVar only considers variants with criteria in determining </w:t>
                            </w:r>
                            <w:r>
                              <w:rPr>
                                <w:rFonts w:ascii="Arial" w:hAnsi="Arial" w:cs="Arial"/>
                              </w:rPr>
                              <w:t>c</w:t>
                            </w:r>
                            <w:r w:rsidRPr="0047029A">
                              <w:rPr>
                                <w:rFonts w:ascii="Arial" w:hAnsi="Arial" w:cs="Arial"/>
                              </w:rPr>
                              <w:t>onsensus interpretation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Pr="0047029A">
                              <w:rPr>
                                <w:rFonts w:ascii="Arial" w:hAnsi="Arial" w:cs="Arial"/>
                              </w:rPr>
                              <w:t>NC = No assertion criter</w:t>
                            </w:r>
                            <w:r>
                              <w:rPr>
                                <w:rFonts w:ascii="Arial" w:hAnsi="Arial" w:cs="Arial"/>
                              </w:rPr>
                              <w:t>i</w:t>
                            </w:r>
                            <w:r w:rsidRPr="0047029A">
                              <w:rPr>
                                <w:rFonts w:ascii="Arial" w:hAnsi="Arial" w:cs="Arial"/>
                              </w:rPr>
                              <w:t>a provided</w:t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  <w:r w:rsidR="00EE28ED" w:rsidRPr="00EE28ED">
                              <w:rPr>
                                <w:rFonts w:ascii="Arial" w:hAnsi="Arial" w:cs="Arial"/>
                                <w:vertAlign w:val="superscript"/>
                              </w:rPr>
                              <w:t>†</w:t>
                            </w:r>
                            <w:r w:rsidR="00EE28ED">
                              <w:rPr>
                                <w:rFonts w:ascii="Arial" w:hAnsi="Arial" w:cs="Arial"/>
                              </w:rPr>
                              <w:t xml:space="preserve">As of May 2022, this variant was classified as Conflicting Interpretations of Pathogenicity.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E3880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.3pt;margin-top:-10.6pt;width:55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" stroked="f">
                <v:textbox style="mso-fit-shape-to-text:t">
                  <w:txbxContent>
                    <w:p w14:paraId="23DC4F34" w14:textId="4498D1CD" w:rsidR="0047029A" w:rsidRPr="0047029A" w:rsidRDefault="0047029A" w:rsidP="0047029A">
                      <w:pPr>
                        <w:rPr>
                          <w:rFonts w:ascii="Arial" w:hAnsi="Arial" w:cs="Arial"/>
                        </w:rPr>
                      </w:pPr>
                      <w:r w:rsidRPr="0047029A">
                        <w:rPr>
                          <w:rFonts w:ascii="Arial" w:hAnsi="Arial" w:cs="Arial"/>
                          <w:b/>
                          <w:bCs/>
                        </w:rPr>
                        <w:t xml:space="preserve">Table </w:t>
                      </w:r>
                      <w:r w:rsidR="00A448EB">
                        <w:rPr>
                          <w:rFonts w:ascii="Arial" w:hAnsi="Arial" w:cs="Arial"/>
                          <w:b/>
                          <w:bCs/>
                        </w:rPr>
                        <w:t>S6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</w:rPr>
                        <w:t xml:space="preserve">ClinVar variants found in a pathogenic genotype in one or more predicted affected individuals from 1KGP. </w:t>
                      </w:r>
                      <w:r w:rsidRPr="0047029A">
                        <w:rPr>
                          <w:rFonts w:ascii="Arial" w:hAnsi="Arial" w:cs="Arial"/>
                        </w:rPr>
                        <w:t xml:space="preserve">*ClinVar only considers variants with criteria in determining </w:t>
                      </w:r>
                      <w:r>
                        <w:rPr>
                          <w:rFonts w:ascii="Arial" w:hAnsi="Arial" w:cs="Arial"/>
                        </w:rPr>
                        <w:t>c</w:t>
                      </w:r>
                      <w:r w:rsidRPr="0047029A">
                        <w:rPr>
                          <w:rFonts w:ascii="Arial" w:hAnsi="Arial" w:cs="Arial"/>
                        </w:rPr>
                        <w:t>onsensus interpretation</w:t>
                      </w:r>
                      <w:r>
                        <w:rPr>
                          <w:rFonts w:ascii="Arial" w:hAnsi="Arial" w:cs="Arial"/>
                        </w:rPr>
                        <w:t xml:space="preserve">. </w:t>
                      </w:r>
                      <w:r w:rsidRPr="0047029A">
                        <w:rPr>
                          <w:rFonts w:ascii="Arial" w:hAnsi="Arial" w:cs="Arial"/>
                        </w:rPr>
                        <w:t>NC = No assertion criter</w:t>
                      </w:r>
                      <w:r>
                        <w:rPr>
                          <w:rFonts w:ascii="Arial" w:hAnsi="Arial" w:cs="Arial"/>
                        </w:rPr>
                        <w:t>i</w:t>
                      </w:r>
                      <w:r w:rsidRPr="0047029A">
                        <w:rPr>
                          <w:rFonts w:ascii="Arial" w:hAnsi="Arial" w:cs="Arial"/>
                        </w:rPr>
                        <w:t>a provided</w:t>
                      </w:r>
                      <w:r>
                        <w:rPr>
                          <w:rFonts w:ascii="Arial" w:hAnsi="Arial" w:cs="Arial"/>
                        </w:rPr>
                        <w:t xml:space="preserve">. </w:t>
                      </w:r>
                      <w:r w:rsidR="00EE28ED" w:rsidRPr="00EE28ED">
                        <w:rPr>
                          <w:rFonts w:ascii="Arial" w:hAnsi="Arial" w:cs="Arial"/>
                          <w:vertAlign w:val="superscript"/>
                        </w:rPr>
                        <w:t>†</w:t>
                      </w:r>
                      <w:r w:rsidR="00EE28ED">
                        <w:rPr>
                          <w:rFonts w:ascii="Arial" w:hAnsi="Arial" w:cs="Arial"/>
                        </w:rPr>
                        <w:t xml:space="preserve">As of May 2022, this variant was classified as Conflicting Interpretations of Pathogenicity.  </w:t>
                      </w:r>
                    </w:p>
                  </w:txbxContent>
                </v:textbox>
              </v:shape>
            </w:pict>
          </mc:Fallback>
        </mc:AlternateContent>
      </w:r>
    </w:p>
    <w:p w14:paraId="1394878B" w14:textId="063B9989" w:rsidR="00B007AE" w:rsidRDefault="00B007AE">
      <w:pPr>
        <w:rPr>
          <w:sz w:val="12"/>
          <w:szCs w:val="12"/>
        </w:rPr>
      </w:pPr>
    </w:p>
    <w:p w14:paraId="24F23040" w14:textId="2AB9B7DA" w:rsidR="0043670C" w:rsidRDefault="0043670C">
      <w:pPr>
        <w:rPr>
          <w:sz w:val="12"/>
          <w:szCs w:val="12"/>
        </w:rPr>
      </w:pPr>
    </w:p>
    <w:p w14:paraId="10859EDB" w14:textId="77777777" w:rsidR="00EE28ED" w:rsidRDefault="00EE28ED">
      <w:pPr>
        <w:rPr>
          <w:sz w:val="12"/>
          <w:szCs w:val="12"/>
        </w:rPr>
      </w:pPr>
    </w:p>
    <w:p w14:paraId="31CEFAF1" w14:textId="35B58A41" w:rsidR="00B007AE" w:rsidRDefault="00276B90">
      <w:pPr>
        <w:rPr>
          <w:sz w:val="12"/>
          <w:szCs w:val="12"/>
        </w:rPr>
      </w:pPr>
      <w:r>
        <w:rPr>
          <w:sz w:val="12"/>
          <w:szCs w:val="12"/>
        </w:rPr>
        <w:t xml:space="preserve">The exact transcript versions that </w:t>
      </w:r>
      <w:r w:rsidR="00700227">
        <w:rPr>
          <w:sz w:val="12"/>
          <w:szCs w:val="12"/>
        </w:rPr>
        <w:t>we</w:t>
      </w:r>
      <w:r>
        <w:rPr>
          <w:sz w:val="12"/>
          <w:szCs w:val="12"/>
        </w:rPr>
        <w:t xml:space="preserve"> used for the HGVS</w:t>
      </w:r>
      <w:r w:rsidR="00700227">
        <w:rPr>
          <w:sz w:val="12"/>
          <w:szCs w:val="12"/>
        </w:rPr>
        <w:t xml:space="preserve"> notation</w:t>
      </w:r>
      <w:r>
        <w:rPr>
          <w:sz w:val="12"/>
          <w:szCs w:val="12"/>
        </w:rPr>
        <w:t xml:space="preserve"> in the above </w:t>
      </w:r>
      <w:proofErr w:type="gramStart"/>
      <w:r>
        <w:rPr>
          <w:sz w:val="12"/>
          <w:szCs w:val="12"/>
        </w:rPr>
        <w:t>genes</w:t>
      </w:r>
      <w:proofErr w:type="gramEnd"/>
    </w:p>
    <w:p w14:paraId="00403D98" w14:textId="2D360E1D" w:rsidR="00B007AE" w:rsidRDefault="00B007AE">
      <w:pPr>
        <w:rPr>
          <w:sz w:val="12"/>
          <w:szCs w:val="12"/>
        </w:rPr>
      </w:pPr>
      <w:r>
        <w:rPr>
          <w:sz w:val="12"/>
          <w:szCs w:val="12"/>
        </w:rPr>
        <w:t xml:space="preserve">SLC22A5: </w:t>
      </w:r>
      <w:r w:rsidRPr="00B007AE">
        <w:rPr>
          <w:sz w:val="12"/>
          <w:szCs w:val="12"/>
        </w:rPr>
        <w:t>NM_001308122.2</w:t>
      </w:r>
      <w:r>
        <w:rPr>
          <w:sz w:val="12"/>
          <w:szCs w:val="12"/>
        </w:rPr>
        <w:t xml:space="preserve">, </w:t>
      </w:r>
      <w:r w:rsidRPr="00B007AE">
        <w:rPr>
          <w:sz w:val="12"/>
          <w:szCs w:val="12"/>
        </w:rPr>
        <w:t>NP_001295051.1</w:t>
      </w:r>
    </w:p>
    <w:p w14:paraId="0DC82995" w14:textId="1C310733" w:rsidR="00B007AE" w:rsidRDefault="00B007AE">
      <w:pPr>
        <w:rPr>
          <w:sz w:val="12"/>
          <w:szCs w:val="12"/>
        </w:rPr>
      </w:pPr>
      <w:r>
        <w:rPr>
          <w:sz w:val="12"/>
          <w:szCs w:val="12"/>
        </w:rPr>
        <w:t xml:space="preserve">MMUT: </w:t>
      </w:r>
      <w:r w:rsidRPr="00B007AE">
        <w:rPr>
          <w:sz w:val="12"/>
          <w:szCs w:val="12"/>
        </w:rPr>
        <w:t>NM_000255.4</w:t>
      </w:r>
      <w:r>
        <w:rPr>
          <w:sz w:val="12"/>
          <w:szCs w:val="12"/>
        </w:rPr>
        <w:t xml:space="preserve">, </w:t>
      </w:r>
      <w:r w:rsidRPr="00B007AE">
        <w:rPr>
          <w:sz w:val="12"/>
          <w:szCs w:val="12"/>
        </w:rPr>
        <w:t>NP_000246.2</w:t>
      </w:r>
    </w:p>
    <w:p w14:paraId="1FEDFD74" w14:textId="69D7B062" w:rsidR="00276B90" w:rsidRDefault="00276B90">
      <w:pPr>
        <w:rPr>
          <w:sz w:val="12"/>
          <w:szCs w:val="12"/>
        </w:rPr>
      </w:pPr>
      <w:r>
        <w:rPr>
          <w:sz w:val="12"/>
          <w:szCs w:val="12"/>
        </w:rPr>
        <w:t xml:space="preserve">ASS1: </w:t>
      </w:r>
      <w:r w:rsidRPr="00276B90">
        <w:rPr>
          <w:sz w:val="12"/>
          <w:szCs w:val="12"/>
        </w:rPr>
        <w:t>NM_000050.4</w:t>
      </w:r>
      <w:r>
        <w:rPr>
          <w:sz w:val="12"/>
          <w:szCs w:val="12"/>
        </w:rPr>
        <w:t xml:space="preserve">, </w:t>
      </w:r>
      <w:r w:rsidRPr="00276B90">
        <w:rPr>
          <w:sz w:val="12"/>
          <w:szCs w:val="12"/>
        </w:rPr>
        <w:t>NP_000041.2</w:t>
      </w:r>
    </w:p>
    <w:p w14:paraId="3774E3CE" w14:textId="6DD54C9A" w:rsidR="00B007AE" w:rsidRDefault="00276B90">
      <w:pPr>
        <w:rPr>
          <w:sz w:val="12"/>
          <w:szCs w:val="12"/>
        </w:rPr>
      </w:pPr>
      <w:r>
        <w:rPr>
          <w:sz w:val="12"/>
          <w:szCs w:val="12"/>
        </w:rPr>
        <w:t xml:space="preserve">MMAB: </w:t>
      </w:r>
      <w:r w:rsidR="00867CDD" w:rsidRPr="00867CDD">
        <w:rPr>
          <w:sz w:val="12"/>
          <w:szCs w:val="12"/>
        </w:rPr>
        <w:t>NM_052845.4</w:t>
      </w:r>
      <w:r w:rsidR="00867CDD">
        <w:rPr>
          <w:sz w:val="12"/>
          <w:szCs w:val="12"/>
        </w:rPr>
        <w:t xml:space="preserve">, </w:t>
      </w:r>
      <w:r w:rsidR="00867CDD" w:rsidRPr="00867CDD">
        <w:rPr>
          <w:sz w:val="12"/>
          <w:szCs w:val="12"/>
        </w:rPr>
        <w:t>NP_443077.1</w:t>
      </w:r>
    </w:p>
    <w:p w14:paraId="2AE8B0C0" w14:textId="1BDEA341" w:rsidR="00867CDD" w:rsidRDefault="00867CDD">
      <w:pPr>
        <w:rPr>
          <w:sz w:val="12"/>
          <w:szCs w:val="12"/>
        </w:rPr>
      </w:pPr>
      <w:r>
        <w:rPr>
          <w:sz w:val="12"/>
          <w:szCs w:val="12"/>
        </w:rPr>
        <w:t xml:space="preserve">ACADS: </w:t>
      </w:r>
      <w:r w:rsidRPr="00867CDD">
        <w:rPr>
          <w:sz w:val="12"/>
          <w:szCs w:val="12"/>
        </w:rPr>
        <w:t>NM_000017.4</w:t>
      </w:r>
      <w:r>
        <w:rPr>
          <w:sz w:val="12"/>
          <w:szCs w:val="12"/>
        </w:rPr>
        <w:t xml:space="preserve">, </w:t>
      </w:r>
      <w:r w:rsidRPr="00867CDD">
        <w:rPr>
          <w:sz w:val="12"/>
          <w:szCs w:val="12"/>
        </w:rPr>
        <w:t>NP_000008.1</w:t>
      </w:r>
    </w:p>
    <w:p w14:paraId="7D5C72E5" w14:textId="5BC5D226" w:rsidR="00B007AE" w:rsidRDefault="00867CDD">
      <w:pPr>
        <w:rPr>
          <w:sz w:val="12"/>
          <w:szCs w:val="12"/>
        </w:rPr>
      </w:pPr>
      <w:r>
        <w:rPr>
          <w:sz w:val="12"/>
          <w:szCs w:val="12"/>
        </w:rPr>
        <w:t xml:space="preserve">PRODH: </w:t>
      </w:r>
      <w:r w:rsidRPr="00867CDD">
        <w:rPr>
          <w:sz w:val="12"/>
          <w:szCs w:val="12"/>
        </w:rPr>
        <w:t>NM_016335.6</w:t>
      </w:r>
      <w:r>
        <w:rPr>
          <w:sz w:val="12"/>
          <w:szCs w:val="12"/>
        </w:rPr>
        <w:t xml:space="preserve">,  </w:t>
      </w:r>
      <w:r w:rsidRPr="00867CDD">
        <w:rPr>
          <w:sz w:val="12"/>
          <w:szCs w:val="12"/>
        </w:rPr>
        <w:t>NP_057419.5</w:t>
      </w:r>
    </w:p>
    <w:p w14:paraId="4F1BD38C" w14:textId="4E157C7B" w:rsidR="00867CDD" w:rsidRDefault="001A51E3">
      <w:pPr>
        <w:rPr>
          <w:sz w:val="12"/>
          <w:szCs w:val="12"/>
        </w:rPr>
      </w:pPr>
      <w:r>
        <w:rPr>
          <w:sz w:val="12"/>
          <w:szCs w:val="12"/>
        </w:rPr>
        <w:t xml:space="preserve">OTC: </w:t>
      </w:r>
      <w:r w:rsidRPr="001A51E3">
        <w:rPr>
          <w:sz w:val="12"/>
          <w:szCs w:val="12"/>
        </w:rPr>
        <w:t>NM_000531.6</w:t>
      </w:r>
      <w:r>
        <w:rPr>
          <w:sz w:val="12"/>
          <w:szCs w:val="12"/>
        </w:rPr>
        <w:t xml:space="preserve">, </w:t>
      </w:r>
      <w:r w:rsidRPr="001A51E3">
        <w:rPr>
          <w:sz w:val="12"/>
          <w:szCs w:val="12"/>
        </w:rPr>
        <w:t>NP_000522.3</w:t>
      </w:r>
    </w:p>
    <w:p w14:paraId="5CE4DDBE" w14:textId="531BA920" w:rsidR="00B007AE" w:rsidRDefault="00B007AE">
      <w:pPr>
        <w:rPr>
          <w:sz w:val="12"/>
          <w:szCs w:val="12"/>
        </w:rPr>
      </w:pPr>
    </w:p>
    <w:p w14:paraId="67340810" w14:textId="52264D0A" w:rsidR="00B007AE" w:rsidRDefault="00B007AE">
      <w:pPr>
        <w:rPr>
          <w:sz w:val="12"/>
          <w:szCs w:val="12"/>
        </w:rPr>
      </w:pPr>
    </w:p>
    <w:p w14:paraId="226662CF" w14:textId="4CE9616F" w:rsidR="00B007AE" w:rsidRDefault="00B007AE">
      <w:pPr>
        <w:rPr>
          <w:sz w:val="12"/>
          <w:szCs w:val="12"/>
        </w:rPr>
      </w:pPr>
    </w:p>
    <w:p w14:paraId="304BCF0B" w14:textId="77777777" w:rsidR="00B007AE" w:rsidRPr="00DA09A4" w:rsidRDefault="00B007AE">
      <w:pPr>
        <w:rPr>
          <w:sz w:val="12"/>
          <w:szCs w:val="12"/>
        </w:rPr>
      </w:pPr>
    </w:p>
    <w:sectPr w:rsidR="00B007AE" w:rsidRPr="00DA09A4" w:rsidSect="007D26F9">
      <w:pgSz w:w="15840" w:h="12240" w:orient="landscape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9A"/>
    <w:rsid w:val="0008031E"/>
    <w:rsid w:val="00162A77"/>
    <w:rsid w:val="001A51E3"/>
    <w:rsid w:val="001C4357"/>
    <w:rsid w:val="00276B90"/>
    <w:rsid w:val="003366B1"/>
    <w:rsid w:val="0037275A"/>
    <w:rsid w:val="00386955"/>
    <w:rsid w:val="0043670C"/>
    <w:rsid w:val="004374BD"/>
    <w:rsid w:val="0047029A"/>
    <w:rsid w:val="005212CD"/>
    <w:rsid w:val="00540557"/>
    <w:rsid w:val="005A0E8B"/>
    <w:rsid w:val="006A6AFF"/>
    <w:rsid w:val="006B0DBC"/>
    <w:rsid w:val="006E607A"/>
    <w:rsid w:val="00700227"/>
    <w:rsid w:val="00727068"/>
    <w:rsid w:val="00753C13"/>
    <w:rsid w:val="007D26F9"/>
    <w:rsid w:val="007D6613"/>
    <w:rsid w:val="00867CDD"/>
    <w:rsid w:val="00922C13"/>
    <w:rsid w:val="00A448EB"/>
    <w:rsid w:val="00A767F4"/>
    <w:rsid w:val="00B007AE"/>
    <w:rsid w:val="00C6266E"/>
    <w:rsid w:val="00DA09A4"/>
    <w:rsid w:val="00E02985"/>
    <w:rsid w:val="00EE28ED"/>
    <w:rsid w:val="00EF4BBC"/>
    <w:rsid w:val="00FB7A70"/>
    <w:rsid w:val="00FE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44455"/>
  <w15:chartTrackingRefBased/>
  <w15:docId w15:val="{FF45C5FD-EEF7-48B9-88A6-336CFC732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4">
    <w:name w:val="Plain Table 4"/>
    <w:basedOn w:val="TableNormal"/>
    <w:uiPriority w:val="44"/>
    <w:rsid w:val="0047029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Sharo</dc:creator>
  <cp:keywords/>
  <dc:description/>
  <cp:lastModifiedBy>Andrew G Sharo</cp:lastModifiedBy>
  <cp:revision>2</cp:revision>
  <cp:lastPrinted>2021-12-08T22:02:00Z</cp:lastPrinted>
  <dcterms:created xsi:type="dcterms:W3CDTF">2023-02-15T22:13:00Z</dcterms:created>
  <dcterms:modified xsi:type="dcterms:W3CDTF">2023-02-15T22:13:00Z</dcterms:modified>
</cp:coreProperties>
</file>