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36270" w14:textId="295AC47D" w:rsidR="00B10A34" w:rsidRDefault="006C1B78">
      <w:pPr>
        <w:rPr>
          <w:rFonts w:ascii="Times New Roman" w:hAnsi="Times New Roman" w:cs="Times New Roman"/>
          <w:b/>
          <w:bCs/>
          <w:noProof/>
        </w:rPr>
      </w:pPr>
      <w:r>
        <w:rPr>
          <w:rFonts w:ascii="Times New Roman" w:hAnsi="Times New Roman" w:cs="Times New Roman"/>
          <w:b/>
          <w:bCs/>
          <w:noProof/>
        </w:rPr>
        <w:drawing>
          <wp:inline distT="0" distB="0" distL="0" distR="0" wp14:anchorId="1A30C173" wp14:editId="425D665F">
            <wp:extent cx="5943600" cy="6702425"/>
            <wp:effectExtent l="0" t="0" r="0" b="3175"/>
            <wp:docPr id="990965419" name="Picture 10"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65419" name="Picture 10" descr="A collage of graphs and diagram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6702425"/>
                    </a:xfrm>
                    <a:prstGeom prst="rect">
                      <a:avLst/>
                    </a:prstGeom>
                  </pic:spPr>
                </pic:pic>
              </a:graphicData>
            </a:graphic>
          </wp:inline>
        </w:drawing>
      </w:r>
    </w:p>
    <w:p w14:paraId="2DF165C5" w14:textId="77777777" w:rsidR="00B10A34" w:rsidRPr="00B10A34" w:rsidRDefault="00B10A34" w:rsidP="00F068DE">
      <w:pPr>
        <w:pStyle w:val="Heading3"/>
        <w:spacing w:line="480" w:lineRule="auto"/>
        <w:jc w:val="both"/>
        <w:rPr>
          <w:rFonts w:ascii="Times New Roman" w:eastAsiaTheme="minorEastAsia" w:hAnsi="Times New Roman" w:cs="Times New Roman"/>
          <w:b/>
          <w:bCs/>
          <w:color w:val="auto"/>
          <w:sz w:val="24"/>
          <w:szCs w:val="24"/>
        </w:rPr>
      </w:pPr>
      <w:r w:rsidRPr="00B10A34">
        <w:rPr>
          <w:rFonts w:ascii="Times New Roman" w:eastAsiaTheme="minorEastAsia" w:hAnsi="Times New Roman" w:cs="Times New Roman"/>
          <w:b/>
          <w:bCs/>
          <w:color w:val="auto"/>
          <w:sz w:val="24"/>
          <w:szCs w:val="24"/>
        </w:rPr>
        <w:t>Fig</w:t>
      </w:r>
      <w:r w:rsidRPr="00B10A34">
        <w:rPr>
          <w:rFonts w:ascii="Times New Roman" w:eastAsiaTheme="minorEastAsia" w:hAnsi="Times New Roman" w:cs="Times New Roman" w:hint="eastAsia"/>
          <w:b/>
          <w:bCs/>
          <w:color w:val="auto"/>
          <w:sz w:val="24"/>
          <w:szCs w:val="24"/>
        </w:rPr>
        <w:t>.</w:t>
      </w:r>
      <w:r w:rsidRPr="00B10A34">
        <w:rPr>
          <w:rFonts w:ascii="Times New Roman" w:eastAsiaTheme="minorEastAsia" w:hAnsi="Times New Roman" w:cs="Times New Roman"/>
          <w:b/>
          <w:bCs/>
          <w:color w:val="auto"/>
          <w:sz w:val="24"/>
          <w:szCs w:val="24"/>
        </w:rPr>
        <w:t xml:space="preserve"> S1. An overview of </w:t>
      </w:r>
      <w:proofErr w:type="gramStart"/>
      <w:r w:rsidRPr="00B10A34">
        <w:rPr>
          <w:rFonts w:ascii="Times New Roman" w:eastAsiaTheme="minorEastAsia" w:hAnsi="Times New Roman" w:cs="Times New Roman"/>
          <w:b/>
          <w:bCs/>
          <w:color w:val="auto"/>
          <w:sz w:val="24"/>
          <w:szCs w:val="24"/>
        </w:rPr>
        <w:t>single-cell</w:t>
      </w:r>
      <w:proofErr w:type="gramEnd"/>
      <w:r w:rsidRPr="00B10A34">
        <w:rPr>
          <w:rFonts w:ascii="Times New Roman" w:eastAsiaTheme="minorEastAsia" w:hAnsi="Times New Roman" w:cs="Times New Roman"/>
          <w:b/>
          <w:bCs/>
          <w:color w:val="auto"/>
          <w:sz w:val="24"/>
          <w:szCs w:val="24"/>
        </w:rPr>
        <w:t xml:space="preserve"> sequencing information.</w:t>
      </w:r>
    </w:p>
    <w:p w14:paraId="20DA108F" w14:textId="77777777" w:rsidR="00B10A34" w:rsidRPr="001C1380" w:rsidRDefault="00B10A34" w:rsidP="00F068DE">
      <w:pPr>
        <w:spacing w:line="480" w:lineRule="auto"/>
        <w:jc w:val="both"/>
        <w:rPr>
          <w:rFonts w:ascii="Times New Roman" w:hAnsi="Times New Roman" w:cs="Times New Roman"/>
        </w:rPr>
      </w:pPr>
      <w:r w:rsidRPr="001C1380">
        <w:rPr>
          <w:rFonts w:ascii="Times New Roman" w:hAnsi="Times New Roman" w:cs="Times New Roman" w:hint="eastAsia"/>
        </w:rPr>
        <w:t>(</w:t>
      </w:r>
      <w:r w:rsidRPr="001C1380">
        <w:rPr>
          <w:rFonts w:ascii="Times New Roman" w:hAnsi="Times New Roman" w:cs="Times New Roman"/>
          <w:b/>
          <w:bCs/>
        </w:rPr>
        <w:t>A</w:t>
      </w:r>
      <w:r w:rsidRPr="001C1380">
        <w:rPr>
          <w:rFonts w:ascii="Times New Roman" w:hAnsi="Times New Roman" w:cs="Times New Roman"/>
        </w:rPr>
        <w:t>) Sample availability for each patient. The pathological response of each patient to neoadjuvant anti-PD-1 combination therapy was pathologically examined and categorized into three categories: pathological complete response (</w:t>
      </w:r>
      <w:proofErr w:type="spellStart"/>
      <w:r w:rsidRPr="001C1380">
        <w:rPr>
          <w:rFonts w:ascii="Times New Roman" w:hAnsi="Times New Roman" w:cs="Times New Roman"/>
        </w:rPr>
        <w:t>pCR</w:t>
      </w:r>
      <w:proofErr w:type="spellEnd"/>
      <w:r w:rsidRPr="001C1380">
        <w:rPr>
          <w:rFonts w:ascii="Times New Roman" w:hAnsi="Times New Roman" w:cs="Times New Roman"/>
        </w:rPr>
        <w:t xml:space="preserve">, green), major pathological response (MPR, orange), and </w:t>
      </w:r>
      <w:r w:rsidRPr="001C1380">
        <w:rPr>
          <w:rFonts w:ascii="Times New Roman" w:hAnsi="Times New Roman" w:cs="Times New Roman"/>
        </w:rPr>
        <w:lastRenderedPageBreak/>
        <w:t xml:space="preserve">incomplete pathological response (IPR, pink). The pathological response status of four patients (maroon) was unknown due to surgery cancellations. Samples with insufficient cells after single-cell dissociation (turquoise) were excluded from </w:t>
      </w:r>
      <w:proofErr w:type="spellStart"/>
      <w:r w:rsidRPr="001C1380">
        <w:rPr>
          <w:rFonts w:ascii="Times New Roman" w:hAnsi="Times New Roman" w:cs="Times New Roman"/>
        </w:rPr>
        <w:t>scRNA</w:t>
      </w:r>
      <w:proofErr w:type="spellEnd"/>
      <w:r w:rsidRPr="001C1380">
        <w:rPr>
          <w:rFonts w:ascii="Times New Roman" w:hAnsi="Times New Roman" w:cs="Times New Roman"/>
        </w:rPr>
        <w:t>-seq. Only samples that passed the quality control (QC, steel blue) were subjected to subgroup analysis to determine the relationship between single-cell transcriptional profiles and pathological response. (</w:t>
      </w:r>
      <w:r w:rsidRPr="001C1380">
        <w:rPr>
          <w:rFonts w:ascii="Times New Roman" w:hAnsi="Times New Roman" w:cs="Times New Roman"/>
          <w:b/>
          <w:bCs/>
        </w:rPr>
        <w:t>B</w:t>
      </w:r>
      <w:r w:rsidRPr="001C1380">
        <w:rPr>
          <w:rFonts w:ascii="Times New Roman" w:hAnsi="Times New Roman" w:cs="Times New Roman"/>
        </w:rPr>
        <w:t xml:space="preserve">) Diagrams showing the quality control data of </w:t>
      </w:r>
      <w:proofErr w:type="spellStart"/>
      <w:r w:rsidRPr="001C1380">
        <w:rPr>
          <w:rFonts w:ascii="Times New Roman" w:hAnsi="Times New Roman" w:cs="Times New Roman"/>
        </w:rPr>
        <w:t>scRNA</w:t>
      </w:r>
      <w:proofErr w:type="spellEnd"/>
      <w:r w:rsidRPr="001C1380">
        <w:rPr>
          <w:rFonts w:ascii="Times New Roman" w:hAnsi="Times New Roman" w:cs="Times New Roman"/>
        </w:rPr>
        <w:t>-seq analysis, including the number of genes per cell (</w:t>
      </w:r>
      <w:proofErr w:type="spellStart"/>
      <w:r w:rsidRPr="001C1380">
        <w:rPr>
          <w:rFonts w:ascii="Times New Roman" w:hAnsi="Times New Roman" w:cs="Times New Roman"/>
        </w:rPr>
        <w:t>nGene</w:t>
      </w:r>
      <w:proofErr w:type="spellEnd"/>
      <w:r w:rsidRPr="001C1380">
        <w:rPr>
          <w:rFonts w:ascii="Times New Roman" w:hAnsi="Times New Roman" w:cs="Times New Roman"/>
        </w:rPr>
        <w:t>), the number of UMIs per cell (</w:t>
      </w:r>
      <w:proofErr w:type="spellStart"/>
      <w:r w:rsidRPr="001C1380">
        <w:rPr>
          <w:rFonts w:ascii="Times New Roman" w:hAnsi="Times New Roman" w:cs="Times New Roman"/>
        </w:rPr>
        <w:t>nUMI</w:t>
      </w:r>
      <w:proofErr w:type="spellEnd"/>
      <w:r w:rsidRPr="001C1380">
        <w:rPr>
          <w:rFonts w:ascii="Times New Roman" w:hAnsi="Times New Roman" w:cs="Times New Roman"/>
        </w:rPr>
        <w:t>), the mitochondrial ratio (</w:t>
      </w:r>
      <w:proofErr w:type="spellStart"/>
      <w:r w:rsidRPr="001C1380">
        <w:rPr>
          <w:rFonts w:ascii="Times New Roman" w:hAnsi="Times New Roman" w:cs="Times New Roman"/>
        </w:rPr>
        <w:t>mitoRatio</w:t>
      </w:r>
      <w:proofErr w:type="spellEnd"/>
      <w:r w:rsidRPr="001C1380">
        <w:rPr>
          <w:rFonts w:ascii="Times New Roman" w:hAnsi="Times New Roman" w:cs="Times New Roman"/>
        </w:rPr>
        <w:t>), and the interplay between these three metrics. (</w:t>
      </w:r>
      <w:r w:rsidRPr="001C1380">
        <w:rPr>
          <w:rFonts w:ascii="Times New Roman" w:hAnsi="Times New Roman" w:cs="Times New Roman"/>
          <w:b/>
          <w:bCs/>
        </w:rPr>
        <w:t>C, D</w:t>
      </w:r>
      <w:r w:rsidRPr="001C1380">
        <w:rPr>
          <w:rFonts w:ascii="Times New Roman" w:hAnsi="Times New Roman" w:cs="Times New Roman"/>
        </w:rPr>
        <w:t>) Box plots show the number of each cell cluster by the patient (C) and sample (D), respectively. (</w:t>
      </w:r>
      <w:r w:rsidRPr="001C1380">
        <w:rPr>
          <w:rFonts w:ascii="Times New Roman" w:hAnsi="Times New Roman" w:cs="Times New Roman"/>
          <w:b/>
          <w:bCs/>
        </w:rPr>
        <w:t>E</w:t>
      </w:r>
      <w:r w:rsidRPr="001C1380">
        <w:rPr>
          <w:rFonts w:ascii="Times New Roman" w:hAnsi="Times New Roman" w:cs="Times New Roman"/>
        </w:rPr>
        <w:t>) UMAP embedding of epithelial cells overlaid with clustered cell type annotations. (</w:t>
      </w:r>
      <w:r w:rsidRPr="001C1380">
        <w:rPr>
          <w:rFonts w:ascii="Times New Roman" w:hAnsi="Times New Roman" w:cs="Times New Roman"/>
          <w:b/>
          <w:bCs/>
        </w:rPr>
        <w:t>F</w:t>
      </w:r>
      <w:r w:rsidRPr="001C1380">
        <w:rPr>
          <w:rFonts w:ascii="Times New Roman" w:hAnsi="Times New Roman" w:cs="Times New Roman"/>
        </w:rPr>
        <w:t>) Average expression profile of canonical marker genes to separate epithelial cell subtypes. (</w:t>
      </w:r>
      <w:r w:rsidRPr="001C1380">
        <w:rPr>
          <w:rFonts w:ascii="Times New Roman" w:hAnsi="Times New Roman" w:cs="Times New Roman"/>
          <w:b/>
          <w:bCs/>
        </w:rPr>
        <w:t>G</w:t>
      </w:r>
      <w:r w:rsidRPr="001C1380">
        <w:rPr>
          <w:rFonts w:ascii="Times New Roman" w:hAnsi="Times New Roman" w:cs="Times New Roman"/>
        </w:rPr>
        <w:t>) The proportion of epithelial cell subsets in 12 patient subgroups. (</w:t>
      </w:r>
      <w:r w:rsidRPr="001C1380">
        <w:rPr>
          <w:rFonts w:ascii="Times New Roman" w:hAnsi="Times New Roman" w:cs="Times New Roman"/>
          <w:b/>
          <w:bCs/>
        </w:rPr>
        <w:t>H</w:t>
      </w:r>
      <w:r w:rsidRPr="001C1380">
        <w:rPr>
          <w:rFonts w:ascii="Times New Roman" w:hAnsi="Times New Roman" w:cs="Times New Roman"/>
        </w:rPr>
        <w:t xml:space="preserve">) Bar plots illustrating the cell number count of immune cells, including B cells, mast cells, MP cells, plasma cells, and T cells, across all 22 patients. </w:t>
      </w:r>
    </w:p>
    <w:p w14:paraId="46E3D865" w14:textId="0AC60B1A" w:rsidR="00B10A34" w:rsidRDefault="00B10A34" w:rsidP="00F068DE">
      <w:pPr>
        <w:jc w:val="both"/>
        <w:rPr>
          <w:rFonts w:ascii="Times New Roman" w:hAnsi="Times New Roman" w:cs="Times New Roman"/>
        </w:rPr>
      </w:pPr>
      <w:r>
        <w:rPr>
          <w:rFonts w:ascii="Times New Roman" w:hAnsi="Times New Roman" w:cs="Times New Roman"/>
        </w:rPr>
        <w:br w:type="page"/>
      </w:r>
    </w:p>
    <w:p w14:paraId="1A4146F1" w14:textId="20E863F8" w:rsidR="00812D26" w:rsidRDefault="002B63CF">
      <w:pPr>
        <w:rPr>
          <w:rFonts w:ascii="Times New Roman" w:hAnsi="Times New Roman" w:cs="Times New Roman"/>
        </w:rPr>
      </w:pPr>
      <w:r>
        <w:rPr>
          <w:rFonts w:ascii="Times New Roman" w:hAnsi="Times New Roman" w:cs="Times New Roman"/>
          <w:noProof/>
        </w:rPr>
        <w:lastRenderedPageBreak/>
        <w:drawing>
          <wp:inline distT="0" distB="0" distL="0" distR="0" wp14:anchorId="29156EE9" wp14:editId="18582289">
            <wp:extent cx="5598795" cy="8229600"/>
            <wp:effectExtent l="0" t="0" r="1905" b="0"/>
            <wp:docPr id="1214997566"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97566" name="Picture 7" descr="A screenshot of a computer scree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98795" cy="8229600"/>
                    </a:xfrm>
                    <a:prstGeom prst="rect">
                      <a:avLst/>
                    </a:prstGeom>
                  </pic:spPr>
                </pic:pic>
              </a:graphicData>
            </a:graphic>
          </wp:inline>
        </w:drawing>
      </w:r>
      <w:r w:rsidR="00812D26">
        <w:rPr>
          <w:rFonts w:ascii="Times New Roman" w:hAnsi="Times New Roman" w:cs="Times New Roman"/>
        </w:rPr>
        <w:br w:type="page"/>
      </w:r>
    </w:p>
    <w:p w14:paraId="3B5679C3" w14:textId="43367BC9" w:rsidR="002B63CF" w:rsidRDefault="00812D26">
      <w:pPr>
        <w:rPr>
          <w:rFonts w:ascii="Times New Roman" w:hAnsi="Times New Roman" w:cs="Times New Roman"/>
        </w:rPr>
      </w:pPr>
      <w:r>
        <w:rPr>
          <w:rFonts w:ascii="Times New Roman" w:hAnsi="Times New Roman" w:cs="Times New Roman"/>
          <w:noProof/>
        </w:rPr>
        <w:lastRenderedPageBreak/>
        <w:drawing>
          <wp:inline distT="0" distB="0" distL="0" distR="0" wp14:anchorId="1C3793C8" wp14:editId="5DC2847D">
            <wp:extent cx="5943600" cy="7946390"/>
            <wp:effectExtent l="0" t="0" r="0" b="0"/>
            <wp:docPr id="761105679"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05679" name="Picture 6" descr="A screenshot of a computer scree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946390"/>
                    </a:xfrm>
                    <a:prstGeom prst="rect">
                      <a:avLst/>
                    </a:prstGeom>
                  </pic:spPr>
                </pic:pic>
              </a:graphicData>
            </a:graphic>
          </wp:inline>
        </w:drawing>
      </w:r>
      <w:r w:rsidR="002B63CF">
        <w:rPr>
          <w:rFonts w:ascii="Times New Roman" w:hAnsi="Times New Roman" w:cs="Times New Roman"/>
        </w:rPr>
        <w:br w:type="page"/>
      </w:r>
    </w:p>
    <w:p w14:paraId="6B19699E" w14:textId="4FC7F302" w:rsidR="002B63CF" w:rsidRDefault="00812D26" w:rsidP="00B10A34">
      <w:pPr>
        <w:rPr>
          <w:rFonts w:ascii="Times New Roman" w:hAnsi="Times New Roman" w:cs="Times New Roman"/>
        </w:rPr>
      </w:pPr>
      <w:r>
        <w:rPr>
          <w:rFonts w:ascii="Times New Roman" w:hAnsi="Times New Roman" w:cs="Times New Roman"/>
          <w:noProof/>
        </w:rPr>
        <w:lastRenderedPageBreak/>
        <w:drawing>
          <wp:inline distT="0" distB="0" distL="0" distR="0" wp14:anchorId="44C285EB" wp14:editId="79FC43D0">
            <wp:extent cx="5943600" cy="5811520"/>
            <wp:effectExtent l="0" t="0" r="0" b="0"/>
            <wp:docPr id="56023513"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3513" name="Picture 7" descr="A screenshot of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811520"/>
                    </a:xfrm>
                    <a:prstGeom prst="rect">
                      <a:avLst/>
                    </a:prstGeom>
                  </pic:spPr>
                </pic:pic>
              </a:graphicData>
            </a:graphic>
          </wp:inline>
        </w:drawing>
      </w:r>
    </w:p>
    <w:p w14:paraId="4CA4A44A" w14:textId="77777777" w:rsidR="00B10A34" w:rsidRPr="00B10A34" w:rsidRDefault="00B10A34" w:rsidP="00F068DE">
      <w:pPr>
        <w:pStyle w:val="Heading3"/>
        <w:spacing w:line="480" w:lineRule="auto"/>
        <w:jc w:val="both"/>
        <w:rPr>
          <w:rFonts w:ascii="Times New Roman" w:eastAsiaTheme="minorEastAsia" w:hAnsi="Times New Roman" w:cs="Times New Roman"/>
          <w:b/>
          <w:bCs/>
          <w:color w:val="auto"/>
          <w:sz w:val="24"/>
          <w:szCs w:val="24"/>
        </w:rPr>
      </w:pPr>
      <w:r w:rsidRPr="00B10A34">
        <w:rPr>
          <w:rFonts w:ascii="Times New Roman" w:eastAsiaTheme="minorEastAsia" w:hAnsi="Times New Roman" w:cs="Times New Roman"/>
          <w:b/>
          <w:bCs/>
          <w:color w:val="auto"/>
          <w:sz w:val="24"/>
          <w:szCs w:val="24"/>
        </w:rPr>
        <w:t>Fig</w:t>
      </w:r>
      <w:r w:rsidRPr="00B10A34">
        <w:rPr>
          <w:rFonts w:ascii="Times New Roman" w:eastAsiaTheme="minorEastAsia" w:hAnsi="Times New Roman" w:cs="Times New Roman" w:hint="eastAsia"/>
          <w:b/>
          <w:bCs/>
          <w:color w:val="auto"/>
          <w:sz w:val="24"/>
          <w:szCs w:val="24"/>
        </w:rPr>
        <w:t>.</w:t>
      </w:r>
      <w:r w:rsidRPr="00B10A34">
        <w:rPr>
          <w:rFonts w:ascii="Times New Roman" w:eastAsiaTheme="minorEastAsia" w:hAnsi="Times New Roman" w:cs="Times New Roman"/>
          <w:b/>
          <w:bCs/>
          <w:color w:val="auto"/>
          <w:sz w:val="24"/>
          <w:szCs w:val="24"/>
        </w:rPr>
        <w:t xml:space="preserve"> S2. Cancer cell differentiation and its association with pathological response to neoadjuvant chemo-immunotherapy.</w:t>
      </w:r>
    </w:p>
    <w:p w14:paraId="633F97C0" w14:textId="77777777" w:rsidR="00B10A34" w:rsidRPr="001C1380" w:rsidRDefault="00B10A34" w:rsidP="00F068DE">
      <w:pPr>
        <w:spacing w:line="480" w:lineRule="auto"/>
        <w:jc w:val="both"/>
        <w:rPr>
          <w:rFonts w:ascii="Times New Roman" w:hAnsi="Times New Roman" w:cs="Times New Roman"/>
        </w:rPr>
      </w:pPr>
      <w:r w:rsidRPr="001C1380">
        <w:rPr>
          <w:rFonts w:ascii="Times New Roman" w:hAnsi="Times New Roman" w:cs="Times New Roman"/>
        </w:rPr>
        <w:t>(</w:t>
      </w:r>
      <w:r w:rsidRPr="001C1380">
        <w:rPr>
          <w:rFonts w:ascii="Times New Roman" w:hAnsi="Times New Roman" w:cs="Times New Roman"/>
          <w:b/>
          <w:bCs/>
        </w:rPr>
        <w:t>A</w:t>
      </w:r>
      <w:r w:rsidRPr="001C1380">
        <w:rPr>
          <w:rFonts w:ascii="Times New Roman" w:hAnsi="Times New Roman" w:cs="Times New Roman"/>
        </w:rPr>
        <w:t>) Violin plots illustrating the expression of canonical marker genes in epithelial cell subsets. (</w:t>
      </w:r>
      <w:r w:rsidRPr="001C1380">
        <w:rPr>
          <w:rFonts w:ascii="Times New Roman" w:hAnsi="Times New Roman" w:cs="Times New Roman"/>
          <w:b/>
          <w:bCs/>
        </w:rPr>
        <w:t>B</w:t>
      </w:r>
      <w:r w:rsidRPr="001C1380">
        <w:rPr>
          <w:rFonts w:ascii="Times New Roman" w:hAnsi="Times New Roman" w:cs="Times New Roman"/>
        </w:rPr>
        <w:t>) Heatmap shows the average expression of copy number variations (CNVs) across chromosomal intervals, using T cells and B cells as references. (</w:t>
      </w:r>
      <w:r w:rsidRPr="001C1380">
        <w:rPr>
          <w:rFonts w:ascii="Times New Roman" w:hAnsi="Times New Roman" w:cs="Times New Roman"/>
          <w:b/>
          <w:bCs/>
        </w:rPr>
        <w:t>C</w:t>
      </w:r>
      <w:r w:rsidRPr="001C1380">
        <w:rPr>
          <w:rFonts w:ascii="Times New Roman" w:hAnsi="Times New Roman" w:cs="Times New Roman"/>
        </w:rPr>
        <w:t>) The box plots show the CNV scores of the 12 cancer clusters classified by unsupervised clustering analysis. (</w:t>
      </w:r>
      <w:r w:rsidRPr="001C1380">
        <w:rPr>
          <w:rFonts w:ascii="Times New Roman" w:hAnsi="Times New Roman" w:cs="Times New Roman"/>
          <w:b/>
          <w:bCs/>
        </w:rPr>
        <w:t>D</w:t>
      </w:r>
      <w:r w:rsidRPr="001C1380">
        <w:rPr>
          <w:rFonts w:ascii="Times New Roman" w:hAnsi="Times New Roman" w:cs="Times New Roman"/>
        </w:rPr>
        <w:t xml:space="preserve">) The box plots show the </w:t>
      </w:r>
      <w:r w:rsidRPr="001C1380">
        <w:rPr>
          <w:rFonts w:ascii="Times New Roman" w:hAnsi="Times New Roman" w:cs="Times New Roman"/>
        </w:rPr>
        <w:lastRenderedPageBreak/>
        <w:t>single-cell entropy (</w:t>
      </w:r>
      <w:proofErr w:type="spellStart"/>
      <w:r w:rsidRPr="001C1380">
        <w:rPr>
          <w:rFonts w:ascii="Times New Roman" w:hAnsi="Times New Roman" w:cs="Times New Roman"/>
        </w:rPr>
        <w:t>scEntropy</w:t>
      </w:r>
      <w:proofErr w:type="spellEnd"/>
      <w:r w:rsidRPr="001C1380">
        <w:rPr>
          <w:rFonts w:ascii="Times New Roman" w:hAnsi="Times New Roman" w:cs="Times New Roman"/>
        </w:rPr>
        <w:t>) across the 12 cancer cell clusters. (</w:t>
      </w:r>
      <w:r w:rsidRPr="001C1380">
        <w:rPr>
          <w:rFonts w:ascii="Times New Roman" w:hAnsi="Times New Roman" w:cs="Times New Roman"/>
          <w:b/>
          <w:bCs/>
        </w:rPr>
        <w:t>E</w:t>
      </w:r>
      <w:r w:rsidRPr="001C1380">
        <w:rPr>
          <w:rFonts w:ascii="Times New Roman" w:hAnsi="Times New Roman" w:cs="Times New Roman"/>
        </w:rPr>
        <w:t xml:space="preserve">) Faceted </w:t>
      </w:r>
      <w:proofErr w:type="spellStart"/>
      <w:r w:rsidRPr="001C1380">
        <w:rPr>
          <w:rFonts w:ascii="Times New Roman" w:hAnsi="Times New Roman" w:cs="Times New Roman"/>
        </w:rPr>
        <w:t>pseudotime</w:t>
      </w:r>
      <w:proofErr w:type="spellEnd"/>
      <w:r w:rsidRPr="001C1380">
        <w:rPr>
          <w:rFonts w:ascii="Times New Roman" w:hAnsi="Times New Roman" w:cs="Times New Roman"/>
        </w:rPr>
        <w:t xml:space="preserve"> trajectories indicate the distribution of each cancer cell cluster in paired groups and individual patients. (</w:t>
      </w:r>
      <w:r w:rsidRPr="001C1380">
        <w:rPr>
          <w:rFonts w:ascii="Times New Roman" w:hAnsi="Times New Roman" w:cs="Times New Roman"/>
          <w:b/>
          <w:bCs/>
        </w:rPr>
        <w:t>F</w:t>
      </w:r>
      <w:r w:rsidRPr="001C1380">
        <w:rPr>
          <w:rFonts w:ascii="Times New Roman" w:hAnsi="Times New Roman" w:cs="Times New Roman"/>
        </w:rPr>
        <w:t>) Dynamic changes in gene expression of cancer cells during the transition. (</w:t>
      </w:r>
      <w:r w:rsidRPr="001C1380">
        <w:rPr>
          <w:rFonts w:ascii="Times New Roman" w:hAnsi="Times New Roman" w:cs="Times New Roman"/>
          <w:b/>
          <w:bCs/>
        </w:rPr>
        <w:t>G</w:t>
      </w:r>
      <w:r w:rsidRPr="001C1380">
        <w:rPr>
          <w:rFonts w:ascii="Times New Roman" w:hAnsi="Times New Roman" w:cs="Times New Roman"/>
        </w:rPr>
        <w:t>) Gene Ontology (GO) enrichment analysis of gene clusters during the transition. The X-axis represents the ratio of mRNAs enriched in GO terms. The Y-axis represents the enriched pathway. The color and size of each bubble represent enrichment significance and the number of related mRNAs enriched in the pathway, respectively. (</w:t>
      </w:r>
      <w:r w:rsidRPr="001C1380">
        <w:rPr>
          <w:rFonts w:ascii="Times New Roman" w:hAnsi="Times New Roman" w:cs="Times New Roman"/>
          <w:b/>
          <w:bCs/>
        </w:rPr>
        <w:t>H</w:t>
      </w:r>
      <w:r w:rsidRPr="001C1380">
        <w:rPr>
          <w:rFonts w:ascii="Times New Roman" w:hAnsi="Times New Roman" w:cs="Times New Roman"/>
        </w:rPr>
        <w:t>) Heatmap shows the Jaccard similarity coefficients between cancer cell clusters identified by unsupervised clustering analysis and gene modules identified by the hotspot analysis. (</w:t>
      </w:r>
      <w:r w:rsidRPr="001C1380">
        <w:rPr>
          <w:rFonts w:ascii="Times New Roman" w:hAnsi="Times New Roman" w:cs="Times New Roman"/>
          <w:b/>
          <w:bCs/>
        </w:rPr>
        <w:t>I</w:t>
      </w:r>
      <w:r w:rsidRPr="001C1380">
        <w:rPr>
          <w:rFonts w:ascii="Times New Roman" w:hAnsi="Times New Roman" w:cs="Times New Roman"/>
        </w:rPr>
        <w:t>) GO pathway enrichment analysis of module 1 showed a significant correlation with cancer 1 based on similarity coefficients. (</w:t>
      </w:r>
      <w:r w:rsidRPr="001C1380">
        <w:rPr>
          <w:rFonts w:ascii="Times New Roman" w:hAnsi="Times New Roman" w:cs="Times New Roman"/>
          <w:b/>
          <w:bCs/>
        </w:rPr>
        <w:t>J</w:t>
      </w:r>
      <w:r w:rsidRPr="001C1380">
        <w:rPr>
          <w:rFonts w:ascii="Times New Roman" w:hAnsi="Times New Roman" w:cs="Times New Roman"/>
        </w:rPr>
        <w:t xml:space="preserve">) GO pathway enrichment analysis of modules 6 and 9 that correspond to clusters 9 and 10 showing great response to neoadjuvant therapy of </w:t>
      </w:r>
      <w:proofErr w:type="spellStart"/>
      <w:r w:rsidRPr="001C1380">
        <w:rPr>
          <w:rFonts w:ascii="Times New Roman" w:hAnsi="Times New Roman" w:cs="Times New Roman"/>
        </w:rPr>
        <w:t>pCR</w:t>
      </w:r>
      <w:proofErr w:type="spellEnd"/>
      <w:r w:rsidRPr="001C1380">
        <w:rPr>
          <w:rFonts w:ascii="Times New Roman" w:hAnsi="Times New Roman" w:cs="Times New Roman"/>
        </w:rPr>
        <w:t xml:space="preserve"> patients. (</w:t>
      </w:r>
      <w:r w:rsidRPr="001C1380">
        <w:rPr>
          <w:rFonts w:ascii="Times New Roman" w:hAnsi="Times New Roman" w:cs="Times New Roman"/>
          <w:b/>
          <w:bCs/>
        </w:rPr>
        <w:t>K</w:t>
      </w:r>
      <w:r w:rsidRPr="001C1380">
        <w:rPr>
          <w:rFonts w:ascii="Times New Roman" w:hAnsi="Times New Roman" w:cs="Times New Roman"/>
        </w:rPr>
        <w:t>) GO pathway enrichment analysis of gene modules that correlated with cancer clusters with significant clinical response in MPR patients. (</w:t>
      </w:r>
      <w:r w:rsidRPr="001C1380">
        <w:rPr>
          <w:rFonts w:ascii="Times New Roman" w:hAnsi="Times New Roman" w:cs="Times New Roman"/>
          <w:b/>
          <w:bCs/>
        </w:rPr>
        <w:t>L</w:t>
      </w:r>
      <w:r w:rsidRPr="001C1380">
        <w:rPr>
          <w:rFonts w:ascii="Times New Roman" w:hAnsi="Times New Roman" w:cs="Times New Roman"/>
        </w:rPr>
        <w:t>) The forest plot demonstrates the relationship between each cancer cell-associated gene module and the overall survival of TCGA-ESCA patients based on the Cox regression model. HR, hazard ratio; CI, confidence interval. (</w:t>
      </w:r>
      <w:r w:rsidRPr="001C1380">
        <w:rPr>
          <w:rFonts w:ascii="Times New Roman" w:hAnsi="Times New Roman" w:cs="Times New Roman"/>
          <w:b/>
          <w:bCs/>
        </w:rPr>
        <w:t>M</w:t>
      </w:r>
      <w:r w:rsidRPr="001C1380">
        <w:rPr>
          <w:rFonts w:ascii="Times New Roman" w:hAnsi="Times New Roman" w:cs="Times New Roman"/>
        </w:rPr>
        <w:t>) Kaplan-Meier curves showing the overall survival of TCGA-ESCA patients with high or low expression of module 6 or module 12 genes. (</w:t>
      </w:r>
      <w:r w:rsidRPr="001C1380">
        <w:rPr>
          <w:rFonts w:ascii="Times New Roman" w:hAnsi="Times New Roman" w:cs="Times New Roman"/>
          <w:b/>
          <w:bCs/>
        </w:rPr>
        <w:t>N, O</w:t>
      </w:r>
      <w:r w:rsidRPr="001C1380">
        <w:rPr>
          <w:rFonts w:ascii="Times New Roman" w:hAnsi="Times New Roman" w:cs="Times New Roman"/>
        </w:rPr>
        <w:t xml:space="preserve">) Expression of </w:t>
      </w:r>
      <w:r w:rsidRPr="001C1380">
        <w:rPr>
          <w:rFonts w:ascii="Times New Roman" w:hAnsi="Times New Roman" w:cs="Times New Roman"/>
          <w:i/>
          <w:iCs/>
        </w:rPr>
        <w:t>CD274</w:t>
      </w:r>
      <w:r w:rsidRPr="001C1380">
        <w:rPr>
          <w:rFonts w:ascii="Times New Roman" w:hAnsi="Times New Roman" w:cs="Times New Roman"/>
        </w:rPr>
        <w:t xml:space="preserve"> (</w:t>
      </w:r>
      <w:r w:rsidRPr="001C1380">
        <w:rPr>
          <w:rFonts w:ascii="Times New Roman" w:hAnsi="Times New Roman" w:cs="Times New Roman"/>
          <w:i/>
          <w:iCs/>
        </w:rPr>
        <w:t>PD-L1</w:t>
      </w:r>
      <w:r w:rsidRPr="001C1380">
        <w:rPr>
          <w:rFonts w:ascii="Times New Roman" w:hAnsi="Times New Roman" w:cs="Times New Roman"/>
        </w:rPr>
        <w:t>) in cancer cells of three patient cohorts (N) and each sample (O). (</w:t>
      </w:r>
      <w:r w:rsidRPr="001C1380">
        <w:rPr>
          <w:rFonts w:ascii="Times New Roman" w:hAnsi="Times New Roman" w:cs="Times New Roman"/>
          <w:b/>
          <w:bCs/>
        </w:rPr>
        <w:t>P</w:t>
      </w:r>
      <w:r w:rsidRPr="001C1380">
        <w:rPr>
          <w:rFonts w:ascii="Times New Roman" w:hAnsi="Times New Roman" w:cs="Times New Roman"/>
        </w:rPr>
        <w:t xml:space="preserve">) GO pathway enrichment analysis of cancer cells for baseline tumor of PD-L1-low </w:t>
      </w:r>
      <w:proofErr w:type="spellStart"/>
      <w:r w:rsidRPr="001C1380">
        <w:rPr>
          <w:rFonts w:ascii="Times New Roman" w:hAnsi="Times New Roman" w:cs="Times New Roman"/>
        </w:rPr>
        <w:t>pCR</w:t>
      </w:r>
      <w:proofErr w:type="spellEnd"/>
      <w:r w:rsidRPr="001C1380">
        <w:rPr>
          <w:rFonts w:ascii="Times New Roman" w:hAnsi="Times New Roman" w:cs="Times New Roman"/>
        </w:rPr>
        <w:t xml:space="preserve"> versus PD-L1-low IPR patients. </w:t>
      </w:r>
    </w:p>
    <w:p w14:paraId="3DCC09E3" w14:textId="19AD9E08" w:rsidR="00B10A34" w:rsidRDefault="00B10A34">
      <w:pPr>
        <w:rPr>
          <w:rFonts w:ascii="Times New Roman" w:hAnsi="Times New Roman" w:cs="Times New Roman"/>
        </w:rPr>
      </w:pPr>
      <w:r>
        <w:rPr>
          <w:rFonts w:ascii="Times New Roman" w:hAnsi="Times New Roman" w:cs="Times New Roman"/>
        </w:rPr>
        <w:br w:type="page"/>
      </w:r>
    </w:p>
    <w:p w14:paraId="3494675B" w14:textId="1995CB4D" w:rsidR="00B10A34" w:rsidRDefault="009648ED" w:rsidP="00B10A34">
      <w:pPr>
        <w:rPr>
          <w:rFonts w:ascii="Times New Roman" w:hAnsi="Times New Roman" w:cs="Times New Roman"/>
          <w:noProof/>
        </w:rPr>
      </w:pPr>
      <w:r>
        <w:rPr>
          <w:rFonts w:ascii="Times New Roman" w:hAnsi="Times New Roman" w:cs="Times New Roman"/>
          <w:noProof/>
        </w:rPr>
        <w:lastRenderedPageBreak/>
        <w:drawing>
          <wp:inline distT="0" distB="0" distL="0" distR="0" wp14:anchorId="22A51002" wp14:editId="234D4AE0">
            <wp:extent cx="5809488" cy="3816096"/>
            <wp:effectExtent l="0" t="0" r="1270" b="0"/>
            <wp:docPr id="43369144" name="Picture 2" descr="A group of squares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9144" name="Picture 2" descr="A group of squares with different colored squar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09488" cy="3816096"/>
                    </a:xfrm>
                    <a:prstGeom prst="rect">
                      <a:avLst/>
                    </a:prstGeom>
                  </pic:spPr>
                </pic:pic>
              </a:graphicData>
            </a:graphic>
          </wp:inline>
        </w:drawing>
      </w:r>
    </w:p>
    <w:p w14:paraId="46DBACC5" w14:textId="7826B0A5" w:rsidR="009648ED" w:rsidRDefault="009648ED">
      <w:pPr>
        <w:rPr>
          <w:rFonts w:ascii="Times New Roman" w:hAnsi="Times New Roman" w:cs="Times New Roman"/>
          <w:noProof/>
        </w:rPr>
      </w:pPr>
      <w:r>
        <w:rPr>
          <w:rFonts w:ascii="Times New Roman" w:hAnsi="Times New Roman" w:cs="Times New Roman"/>
          <w:noProof/>
        </w:rPr>
        <w:br w:type="page"/>
      </w:r>
    </w:p>
    <w:p w14:paraId="7F53B47B" w14:textId="67E67F5E" w:rsidR="009C7733" w:rsidRDefault="00DB7886" w:rsidP="00B10A34">
      <w:pPr>
        <w:rPr>
          <w:rFonts w:ascii="Times New Roman" w:hAnsi="Times New Roman" w:cs="Times New Roman"/>
          <w:noProof/>
        </w:rPr>
      </w:pPr>
      <w:r>
        <w:rPr>
          <w:rFonts w:ascii="Times New Roman" w:hAnsi="Times New Roman" w:cs="Times New Roman"/>
          <w:noProof/>
        </w:rPr>
        <w:lastRenderedPageBreak/>
        <w:drawing>
          <wp:inline distT="0" distB="0" distL="0" distR="0" wp14:anchorId="10B12965" wp14:editId="48C93024">
            <wp:extent cx="5943600" cy="6462395"/>
            <wp:effectExtent l="0" t="0" r="0" b="0"/>
            <wp:docPr id="2013369706"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69706" name="Picture 2" descr="A screenshot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462395"/>
                    </a:xfrm>
                    <a:prstGeom prst="rect">
                      <a:avLst/>
                    </a:prstGeom>
                  </pic:spPr>
                </pic:pic>
              </a:graphicData>
            </a:graphic>
          </wp:inline>
        </w:drawing>
      </w:r>
    </w:p>
    <w:p w14:paraId="70B911A3" w14:textId="77777777" w:rsidR="009C7733" w:rsidRDefault="009C7733">
      <w:pPr>
        <w:rPr>
          <w:rFonts w:ascii="Times New Roman" w:hAnsi="Times New Roman" w:cs="Times New Roman"/>
          <w:noProof/>
        </w:rPr>
      </w:pPr>
      <w:r>
        <w:rPr>
          <w:rFonts w:ascii="Times New Roman" w:hAnsi="Times New Roman" w:cs="Times New Roman"/>
          <w:noProof/>
        </w:rPr>
        <w:br w:type="page"/>
      </w:r>
    </w:p>
    <w:p w14:paraId="25251A60" w14:textId="06E29318" w:rsidR="009648ED" w:rsidRDefault="00DB7886" w:rsidP="00B10A34">
      <w:pPr>
        <w:rPr>
          <w:rFonts w:ascii="Times New Roman" w:hAnsi="Times New Roman" w:cs="Times New Roman"/>
          <w:noProof/>
        </w:rPr>
      </w:pPr>
      <w:r>
        <w:rPr>
          <w:rFonts w:ascii="Times New Roman" w:hAnsi="Times New Roman" w:cs="Times New Roman"/>
          <w:noProof/>
        </w:rPr>
        <w:lastRenderedPageBreak/>
        <w:drawing>
          <wp:inline distT="0" distB="0" distL="0" distR="0" wp14:anchorId="3D31A45C" wp14:editId="22C05D54">
            <wp:extent cx="5943600" cy="4439285"/>
            <wp:effectExtent l="0" t="0" r="0" b="0"/>
            <wp:docPr id="1513400415"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00415" name="Picture 3"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439285"/>
                    </a:xfrm>
                    <a:prstGeom prst="rect">
                      <a:avLst/>
                    </a:prstGeom>
                  </pic:spPr>
                </pic:pic>
              </a:graphicData>
            </a:graphic>
          </wp:inline>
        </w:drawing>
      </w:r>
    </w:p>
    <w:p w14:paraId="78F4D85A" w14:textId="04591D18" w:rsidR="00B10A34" w:rsidRPr="00B10A34" w:rsidRDefault="00B10A34" w:rsidP="00F068DE">
      <w:pPr>
        <w:pStyle w:val="Heading3"/>
        <w:spacing w:line="480" w:lineRule="auto"/>
        <w:jc w:val="both"/>
        <w:rPr>
          <w:rFonts w:ascii="Times New Roman" w:eastAsiaTheme="minorEastAsia" w:hAnsi="Times New Roman" w:cs="Times New Roman"/>
          <w:b/>
          <w:bCs/>
          <w:color w:val="auto"/>
          <w:sz w:val="24"/>
          <w:szCs w:val="24"/>
        </w:rPr>
      </w:pPr>
      <w:r w:rsidRPr="00B10A34">
        <w:rPr>
          <w:rFonts w:ascii="Times New Roman" w:eastAsiaTheme="minorEastAsia" w:hAnsi="Times New Roman" w:cs="Times New Roman"/>
          <w:b/>
          <w:bCs/>
          <w:color w:val="auto"/>
          <w:sz w:val="24"/>
          <w:szCs w:val="24"/>
        </w:rPr>
        <w:t>Fig</w:t>
      </w:r>
      <w:r w:rsidRPr="00B10A34">
        <w:rPr>
          <w:rFonts w:ascii="Times New Roman" w:eastAsiaTheme="minorEastAsia" w:hAnsi="Times New Roman" w:cs="Times New Roman" w:hint="eastAsia"/>
          <w:b/>
          <w:bCs/>
          <w:color w:val="auto"/>
          <w:sz w:val="24"/>
          <w:szCs w:val="24"/>
        </w:rPr>
        <w:t>.</w:t>
      </w:r>
      <w:r w:rsidR="003015F4">
        <w:rPr>
          <w:rFonts w:ascii="Times New Roman" w:eastAsiaTheme="minorEastAsia" w:hAnsi="Times New Roman" w:cs="Times New Roman" w:hint="eastAsia"/>
          <w:b/>
          <w:bCs/>
          <w:color w:val="auto"/>
          <w:sz w:val="24"/>
          <w:szCs w:val="24"/>
        </w:rPr>
        <w:t xml:space="preserve"> </w:t>
      </w:r>
      <w:r w:rsidRPr="00B10A34">
        <w:rPr>
          <w:rFonts w:ascii="Times New Roman" w:eastAsiaTheme="minorEastAsia" w:hAnsi="Times New Roman" w:cs="Times New Roman"/>
          <w:b/>
          <w:bCs/>
          <w:color w:val="auto"/>
          <w:sz w:val="24"/>
          <w:szCs w:val="24"/>
        </w:rPr>
        <w:t>S3. Modulation of CD8+ effector T cells in the ESCC TME of patients with different pathological responses to NAT.</w:t>
      </w:r>
    </w:p>
    <w:p w14:paraId="641CFA84" w14:textId="77777777" w:rsidR="00B10A34" w:rsidRPr="001C1380" w:rsidRDefault="00B10A34" w:rsidP="00F068DE">
      <w:pPr>
        <w:spacing w:line="480" w:lineRule="auto"/>
        <w:jc w:val="both"/>
        <w:rPr>
          <w:rFonts w:ascii="Times New Roman" w:hAnsi="Times New Roman" w:cs="Times New Roman"/>
        </w:rPr>
      </w:pPr>
      <w:r w:rsidRPr="001C1380">
        <w:rPr>
          <w:rFonts w:ascii="Times New Roman" w:hAnsi="Times New Roman" w:cs="Times New Roman"/>
        </w:rPr>
        <w:t>(</w:t>
      </w:r>
      <w:r w:rsidRPr="001C1380">
        <w:rPr>
          <w:rFonts w:ascii="Times New Roman" w:hAnsi="Times New Roman" w:cs="Times New Roman"/>
          <w:b/>
          <w:bCs/>
        </w:rPr>
        <w:t>A</w:t>
      </w:r>
      <w:r w:rsidRPr="001C1380">
        <w:rPr>
          <w:rFonts w:ascii="Times New Roman" w:hAnsi="Times New Roman" w:cs="Times New Roman"/>
        </w:rPr>
        <w:t xml:space="preserve">) </w:t>
      </w:r>
      <w:proofErr w:type="spellStart"/>
      <w:r w:rsidRPr="001C1380">
        <w:rPr>
          <w:rFonts w:ascii="Times New Roman" w:hAnsi="Times New Roman" w:cs="Times New Roman"/>
        </w:rPr>
        <w:t>CellPhoneDB</w:t>
      </w:r>
      <w:proofErr w:type="spellEnd"/>
      <w:r w:rsidRPr="001C1380">
        <w:rPr>
          <w:rFonts w:ascii="Times New Roman" w:hAnsi="Times New Roman" w:cs="Times New Roman"/>
        </w:rPr>
        <w:t xml:space="preserve">-generated heatmap shows the count of T cell-MP cell interactions in pre-treatment tumor samples of IPR, MPR, and </w:t>
      </w:r>
      <w:proofErr w:type="spellStart"/>
      <w:r w:rsidRPr="001C1380">
        <w:rPr>
          <w:rFonts w:ascii="Times New Roman" w:hAnsi="Times New Roman" w:cs="Times New Roman"/>
        </w:rPr>
        <w:t>pCR</w:t>
      </w:r>
      <w:proofErr w:type="spellEnd"/>
      <w:r w:rsidRPr="001C1380">
        <w:rPr>
          <w:rFonts w:ascii="Times New Roman" w:hAnsi="Times New Roman" w:cs="Times New Roman"/>
        </w:rPr>
        <w:t xml:space="preserve"> patients. (</w:t>
      </w:r>
      <w:r w:rsidRPr="001C1380">
        <w:rPr>
          <w:rFonts w:ascii="Times New Roman" w:hAnsi="Times New Roman" w:cs="Times New Roman"/>
          <w:b/>
          <w:bCs/>
        </w:rPr>
        <w:t>B</w:t>
      </w:r>
      <w:r w:rsidRPr="001C1380">
        <w:rPr>
          <w:rFonts w:ascii="Times New Roman" w:hAnsi="Times New Roman" w:cs="Times New Roman"/>
        </w:rPr>
        <w:t>) Heatmap shows T cell-T cell interactions in pre-treatment ESCC tumors of patients with different pathological responses to neoadjuvant chemo-immunotherapy. (</w:t>
      </w:r>
      <w:r w:rsidRPr="001C1380">
        <w:rPr>
          <w:rFonts w:ascii="Times New Roman" w:hAnsi="Times New Roman" w:cs="Times New Roman"/>
          <w:b/>
          <w:bCs/>
        </w:rPr>
        <w:t>C</w:t>
      </w:r>
      <w:r w:rsidRPr="001C1380">
        <w:rPr>
          <w:rFonts w:ascii="Times New Roman" w:hAnsi="Times New Roman" w:cs="Times New Roman"/>
        </w:rPr>
        <w:t>) Gene Ontology (GO) pathway enrichment analysis of CD8+ effector T cells obtained from MPR versus IPR patients. (</w:t>
      </w:r>
      <w:r w:rsidRPr="001C1380">
        <w:rPr>
          <w:rFonts w:ascii="Times New Roman" w:hAnsi="Times New Roman" w:cs="Times New Roman"/>
          <w:b/>
          <w:bCs/>
        </w:rPr>
        <w:t>D</w:t>
      </w:r>
      <w:r w:rsidRPr="001C1380">
        <w:rPr>
          <w:rFonts w:ascii="Times New Roman" w:hAnsi="Times New Roman" w:cs="Times New Roman"/>
        </w:rPr>
        <w:t xml:space="preserve">) GO pathway enrichment analysis of CD8+ effector T cells obtained from </w:t>
      </w:r>
      <w:proofErr w:type="spellStart"/>
      <w:r w:rsidRPr="001C1380">
        <w:rPr>
          <w:rFonts w:ascii="Times New Roman" w:hAnsi="Times New Roman" w:cs="Times New Roman"/>
        </w:rPr>
        <w:t>pCR</w:t>
      </w:r>
      <w:proofErr w:type="spellEnd"/>
      <w:r w:rsidRPr="001C1380">
        <w:rPr>
          <w:rFonts w:ascii="Times New Roman" w:hAnsi="Times New Roman" w:cs="Times New Roman"/>
        </w:rPr>
        <w:t xml:space="preserve"> versus MPR patients. (</w:t>
      </w:r>
      <w:r w:rsidRPr="001C1380">
        <w:rPr>
          <w:rFonts w:ascii="Times New Roman" w:hAnsi="Times New Roman" w:cs="Times New Roman"/>
          <w:b/>
          <w:bCs/>
        </w:rPr>
        <w:t>E</w:t>
      </w:r>
      <w:r w:rsidRPr="001C1380">
        <w:rPr>
          <w:rFonts w:ascii="Times New Roman" w:hAnsi="Times New Roman" w:cs="Times New Roman"/>
        </w:rPr>
        <w:t xml:space="preserve">) Expression of metallothionein family genes, including </w:t>
      </w:r>
      <w:r w:rsidRPr="001C1380">
        <w:rPr>
          <w:rFonts w:ascii="Times New Roman" w:hAnsi="Times New Roman" w:cs="Times New Roman"/>
          <w:i/>
          <w:iCs/>
        </w:rPr>
        <w:t>MT1X</w:t>
      </w:r>
      <w:r w:rsidRPr="001C1380">
        <w:rPr>
          <w:rFonts w:ascii="Times New Roman" w:hAnsi="Times New Roman" w:cs="Times New Roman"/>
        </w:rPr>
        <w:t xml:space="preserve">, </w:t>
      </w:r>
      <w:r w:rsidRPr="001C1380">
        <w:rPr>
          <w:rFonts w:ascii="Times New Roman" w:hAnsi="Times New Roman" w:cs="Times New Roman"/>
          <w:i/>
          <w:iCs/>
        </w:rPr>
        <w:t>MT1E</w:t>
      </w:r>
      <w:r w:rsidRPr="001C1380">
        <w:rPr>
          <w:rFonts w:ascii="Times New Roman" w:hAnsi="Times New Roman" w:cs="Times New Roman"/>
        </w:rPr>
        <w:t xml:space="preserve">, and </w:t>
      </w:r>
      <w:r w:rsidRPr="001C1380">
        <w:rPr>
          <w:rFonts w:ascii="Times New Roman" w:hAnsi="Times New Roman" w:cs="Times New Roman"/>
          <w:i/>
          <w:iCs/>
        </w:rPr>
        <w:t>MT2A</w:t>
      </w:r>
      <w:r w:rsidRPr="001C1380">
        <w:rPr>
          <w:rFonts w:ascii="Times New Roman" w:hAnsi="Times New Roman" w:cs="Times New Roman"/>
        </w:rPr>
        <w:t>, in MPR and IPR patients. (</w:t>
      </w:r>
      <w:r w:rsidRPr="001C1380">
        <w:rPr>
          <w:rFonts w:ascii="Times New Roman" w:hAnsi="Times New Roman" w:cs="Times New Roman"/>
          <w:b/>
          <w:bCs/>
        </w:rPr>
        <w:t>F</w:t>
      </w:r>
      <w:r w:rsidRPr="001C1380">
        <w:rPr>
          <w:rFonts w:ascii="Times New Roman" w:hAnsi="Times New Roman" w:cs="Times New Roman"/>
        </w:rPr>
        <w:t xml:space="preserve">) </w:t>
      </w:r>
      <w:r w:rsidRPr="001C1380">
        <w:rPr>
          <w:rFonts w:ascii="Times New Roman" w:hAnsi="Times New Roman" w:cs="Times New Roman"/>
          <w:i/>
          <w:iCs/>
        </w:rPr>
        <w:t>MT1X</w:t>
      </w:r>
      <w:r w:rsidRPr="001C1380">
        <w:rPr>
          <w:rFonts w:ascii="Times New Roman" w:hAnsi="Times New Roman" w:cs="Times New Roman"/>
        </w:rPr>
        <w:t xml:space="preserve"> but not </w:t>
      </w:r>
      <w:r w:rsidRPr="001C1380">
        <w:rPr>
          <w:rFonts w:ascii="Times New Roman" w:hAnsi="Times New Roman" w:cs="Times New Roman"/>
          <w:i/>
          <w:iCs/>
        </w:rPr>
        <w:t>MT2A</w:t>
      </w:r>
      <w:r w:rsidRPr="001C1380">
        <w:rPr>
          <w:rFonts w:ascii="Times New Roman" w:hAnsi="Times New Roman" w:cs="Times New Roman"/>
        </w:rPr>
        <w:t xml:space="preserve"> showed a significant down-regulation in </w:t>
      </w:r>
      <w:proofErr w:type="spellStart"/>
      <w:r w:rsidRPr="001C1380">
        <w:rPr>
          <w:rFonts w:ascii="Times New Roman" w:hAnsi="Times New Roman" w:cs="Times New Roman"/>
        </w:rPr>
        <w:t>pCR</w:t>
      </w:r>
      <w:proofErr w:type="spellEnd"/>
      <w:r w:rsidRPr="001C1380">
        <w:rPr>
          <w:rFonts w:ascii="Times New Roman" w:hAnsi="Times New Roman" w:cs="Times New Roman"/>
        </w:rPr>
        <w:t xml:space="preserve"> patients versus MPR patients. </w:t>
      </w:r>
      <w:r w:rsidRPr="001C1380">
        <w:rPr>
          <w:rFonts w:ascii="Times New Roman" w:hAnsi="Times New Roman" w:cs="Times New Roman"/>
        </w:rPr>
        <w:lastRenderedPageBreak/>
        <w:t>(</w:t>
      </w:r>
      <w:r w:rsidRPr="001C1380">
        <w:rPr>
          <w:rFonts w:ascii="Times New Roman" w:hAnsi="Times New Roman" w:cs="Times New Roman"/>
          <w:b/>
          <w:bCs/>
        </w:rPr>
        <w:t>G</w:t>
      </w:r>
      <w:r w:rsidRPr="001C1380">
        <w:rPr>
          <w:rFonts w:ascii="Times New Roman" w:hAnsi="Times New Roman" w:cs="Times New Roman"/>
        </w:rPr>
        <w:t>) The Venn diagram shows the intersections of three gene sets. Gene sets included down-regulated genes in CD8+ effector T cells obtained from pre-treatment tumors of patients with different pathological responses to treatment. (</w:t>
      </w:r>
      <w:r w:rsidRPr="001C1380">
        <w:rPr>
          <w:rFonts w:ascii="Times New Roman" w:hAnsi="Times New Roman" w:cs="Times New Roman"/>
          <w:b/>
          <w:bCs/>
        </w:rPr>
        <w:t>H, I</w:t>
      </w:r>
      <w:r w:rsidRPr="001C1380">
        <w:rPr>
          <w:rFonts w:ascii="Times New Roman" w:hAnsi="Times New Roman" w:cs="Times New Roman"/>
        </w:rPr>
        <w:t xml:space="preserve">) Expression of </w:t>
      </w:r>
      <w:r w:rsidRPr="001C1380">
        <w:rPr>
          <w:rFonts w:ascii="Times New Roman" w:hAnsi="Times New Roman" w:cs="Times New Roman"/>
          <w:i/>
          <w:iCs/>
        </w:rPr>
        <w:t>PDCD1</w:t>
      </w:r>
      <w:r w:rsidRPr="001C1380">
        <w:rPr>
          <w:rFonts w:ascii="Times New Roman" w:hAnsi="Times New Roman" w:cs="Times New Roman"/>
        </w:rPr>
        <w:t xml:space="preserve"> (</w:t>
      </w:r>
      <w:r w:rsidRPr="001C1380">
        <w:rPr>
          <w:rFonts w:ascii="Times New Roman" w:hAnsi="Times New Roman" w:cs="Times New Roman"/>
          <w:i/>
          <w:iCs/>
        </w:rPr>
        <w:t>PD-1</w:t>
      </w:r>
      <w:r w:rsidRPr="001C1380">
        <w:rPr>
          <w:rFonts w:ascii="Times New Roman" w:hAnsi="Times New Roman" w:cs="Times New Roman"/>
        </w:rPr>
        <w:t>) in T cells of three patient cohorts (H) and each sample (I). (</w:t>
      </w:r>
      <w:r w:rsidRPr="001C1380">
        <w:rPr>
          <w:rFonts w:ascii="Times New Roman" w:hAnsi="Times New Roman" w:cs="Times New Roman"/>
          <w:b/>
          <w:bCs/>
        </w:rPr>
        <w:t>J</w:t>
      </w:r>
      <w:r w:rsidRPr="001C1380">
        <w:rPr>
          <w:rFonts w:ascii="Times New Roman" w:hAnsi="Times New Roman" w:cs="Times New Roman"/>
        </w:rPr>
        <w:t xml:space="preserve">) GO pathway enrichment analysis of CD8+ effector T cells for baseline tumor of PD-L1-low </w:t>
      </w:r>
      <w:proofErr w:type="spellStart"/>
      <w:r w:rsidRPr="001C1380">
        <w:rPr>
          <w:rFonts w:ascii="Times New Roman" w:hAnsi="Times New Roman" w:cs="Times New Roman"/>
        </w:rPr>
        <w:t>pCR</w:t>
      </w:r>
      <w:proofErr w:type="spellEnd"/>
      <w:r w:rsidRPr="001C1380">
        <w:rPr>
          <w:rFonts w:ascii="Times New Roman" w:hAnsi="Times New Roman" w:cs="Times New Roman"/>
        </w:rPr>
        <w:t xml:space="preserve"> versus PD-L1-low IPR patients.</w:t>
      </w:r>
    </w:p>
    <w:p w14:paraId="69E7B417" w14:textId="46C383AD" w:rsidR="00B10A34" w:rsidRDefault="00B10A34" w:rsidP="00F068DE">
      <w:pPr>
        <w:jc w:val="both"/>
        <w:rPr>
          <w:rFonts w:ascii="Times New Roman" w:hAnsi="Times New Roman" w:cs="Times New Roman"/>
        </w:rPr>
      </w:pPr>
      <w:r>
        <w:rPr>
          <w:rFonts w:ascii="Times New Roman" w:hAnsi="Times New Roman" w:cs="Times New Roman"/>
        </w:rPr>
        <w:br w:type="page"/>
      </w:r>
    </w:p>
    <w:p w14:paraId="559F6900" w14:textId="5B1B015B" w:rsidR="00B10A34" w:rsidRDefault="00167463" w:rsidP="00B10A34">
      <w:pPr>
        <w:rPr>
          <w:rFonts w:ascii="Times New Roman" w:hAnsi="Times New Roman" w:cs="Times New Roman"/>
        </w:rPr>
      </w:pPr>
      <w:r>
        <w:rPr>
          <w:rFonts w:ascii="Times New Roman" w:hAnsi="Times New Roman" w:cs="Times New Roman"/>
          <w:noProof/>
        </w:rPr>
        <w:lastRenderedPageBreak/>
        <w:drawing>
          <wp:inline distT="0" distB="0" distL="0" distR="0" wp14:anchorId="360FE344" wp14:editId="2B0344F6">
            <wp:extent cx="5418455" cy="8229600"/>
            <wp:effectExtent l="0" t="0" r="0" b="0"/>
            <wp:docPr id="1172252316"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52316" name="Picture 4" descr="A screenshot of a computer scree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18455" cy="8229600"/>
                    </a:xfrm>
                    <a:prstGeom prst="rect">
                      <a:avLst/>
                    </a:prstGeom>
                  </pic:spPr>
                </pic:pic>
              </a:graphicData>
            </a:graphic>
          </wp:inline>
        </w:drawing>
      </w:r>
    </w:p>
    <w:p w14:paraId="5EA9BB6E" w14:textId="77777777" w:rsidR="00B10A34" w:rsidRPr="00B10A34" w:rsidRDefault="00B10A34" w:rsidP="00F068DE">
      <w:pPr>
        <w:pStyle w:val="Heading3"/>
        <w:spacing w:line="480" w:lineRule="auto"/>
        <w:jc w:val="both"/>
        <w:rPr>
          <w:rFonts w:ascii="Times New Roman" w:eastAsiaTheme="minorEastAsia" w:hAnsi="Times New Roman" w:cs="Times New Roman"/>
          <w:b/>
          <w:bCs/>
          <w:color w:val="auto"/>
          <w:sz w:val="24"/>
          <w:szCs w:val="24"/>
        </w:rPr>
      </w:pPr>
      <w:r w:rsidRPr="00B10A34">
        <w:rPr>
          <w:rFonts w:ascii="Times New Roman" w:eastAsiaTheme="minorEastAsia" w:hAnsi="Times New Roman" w:cs="Times New Roman"/>
          <w:b/>
          <w:bCs/>
          <w:color w:val="auto"/>
          <w:sz w:val="24"/>
          <w:szCs w:val="24"/>
        </w:rPr>
        <w:lastRenderedPageBreak/>
        <w:t>Fig</w:t>
      </w:r>
      <w:r w:rsidRPr="00B10A34">
        <w:rPr>
          <w:rFonts w:ascii="Times New Roman" w:eastAsiaTheme="minorEastAsia" w:hAnsi="Times New Roman" w:cs="Times New Roman" w:hint="eastAsia"/>
          <w:b/>
          <w:bCs/>
          <w:color w:val="auto"/>
          <w:sz w:val="24"/>
          <w:szCs w:val="24"/>
        </w:rPr>
        <w:t>.</w:t>
      </w:r>
      <w:r w:rsidRPr="00B10A34">
        <w:rPr>
          <w:rFonts w:ascii="Times New Roman" w:eastAsiaTheme="minorEastAsia" w:hAnsi="Times New Roman" w:cs="Times New Roman"/>
          <w:b/>
          <w:bCs/>
          <w:color w:val="auto"/>
          <w:sz w:val="24"/>
          <w:szCs w:val="24"/>
        </w:rPr>
        <w:t xml:space="preserve"> S4. Supplementary pathway enrichment analysis of NK cells.</w:t>
      </w:r>
    </w:p>
    <w:p w14:paraId="308849E5" w14:textId="77777777" w:rsidR="00B10A34" w:rsidRPr="001C1380" w:rsidRDefault="00B10A34" w:rsidP="00F068DE">
      <w:pPr>
        <w:spacing w:line="480" w:lineRule="auto"/>
        <w:jc w:val="both"/>
        <w:rPr>
          <w:rFonts w:ascii="Times New Roman" w:hAnsi="Times New Roman" w:cs="Times New Roman"/>
        </w:rPr>
      </w:pPr>
      <w:r w:rsidRPr="001C1380">
        <w:rPr>
          <w:rFonts w:ascii="Times New Roman" w:hAnsi="Times New Roman" w:cs="Times New Roman"/>
        </w:rPr>
        <w:t>(</w:t>
      </w:r>
      <w:r w:rsidRPr="001C1380">
        <w:rPr>
          <w:rFonts w:ascii="Times New Roman" w:hAnsi="Times New Roman" w:cs="Times New Roman"/>
          <w:b/>
          <w:bCs/>
        </w:rPr>
        <w:t>A</w:t>
      </w:r>
      <w:r w:rsidRPr="001C1380">
        <w:rPr>
          <w:rFonts w:ascii="Times New Roman" w:hAnsi="Times New Roman" w:cs="Times New Roman"/>
        </w:rPr>
        <w:t>) The Venn diagrams show the intersections among three sets of genes comparing upregulated (top) and downregulated (bottom) genes in the DEG analysis of Natural killer (NK) cells. Gene sets were based on baseline tumors of patients who exhibit varying pathological responses to neoadjuvant chemo-immunotherapy. (</w:t>
      </w:r>
      <w:r w:rsidRPr="001C1380">
        <w:rPr>
          <w:rFonts w:ascii="Times New Roman" w:hAnsi="Times New Roman" w:cs="Times New Roman"/>
          <w:b/>
          <w:bCs/>
        </w:rPr>
        <w:t>B</w:t>
      </w:r>
      <w:r w:rsidRPr="001C1380">
        <w:rPr>
          <w:rFonts w:ascii="Times New Roman" w:hAnsi="Times New Roman" w:cs="Times New Roman"/>
        </w:rPr>
        <w:t>) Gene Ontology (GO) pathway enrichment analysis of NK cells obtained from MPR versus IPR patients. (</w:t>
      </w:r>
      <w:r w:rsidRPr="001C1380">
        <w:rPr>
          <w:rFonts w:ascii="Times New Roman" w:hAnsi="Times New Roman" w:cs="Times New Roman"/>
          <w:b/>
          <w:bCs/>
        </w:rPr>
        <w:t>C</w:t>
      </w:r>
      <w:r w:rsidRPr="001C1380">
        <w:rPr>
          <w:rFonts w:ascii="Times New Roman" w:hAnsi="Times New Roman" w:cs="Times New Roman"/>
        </w:rPr>
        <w:t xml:space="preserve">) GO pathway enrichment analysis of NK cells obtained from </w:t>
      </w:r>
      <w:proofErr w:type="spellStart"/>
      <w:r w:rsidRPr="001C1380">
        <w:rPr>
          <w:rFonts w:ascii="Times New Roman" w:hAnsi="Times New Roman" w:cs="Times New Roman"/>
        </w:rPr>
        <w:t>pCR</w:t>
      </w:r>
      <w:proofErr w:type="spellEnd"/>
      <w:r w:rsidRPr="001C1380">
        <w:rPr>
          <w:rFonts w:ascii="Times New Roman" w:hAnsi="Times New Roman" w:cs="Times New Roman"/>
        </w:rPr>
        <w:t xml:space="preserve"> versus MPR patients. (</w:t>
      </w:r>
      <w:r w:rsidRPr="001C1380">
        <w:rPr>
          <w:rFonts w:ascii="Times New Roman" w:hAnsi="Times New Roman" w:cs="Times New Roman"/>
          <w:b/>
          <w:bCs/>
        </w:rPr>
        <w:t>D</w:t>
      </w:r>
      <w:r w:rsidRPr="001C1380">
        <w:rPr>
          <w:rFonts w:ascii="Times New Roman" w:hAnsi="Times New Roman" w:cs="Times New Roman"/>
        </w:rPr>
        <w:t xml:space="preserve">) GO pathway enrichment analysis of NK cells for baseline tumor of PD-L1-low </w:t>
      </w:r>
      <w:proofErr w:type="spellStart"/>
      <w:r w:rsidRPr="001C1380">
        <w:rPr>
          <w:rFonts w:ascii="Times New Roman" w:hAnsi="Times New Roman" w:cs="Times New Roman"/>
        </w:rPr>
        <w:t>pCR</w:t>
      </w:r>
      <w:proofErr w:type="spellEnd"/>
      <w:r w:rsidRPr="001C1380">
        <w:rPr>
          <w:rFonts w:ascii="Times New Roman" w:hAnsi="Times New Roman" w:cs="Times New Roman"/>
        </w:rPr>
        <w:t xml:space="preserve"> versus PD-L1-low IPR patients.</w:t>
      </w:r>
    </w:p>
    <w:p w14:paraId="3ED6A501" w14:textId="7787B559" w:rsidR="00B10A34" w:rsidRDefault="00B10A34" w:rsidP="00F068DE">
      <w:pPr>
        <w:jc w:val="both"/>
        <w:rPr>
          <w:rFonts w:ascii="Times New Roman" w:hAnsi="Times New Roman" w:cs="Times New Roman"/>
        </w:rPr>
      </w:pPr>
      <w:r>
        <w:rPr>
          <w:rFonts w:ascii="Times New Roman" w:hAnsi="Times New Roman" w:cs="Times New Roman"/>
        </w:rPr>
        <w:br w:type="page"/>
      </w:r>
    </w:p>
    <w:p w14:paraId="2C450B66" w14:textId="4E2F12CD" w:rsidR="00B10A34" w:rsidRDefault="00167463" w:rsidP="00B10A34">
      <w:pPr>
        <w:rPr>
          <w:rFonts w:ascii="Times New Roman" w:hAnsi="Times New Roman" w:cs="Times New Roman"/>
        </w:rPr>
      </w:pPr>
      <w:r>
        <w:rPr>
          <w:rFonts w:ascii="Times New Roman" w:hAnsi="Times New Roman" w:cs="Times New Roman"/>
          <w:noProof/>
        </w:rPr>
        <w:lastRenderedPageBreak/>
        <w:drawing>
          <wp:inline distT="0" distB="0" distL="0" distR="0" wp14:anchorId="7EF12167" wp14:editId="09415916">
            <wp:extent cx="5943600" cy="7450455"/>
            <wp:effectExtent l="0" t="0" r="0" b="0"/>
            <wp:docPr id="1104904576"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04576" name="Picture 5" descr="A screenshot of a computer scree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450455"/>
                    </a:xfrm>
                    <a:prstGeom prst="rect">
                      <a:avLst/>
                    </a:prstGeom>
                  </pic:spPr>
                </pic:pic>
              </a:graphicData>
            </a:graphic>
          </wp:inline>
        </w:drawing>
      </w:r>
    </w:p>
    <w:p w14:paraId="0785CCB3" w14:textId="77777777" w:rsidR="00B10A34" w:rsidRPr="00B10A34" w:rsidRDefault="00B10A34" w:rsidP="00F068DE">
      <w:pPr>
        <w:pStyle w:val="Heading3"/>
        <w:spacing w:line="480" w:lineRule="auto"/>
        <w:jc w:val="both"/>
        <w:rPr>
          <w:rFonts w:ascii="Times New Roman" w:eastAsiaTheme="minorEastAsia" w:hAnsi="Times New Roman" w:cs="Times New Roman"/>
          <w:b/>
          <w:bCs/>
          <w:color w:val="auto"/>
          <w:sz w:val="24"/>
          <w:szCs w:val="24"/>
        </w:rPr>
      </w:pPr>
      <w:r w:rsidRPr="00B10A34">
        <w:rPr>
          <w:rFonts w:ascii="Times New Roman" w:eastAsiaTheme="minorEastAsia" w:hAnsi="Times New Roman" w:cs="Times New Roman"/>
          <w:b/>
          <w:bCs/>
          <w:color w:val="auto"/>
          <w:sz w:val="24"/>
          <w:szCs w:val="24"/>
        </w:rPr>
        <w:lastRenderedPageBreak/>
        <w:t>Fig</w:t>
      </w:r>
      <w:r w:rsidRPr="00B10A34">
        <w:rPr>
          <w:rFonts w:ascii="Times New Roman" w:eastAsiaTheme="minorEastAsia" w:hAnsi="Times New Roman" w:cs="Times New Roman" w:hint="eastAsia"/>
          <w:b/>
          <w:bCs/>
          <w:color w:val="auto"/>
          <w:sz w:val="24"/>
          <w:szCs w:val="24"/>
        </w:rPr>
        <w:t>.</w:t>
      </w:r>
      <w:r w:rsidRPr="00B10A34">
        <w:rPr>
          <w:rFonts w:ascii="Times New Roman" w:eastAsiaTheme="minorEastAsia" w:hAnsi="Times New Roman" w:cs="Times New Roman"/>
          <w:b/>
          <w:bCs/>
          <w:color w:val="auto"/>
          <w:sz w:val="24"/>
          <w:szCs w:val="24"/>
        </w:rPr>
        <w:t xml:space="preserve"> S5. Supplementary pathway enrichment analysis of Treg cells.</w:t>
      </w:r>
    </w:p>
    <w:p w14:paraId="330AA234" w14:textId="77777777" w:rsidR="00B10A34" w:rsidRPr="001C1380" w:rsidRDefault="00B10A34" w:rsidP="00F068DE">
      <w:pPr>
        <w:spacing w:line="480" w:lineRule="auto"/>
        <w:jc w:val="both"/>
        <w:rPr>
          <w:rFonts w:ascii="Times New Roman" w:hAnsi="Times New Roman" w:cs="Times New Roman"/>
        </w:rPr>
      </w:pPr>
      <w:r w:rsidRPr="001C1380">
        <w:rPr>
          <w:rFonts w:ascii="Times New Roman" w:hAnsi="Times New Roman" w:cs="Times New Roman"/>
        </w:rPr>
        <w:t>(</w:t>
      </w:r>
      <w:r w:rsidRPr="001C1380">
        <w:rPr>
          <w:rFonts w:ascii="Times New Roman" w:hAnsi="Times New Roman" w:cs="Times New Roman"/>
          <w:b/>
          <w:bCs/>
        </w:rPr>
        <w:t>A</w:t>
      </w:r>
      <w:r w:rsidRPr="001C1380">
        <w:rPr>
          <w:rFonts w:ascii="Times New Roman" w:hAnsi="Times New Roman" w:cs="Times New Roman"/>
        </w:rPr>
        <w:t>) The Venn diagrams show the intersections among three sets of genes comparing upregulated (top) and downregulated (bottom) genes in the DEG analysis of regulatory T (Treg) cells. Gene sets were based on baseline tumors of patients who exhibit varying pathological responses to neoadjuvant chemo-immunotherapy. (</w:t>
      </w:r>
      <w:r w:rsidRPr="001C1380">
        <w:rPr>
          <w:rFonts w:ascii="Times New Roman" w:hAnsi="Times New Roman" w:cs="Times New Roman"/>
          <w:b/>
          <w:bCs/>
        </w:rPr>
        <w:t>B</w:t>
      </w:r>
      <w:r w:rsidRPr="001C1380">
        <w:rPr>
          <w:rFonts w:ascii="Times New Roman" w:hAnsi="Times New Roman" w:cs="Times New Roman"/>
        </w:rPr>
        <w:t>) GO pathway enrichment analysis of Treg cells obtained from MPR versus IPR patients. (</w:t>
      </w:r>
      <w:r w:rsidRPr="001C1380">
        <w:rPr>
          <w:rFonts w:ascii="Times New Roman" w:hAnsi="Times New Roman" w:cs="Times New Roman"/>
          <w:b/>
          <w:bCs/>
        </w:rPr>
        <w:t>C</w:t>
      </w:r>
      <w:r w:rsidRPr="001C1380">
        <w:rPr>
          <w:rFonts w:ascii="Times New Roman" w:hAnsi="Times New Roman" w:cs="Times New Roman"/>
        </w:rPr>
        <w:t xml:space="preserve">) GO pathway enrichment analysis of Treg cells obtained from </w:t>
      </w:r>
      <w:proofErr w:type="spellStart"/>
      <w:r w:rsidRPr="001C1380">
        <w:rPr>
          <w:rFonts w:ascii="Times New Roman" w:hAnsi="Times New Roman" w:cs="Times New Roman"/>
        </w:rPr>
        <w:t>pCR</w:t>
      </w:r>
      <w:proofErr w:type="spellEnd"/>
      <w:r w:rsidRPr="001C1380">
        <w:rPr>
          <w:rFonts w:ascii="Times New Roman" w:hAnsi="Times New Roman" w:cs="Times New Roman"/>
        </w:rPr>
        <w:t xml:space="preserve"> versus MPR patients.</w:t>
      </w:r>
    </w:p>
    <w:p w14:paraId="7B1C4DA8" w14:textId="77777777" w:rsidR="00B10A34" w:rsidRPr="00B10A34" w:rsidRDefault="00B10A34" w:rsidP="00B10A34">
      <w:pPr>
        <w:rPr>
          <w:rFonts w:ascii="Times New Roman" w:hAnsi="Times New Roman" w:cs="Times New Roman"/>
        </w:rPr>
      </w:pPr>
    </w:p>
    <w:sectPr w:rsidR="00B10A34" w:rsidRPr="00B10A34">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36C55" w14:textId="77777777" w:rsidR="007F6251" w:rsidRDefault="007F6251" w:rsidP="00F7507E">
      <w:pPr>
        <w:spacing w:after="0" w:line="240" w:lineRule="auto"/>
      </w:pPr>
      <w:r>
        <w:separator/>
      </w:r>
    </w:p>
  </w:endnote>
  <w:endnote w:type="continuationSeparator" w:id="0">
    <w:p w14:paraId="37438768" w14:textId="77777777" w:rsidR="007F6251" w:rsidRDefault="007F6251" w:rsidP="00F7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792480"/>
      <w:docPartObj>
        <w:docPartGallery w:val="Page Numbers (Bottom of Page)"/>
        <w:docPartUnique/>
      </w:docPartObj>
    </w:sdtPr>
    <w:sdtEndPr>
      <w:rPr>
        <w:noProof/>
      </w:rPr>
    </w:sdtEndPr>
    <w:sdtContent>
      <w:p w14:paraId="354C904B" w14:textId="53D2FDBE" w:rsidR="00F7507E" w:rsidRDefault="00F750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183E3E" w14:textId="77777777" w:rsidR="00F7507E" w:rsidRDefault="00F75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A2281" w14:textId="77777777" w:rsidR="007F6251" w:rsidRDefault="007F6251" w:rsidP="00F7507E">
      <w:pPr>
        <w:spacing w:after="0" w:line="240" w:lineRule="auto"/>
      </w:pPr>
      <w:r>
        <w:separator/>
      </w:r>
    </w:p>
  </w:footnote>
  <w:footnote w:type="continuationSeparator" w:id="0">
    <w:p w14:paraId="6B5BA970" w14:textId="77777777" w:rsidR="007F6251" w:rsidRDefault="007F6251" w:rsidP="00F750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xMrc0Nbc0t7QwMjVQ0lEKTi0uzszPAykwrQUAV8kKtCwAAAA="/>
  </w:docVars>
  <w:rsids>
    <w:rsidRoot w:val="00B10A34"/>
    <w:rsid w:val="0009019F"/>
    <w:rsid w:val="000E2636"/>
    <w:rsid w:val="0010203D"/>
    <w:rsid w:val="00157667"/>
    <w:rsid w:val="00167463"/>
    <w:rsid w:val="001A789D"/>
    <w:rsid w:val="00231029"/>
    <w:rsid w:val="0023795D"/>
    <w:rsid w:val="00284E48"/>
    <w:rsid w:val="002B63CF"/>
    <w:rsid w:val="002C1523"/>
    <w:rsid w:val="003015F4"/>
    <w:rsid w:val="00452326"/>
    <w:rsid w:val="00570152"/>
    <w:rsid w:val="0062773E"/>
    <w:rsid w:val="006B60BE"/>
    <w:rsid w:val="006C1B78"/>
    <w:rsid w:val="007F6251"/>
    <w:rsid w:val="00812D26"/>
    <w:rsid w:val="008D39A2"/>
    <w:rsid w:val="009648ED"/>
    <w:rsid w:val="00964A96"/>
    <w:rsid w:val="009A3723"/>
    <w:rsid w:val="009C7733"/>
    <w:rsid w:val="00A6144B"/>
    <w:rsid w:val="00A94A84"/>
    <w:rsid w:val="00AC506F"/>
    <w:rsid w:val="00B10A34"/>
    <w:rsid w:val="00B730AD"/>
    <w:rsid w:val="00B866B1"/>
    <w:rsid w:val="00BA1F13"/>
    <w:rsid w:val="00BE10A2"/>
    <w:rsid w:val="00CC7498"/>
    <w:rsid w:val="00D9514C"/>
    <w:rsid w:val="00D959EA"/>
    <w:rsid w:val="00DB7886"/>
    <w:rsid w:val="00E21555"/>
    <w:rsid w:val="00E65A7F"/>
    <w:rsid w:val="00F068DE"/>
    <w:rsid w:val="00F7307A"/>
    <w:rsid w:val="00F7507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EBC2"/>
  <w15:chartTrackingRefBased/>
  <w15:docId w15:val="{981C8CA5-484C-4CC2-A58D-07BD81C4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0A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0A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10A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0A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0A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A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A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A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A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A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0A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10A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A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A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A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A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A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A34"/>
    <w:rPr>
      <w:rFonts w:eastAsiaTheme="majorEastAsia" w:cstheme="majorBidi"/>
      <w:color w:val="272727" w:themeColor="text1" w:themeTint="D8"/>
    </w:rPr>
  </w:style>
  <w:style w:type="paragraph" w:styleId="Title">
    <w:name w:val="Title"/>
    <w:basedOn w:val="Normal"/>
    <w:next w:val="Normal"/>
    <w:link w:val="TitleChar"/>
    <w:uiPriority w:val="10"/>
    <w:qFormat/>
    <w:rsid w:val="00B10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A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A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A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A34"/>
    <w:pPr>
      <w:spacing w:before="160"/>
      <w:jc w:val="center"/>
    </w:pPr>
    <w:rPr>
      <w:i/>
      <w:iCs/>
      <w:color w:val="404040" w:themeColor="text1" w:themeTint="BF"/>
    </w:rPr>
  </w:style>
  <w:style w:type="character" w:customStyle="1" w:styleId="QuoteChar">
    <w:name w:val="Quote Char"/>
    <w:basedOn w:val="DefaultParagraphFont"/>
    <w:link w:val="Quote"/>
    <w:uiPriority w:val="29"/>
    <w:rsid w:val="00B10A34"/>
    <w:rPr>
      <w:i/>
      <w:iCs/>
      <w:color w:val="404040" w:themeColor="text1" w:themeTint="BF"/>
    </w:rPr>
  </w:style>
  <w:style w:type="paragraph" w:styleId="ListParagraph">
    <w:name w:val="List Paragraph"/>
    <w:basedOn w:val="Normal"/>
    <w:uiPriority w:val="34"/>
    <w:qFormat/>
    <w:rsid w:val="00B10A34"/>
    <w:pPr>
      <w:ind w:left="720"/>
      <w:contextualSpacing/>
    </w:pPr>
  </w:style>
  <w:style w:type="character" w:styleId="IntenseEmphasis">
    <w:name w:val="Intense Emphasis"/>
    <w:basedOn w:val="DefaultParagraphFont"/>
    <w:uiPriority w:val="21"/>
    <w:qFormat/>
    <w:rsid w:val="00B10A34"/>
    <w:rPr>
      <w:i/>
      <w:iCs/>
      <w:color w:val="0F4761" w:themeColor="accent1" w:themeShade="BF"/>
    </w:rPr>
  </w:style>
  <w:style w:type="paragraph" w:styleId="IntenseQuote">
    <w:name w:val="Intense Quote"/>
    <w:basedOn w:val="Normal"/>
    <w:next w:val="Normal"/>
    <w:link w:val="IntenseQuoteChar"/>
    <w:uiPriority w:val="30"/>
    <w:qFormat/>
    <w:rsid w:val="00B10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A34"/>
    <w:rPr>
      <w:i/>
      <w:iCs/>
      <w:color w:val="0F4761" w:themeColor="accent1" w:themeShade="BF"/>
    </w:rPr>
  </w:style>
  <w:style w:type="character" w:styleId="IntenseReference">
    <w:name w:val="Intense Reference"/>
    <w:basedOn w:val="DefaultParagraphFont"/>
    <w:uiPriority w:val="32"/>
    <w:qFormat/>
    <w:rsid w:val="00B10A34"/>
    <w:rPr>
      <w:b/>
      <w:bCs/>
      <w:smallCaps/>
      <w:color w:val="0F4761" w:themeColor="accent1" w:themeShade="BF"/>
      <w:spacing w:val="5"/>
    </w:rPr>
  </w:style>
  <w:style w:type="table" w:styleId="TableGrid">
    <w:name w:val="Table Grid"/>
    <w:basedOn w:val="TableNormal"/>
    <w:uiPriority w:val="39"/>
    <w:rsid w:val="00B10A34"/>
    <w:pPr>
      <w:spacing w:after="0" w:line="240" w:lineRule="auto"/>
    </w:pPr>
    <w:rPr>
      <w:sz w:val="21"/>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507E"/>
    <w:pPr>
      <w:tabs>
        <w:tab w:val="center" w:pos="4320"/>
        <w:tab w:val="right" w:pos="8640"/>
      </w:tabs>
      <w:spacing w:after="0" w:line="240" w:lineRule="auto"/>
    </w:pPr>
  </w:style>
  <w:style w:type="character" w:customStyle="1" w:styleId="HeaderChar">
    <w:name w:val="Header Char"/>
    <w:basedOn w:val="DefaultParagraphFont"/>
    <w:link w:val="Header"/>
    <w:uiPriority w:val="99"/>
    <w:rsid w:val="00F7507E"/>
  </w:style>
  <w:style w:type="paragraph" w:styleId="Footer">
    <w:name w:val="footer"/>
    <w:basedOn w:val="Normal"/>
    <w:link w:val="FooterChar"/>
    <w:uiPriority w:val="99"/>
    <w:unhideWhenUsed/>
    <w:rsid w:val="00F7507E"/>
    <w:pPr>
      <w:tabs>
        <w:tab w:val="center" w:pos="4320"/>
        <w:tab w:val="right" w:pos="8640"/>
      </w:tabs>
      <w:spacing w:after="0" w:line="240" w:lineRule="auto"/>
    </w:pPr>
  </w:style>
  <w:style w:type="character" w:customStyle="1" w:styleId="FooterChar">
    <w:name w:val="Footer Char"/>
    <w:basedOn w:val="DefaultParagraphFont"/>
    <w:link w:val="Footer"/>
    <w:uiPriority w:val="99"/>
    <w:rsid w:val="00F75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14</Pages>
  <Words>955</Words>
  <Characters>5444</Characters>
  <Application>Microsoft Office Word</Application>
  <DocSecurity>0</DocSecurity>
  <Lines>45</Lines>
  <Paragraphs>12</Paragraphs>
  <ScaleCrop>false</ScaleCrop>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Wang</dc:creator>
  <cp:keywords/>
  <dc:description/>
  <cp:lastModifiedBy>Song Wang</cp:lastModifiedBy>
  <cp:revision>41</cp:revision>
  <dcterms:created xsi:type="dcterms:W3CDTF">2024-03-20T17:05:00Z</dcterms:created>
  <dcterms:modified xsi:type="dcterms:W3CDTF">2024-03-21T18:23:00Z</dcterms:modified>
</cp:coreProperties>
</file>