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AD1DE" w14:textId="072E4549" w:rsidR="00836885" w:rsidRPr="00982E50" w:rsidRDefault="00836885" w:rsidP="00836885">
      <w:pPr>
        <w:suppressAutoHyphens/>
        <w:spacing w:after="0" w:line="240" w:lineRule="auto"/>
        <w:jc w:val="center"/>
        <w:rPr>
          <w:rFonts w:ascii="Times New Roman" w:eastAsia="Arial" w:hAnsi="Times New Roman" w:cs="Times New Roman"/>
          <w:b/>
          <w:bCs/>
          <w:sz w:val="24"/>
          <w:szCs w:val="24"/>
          <w:lang w:val="en-GB"/>
        </w:rPr>
      </w:pPr>
      <w:bookmarkStart w:id="0" w:name="_Hlk129365155"/>
      <w:bookmarkEnd w:id="0"/>
      <w:r w:rsidRPr="00982E50">
        <w:rPr>
          <w:rFonts w:ascii="Times New Roman" w:eastAsia="Arial" w:hAnsi="Times New Roman" w:cs="Times New Roman"/>
          <w:b/>
          <w:bCs/>
          <w:sz w:val="24"/>
          <w:szCs w:val="24"/>
          <w:lang w:val="en-GB"/>
        </w:rPr>
        <w:t>Single cell lineage tracing reveals clonal dynamics of anti-EGFR therapy resistance in triple negative breast cancer.</w:t>
      </w:r>
    </w:p>
    <w:p w14:paraId="1AC1DF6F" w14:textId="77777777" w:rsidR="00836885" w:rsidRPr="00982E50" w:rsidRDefault="00836885" w:rsidP="00836885">
      <w:pPr>
        <w:suppressAutoHyphens/>
        <w:spacing w:after="0" w:line="240" w:lineRule="auto"/>
        <w:jc w:val="both"/>
        <w:rPr>
          <w:rFonts w:ascii="Times New Roman" w:eastAsia="Arial" w:hAnsi="Times New Roman" w:cs="Times New Roman"/>
          <w:b/>
          <w:bCs/>
          <w:sz w:val="24"/>
          <w:szCs w:val="24"/>
          <w:lang w:val="en-GB"/>
        </w:rPr>
      </w:pPr>
    </w:p>
    <w:p w14:paraId="1AA55821" w14:textId="77777777" w:rsidR="00836885" w:rsidRPr="00982E50" w:rsidRDefault="00836885" w:rsidP="00836885">
      <w:pPr>
        <w:suppressAutoHyphens/>
        <w:spacing w:after="0" w:line="240" w:lineRule="auto"/>
        <w:jc w:val="both"/>
        <w:rPr>
          <w:rFonts w:ascii="Times New Roman" w:eastAsia="Times New Roman,Times New Roman" w:hAnsi="Times New Roman" w:cs="Times New Roman"/>
          <w:b/>
          <w:bCs/>
          <w:sz w:val="24"/>
          <w:szCs w:val="24"/>
          <w:lang w:val="it-IT"/>
        </w:rPr>
      </w:pPr>
      <w:r w:rsidRPr="00982E50">
        <w:rPr>
          <w:rFonts w:ascii="Times New Roman" w:eastAsia="Times New Roman,Times New Roman" w:hAnsi="Times New Roman" w:cs="Times New Roman"/>
          <w:b/>
          <w:bCs/>
          <w:sz w:val="24"/>
          <w:szCs w:val="24"/>
          <w:lang w:val="it-IT"/>
        </w:rPr>
        <w:t>AUTHORS</w:t>
      </w:r>
    </w:p>
    <w:p w14:paraId="5432A34F" w14:textId="77777777" w:rsidR="00836885" w:rsidRPr="00982E50" w:rsidRDefault="00836885" w:rsidP="00836885">
      <w:pPr>
        <w:suppressAutoHyphens/>
        <w:spacing w:after="0" w:line="240" w:lineRule="auto"/>
        <w:jc w:val="both"/>
        <w:rPr>
          <w:rFonts w:ascii="Times New Roman" w:eastAsia="Arial" w:hAnsi="Times New Roman" w:cs="Times New Roman"/>
          <w:b/>
          <w:bCs/>
          <w:sz w:val="24"/>
          <w:szCs w:val="24"/>
          <w:vertAlign w:val="superscript"/>
          <w:lang w:val="it-IT"/>
        </w:rPr>
      </w:pPr>
      <w:r w:rsidRPr="00982E50">
        <w:rPr>
          <w:rFonts w:ascii="Times New Roman" w:eastAsia="Arial" w:hAnsi="Times New Roman" w:cs="Times New Roman"/>
          <w:b/>
          <w:bCs/>
          <w:sz w:val="24"/>
          <w:szCs w:val="24"/>
          <w:lang w:val="it-IT"/>
        </w:rPr>
        <w:t>Simona Pellecchia</w:t>
      </w:r>
      <w:r w:rsidRPr="00982E50">
        <w:rPr>
          <w:rFonts w:ascii="Times New Roman" w:eastAsia="Arial" w:hAnsi="Times New Roman" w:cs="Times New Roman"/>
          <w:b/>
          <w:bCs/>
          <w:sz w:val="24"/>
          <w:szCs w:val="24"/>
          <w:vertAlign w:val="superscript"/>
          <w:lang w:val="it-IT"/>
        </w:rPr>
        <w:t>1,4,†</w:t>
      </w:r>
      <w:r w:rsidRPr="00982E50">
        <w:rPr>
          <w:rFonts w:ascii="Times New Roman" w:eastAsia="Arial" w:hAnsi="Times New Roman" w:cs="Times New Roman"/>
          <w:b/>
          <w:bCs/>
          <w:sz w:val="24"/>
          <w:szCs w:val="24"/>
          <w:lang w:val="it-IT"/>
        </w:rPr>
        <w:t>, Melania Franchini</w:t>
      </w:r>
      <w:r w:rsidRPr="00982E50">
        <w:rPr>
          <w:rFonts w:ascii="Times New Roman" w:eastAsia="Arial" w:hAnsi="Times New Roman" w:cs="Times New Roman"/>
          <w:b/>
          <w:bCs/>
          <w:sz w:val="24"/>
          <w:szCs w:val="24"/>
          <w:vertAlign w:val="superscript"/>
          <w:lang w:val="it-IT"/>
        </w:rPr>
        <w:t>1,3,†</w:t>
      </w:r>
      <w:r w:rsidRPr="00982E50">
        <w:rPr>
          <w:rFonts w:ascii="Times New Roman" w:eastAsia="Arial" w:hAnsi="Times New Roman" w:cs="Times New Roman"/>
          <w:b/>
          <w:bCs/>
          <w:sz w:val="24"/>
          <w:szCs w:val="24"/>
          <w:lang w:val="it-IT"/>
        </w:rPr>
        <w:t>, Gaetano Viscido</w:t>
      </w:r>
      <w:r w:rsidRPr="00982E50">
        <w:rPr>
          <w:rFonts w:ascii="Times New Roman" w:eastAsia="Arial" w:hAnsi="Times New Roman" w:cs="Times New Roman"/>
          <w:b/>
          <w:bCs/>
          <w:sz w:val="24"/>
          <w:szCs w:val="24"/>
          <w:vertAlign w:val="superscript"/>
          <w:lang w:val="it-IT"/>
        </w:rPr>
        <w:t>1,2</w:t>
      </w:r>
      <w:r w:rsidRPr="00982E50">
        <w:rPr>
          <w:rFonts w:ascii="Times New Roman" w:eastAsia="Arial" w:hAnsi="Times New Roman" w:cs="Times New Roman"/>
          <w:b/>
          <w:bCs/>
          <w:sz w:val="24"/>
          <w:szCs w:val="24"/>
          <w:lang w:val="it-IT"/>
        </w:rPr>
        <w:t>, Riccardo Arnese</w:t>
      </w:r>
      <w:r w:rsidRPr="00982E50">
        <w:rPr>
          <w:rFonts w:ascii="Times New Roman" w:eastAsia="Arial" w:hAnsi="Times New Roman" w:cs="Times New Roman"/>
          <w:b/>
          <w:bCs/>
          <w:sz w:val="24"/>
          <w:szCs w:val="24"/>
          <w:vertAlign w:val="superscript"/>
          <w:lang w:val="it-IT"/>
        </w:rPr>
        <w:t>1,3</w:t>
      </w:r>
      <w:r w:rsidRPr="00982E50">
        <w:rPr>
          <w:rFonts w:ascii="Times New Roman" w:eastAsia="Arial" w:hAnsi="Times New Roman" w:cs="Times New Roman"/>
          <w:b/>
          <w:bCs/>
          <w:sz w:val="24"/>
          <w:szCs w:val="24"/>
          <w:lang w:val="it-IT"/>
        </w:rPr>
        <w:t>, Gennaro Gambardella</w:t>
      </w:r>
      <w:r w:rsidRPr="00982E50">
        <w:rPr>
          <w:rFonts w:ascii="Times New Roman" w:eastAsia="Arial" w:hAnsi="Times New Roman" w:cs="Times New Roman"/>
          <w:b/>
          <w:bCs/>
          <w:sz w:val="24"/>
          <w:szCs w:val="24"/>
          <w:vertAlign w:val="superscript"/>
          <w:lang w:val="it-IT"/>
        </w:rPr>
        <w:t>1,2,#</w:t>
      </w:r>
    </w:p>
    <w:p w14:paraId="35AFE5D1" w14:textId="77777777" w:rsidR="00836885" w:rsidRPr="00982E50" w:rsidRDefault="00836885" w:rsidP="00836885">
      <w:pPr>
        <w:suppressAutoHyphens/>
        <w:spacing w:after="0" w:line="240" w:lineRule="auto"/>
        <w:jc w:val="both"/>
        <w:rPr>
          <w:rFonts w:ascii="Times New Roman" w:eastAsia="Arial" w:hAnsi="Times New Roman" w:cs="Times New Roman"/>
          <w:b/>
          <w:bCs/>
          <w:sz w:val="24"/>
          <w:szCs w:val="24"/>
          <w:lang w:val="it-IT"/>
        </w:rPr>
      </w:pPr>
    </w:p>
    <w:p w14:paraId="38104DC8" w14:textId="77777777" w:rsidR="00836885" w:rsidRPr="00982E50" w:rsidRDefault="00836885" w:rsidP="00836885">
      <w:pPr>
        <w:suppressAutoHyphens/>
        <w:spacing w:after="0" w:line="240" w:lineRule="auto"/>
        <w:jc w:val="both"/>
        <w:rPr>
          <w:rFonts w:ascii="Times New Roman" w:eastAsia="Times New Roman,Times New Roman" w:hAnsi="Times New Roman" w:cs="Times New Roman"/>
          <w:b/>
          <w:bCs/>
          <w:sz w:val="24"/>
          <w:szCs w:val="24"/>
          <w:lang w:val="en-GB"/>
        </w:rPr>
      </w:pPr>
      <w:r w:rsidRPr="00982E50">
        <w:rPr>
          <w:rFonts w:ascii="Times New Roman" w:eastAsia="Times New Roman,Times New Roman" w:hAnsi="Times New Roman" w:cs="Times New Roman"/>
          <w:b/>
          <w:bCs/>
          <w:sz w:val="24"/>
          <w:szCs w:val="24"/>
          <w:lang w:val="en-GB"/>
        </w:rPr>
        <w:t>AFFILIATIONS</w:t>
      </w:r>
    </w:p>
    <w:p w14:paraId="6484B6BD" w14:textId="77777777" w:rsidR="00836885" w:rsidRPr="00982E50" w:rsidRDefault="00836885" w:rsidP="00836885">
      <w:pPr>
        <w:suppressAutoHyphens/>
        <w:spacing w:after="0" w:line="240" w:lineRule="auto"/>
        <w:jc w:val="both"/>
        <w:rPr>
          <w:rFonts w:ascii="Times New Roman" w:eastAsia="Times New Roman" w:hAnsi="Times New Roman" w:cs="Times New Roman"/>
          <w:sz w:val="24"/>
          <w:szCs w:val="24"/>
          <w:lang w:val="en-GB"/>
        </w:rPr>
      </w:pPr>
      <w:r w:rsidRPr="00982E50">
        <w:rPr>
          <w:rFonts w:ascii="Times New Roman" w:eastAsia="Times New Roman" w:hAnsi="Times New Roman" w:cs="Times New Roman"/>
          <w:sz w:val="24"/>
          <w:szCs w:val="24"/>
          <w:vertAlign w:val="superscript"/>
          <w:lang w:val="en-GB"/>
        </w:rPr>
        <w:t>1</w:t>
      </w:r>
      <w:r w:rsidRPr="00982E50">
        <w:rPr>
          <w:rFonts w:ascii="Times New Roman" w:eastAsia="Times New Roman" w:hAnsi="Times New Roman" w:cs="Times New Roman"/>
          <w:sz w:val="24"/>
          <w:szCs w:val="24"/>
          <w:lang w:val="en-GB"/>
        </w:rPr>
        <w:t>Telethon Institute of Genetics and Medicine, Naples, Italy</w:t>
      </w:r>
    </w:p>
    <w:p w14:paraId="52635CA2" w14:textId="77777777" w:rsidR="00836885" w:rsidRPr="00982E50" w:rsidRDefault="00836885" w:rsidP="00836885">
      <w:pPr>
        <w:suppressAutoHyphens/>
        <w:spacing w:after="0" w:line="240" w:lineRule="auto"/>
        <w:jc w:val="both"/>
        <w:rPr>
          <w:rFonts w:ascii="Times New Roman" w:eastAsia="Times New Roman" w:hAnsi="Times New Roman" w:cs="Times New Roman"/>
          <w:sz w:val="24"/>
          <w:szCs w:val="24"/>
          <w:lang w:val="en-GB"/>
        </w:rPr>
      </w:pPr>
      <w:r w:rsidRPr="00982E50">
        <w:rPr>
          <w:rFonts w:ascii="Times New Roman" w:eastAsia="Times New Roman" w:hAnsi="Times New Roman" w:cs="Times New Roman"/>
          <w:sz w:val="24"/>
          <w:szCs w:val="24"/>
          <w:vertAlign w:val="superscript"/>
          <w:lang w:val="en-GB"/>
        </w:rPr>
        <w:t>2</w:t>
      </w:r>
      <w:r w:rsidRPr="00982E50">
        <w:rPr>
          <w:rFonts w:ascii="Times New Roman" w:eastAsia="Times New Roman" w:hAnsi="Times New Roman" w:cs="Times New Roman"/>
          <w:sz w:val="24"/>
          <w:szCs w:val="24"/>
          <w:lang w:val="en-GB"/>
        </w:rPr>
        <w:t>University of Naples Federico II, Department of Chemical, Materials and Industrial Engineering, Naples, Italy</w:t>
      </w:r>
    </w:p>
    <w:p w14:paraId="48E582E0" w14:textId="77777777" w:rsidR="00836885" w:rsidRPr="00982E50" w:rsidRDefault="00836885" w:rsidP="00836885">
      <w:pPr>
        <w:suppressAutoHyphens/>
        <w:spacing w:after="0" w:line="240" w:lineRule="auto"/>
        <w:jc w:val="both"/>
        <w:rPr>
          <w:rFonts w:ascii="Times New Roman" w:eastAsia="Times New Roman" w:hAnsi="Times New Roman" w:cs="Times New Roman"/>
          <w:sz w:val="24"/>
          <w:szCs w:val="24"/>
          <w:lang w:val="en-GB"/>
        </w:rPr>
      </w:pPr>
      <w:r w:rsidRPr="00982E50">
        <w:rPr>
          <w:rFonts w:ascii="Times New Roman" w:eastAsia="Times New Roman" w:hAnsi="Times New Roman" w:cs="Times New Roman"/>
          <w:sz w:val="24"/>
          <w:szCs w:val="24"/>
          <w:vertAlign w:val="superscript"/>
          <w:lang w:val="en-GB"/>
        </w:rPr>
        <w:t>3</w:t>
      </w:r>
      <w:r w:rsidRPr="00982E50">
        <w:rPr>
          <w:rFonts w:ascii="Times New Roman" w:eastAsia="Times New Roman" w:hAnsi="Times New Roman" w:cs="Times New Roman"/>
          <w:sz w:val="24"/>
          <w:szCs w:val="24"/>
          <w:lang w:val="en-GB"/>
        </w:rPr>
        <w:t>University of Naples Federico II, Department of Electrical Engineering and Information Technology, Naples, Italy</w:t>
      </w:r>
    </w:p>
    <w:p w14:paraId="27DAA4EB" w14:textId="77777777" w:rsidR="00836885" w:rsidRPr="00982E50" w:rsidRDefault="00836885" w:rsidP="00836885">
      <w:pPr>
        <w:suppressAutoHyphens/>
        <w:spacing w:after="0" w:line="240" w:lineRule="auto"/>
        <w:jc w:val="both"/>
        <w:rPr>
          <w:rFonts w:ascii="Times New Roman" w:eastAsia="Times New Roman" w:hAnsi="Times New Roman" w:cs="Times New Roman"/>
          <w:sz w:val="24"/>
          <w:szCs w:val="24"/>
          <w:lang w:val="it-IT"/>
        </w:rPr>
      </w:pPr>
      <w:r w:rsidRPr="00982E50">
        <w:rPr>
          <w:rFonts w:ascii="Times New Roman" w:eastAsia="Times New Roman" w:hAnsi="Times New Roman" w:cs="Times New Roman"/>
          <w:sz w:val="24"/>
          <w:szCs w:val="24"/>
          <w:vertAlign w:val="superscript"/>
          <w:lang w:val="it-IT"/>
        </w:rPr>
        <w:t>4</w:t>
      </w:r>
      <w:r w:rsidRPr="00982E50">
        <w:rPr>
          <w:rFonts w:ascii="Times New Roman" w:eastAsia="Times New Roman" w:hAnsi="Times New Roman" w:cs="Times New Roman"/>
          <w:sz w:val="24"/>
          <w:szCs w:val="24"/>
          <w:lang w:val="it-IT"/>
        </w:rPr>
        <w:t xml:space="preserve">Scuola Superiore Meridionale, </w:t>
      </w:r>
      <w:proofErr w:type="spellStart"/>
      <w:r w:rsidRPr="00982E50">
        <w:rPr>
          <w:rFonts w:ascii="Times New Roman" w:eastAsia="Times New Roman" w:hAnsi="Times New Roman" w:cs="Times New Roman"/>
          <w:sz w:val="24"/>
          <w:szCs w:val="24"/>
          <w:lang w:val="it-IT"/>
        </w:rPr>
        <w:t>Genomics</w:t>
      </w:r>
      <w:proofErr w:type="spellEnd"/>
      <w:r w:rsidRPr="00982E50">
        <w:rPr>
          <w:rFonts w:ascii="Times New Roman" w:eastAsia="Times New Roman" w:hAnsi="Times New Roman" w:cs="Times New Roman"/>
          <w:sz w:val="24"/>
          <w:szCs w:val="24"/>
          <w:lang w:val="it-IT"/>
        </w:rPr>
        <w:t xml:space="preserve"> and </w:t>
      </w:r>
      <w:proofErr w:type="spellStart"/>
      <w:r w:rsidRPr="00982E50">
        <w:rPr>
          <w:rFonts w:ascii="Times New Roman" w:eastAsia="Times New Roman" w:hAnsi="Times New Roman" w:cs="Times New Roman"/>
          <w:sz w:val="24"/>
          <w:szCs w:val="24"/>
          <w:lang w:val="it-IT"/>
        </w:rPr>
        <w:t>Experimental</w:t>
      </w:r>
      <w:proofErr w:type="spellEnd"/>
      <w:r w:rsidRPr="00982E50">
        <w:rPr>
          <w:rFonts w:ascii="Times New Roman" w:eastAsia="Times New Roman" w:hAnsi="Times New Roman" w:cs="Times New Roman"/>
          <w:sz w:val="24"/>
          <w:szCs w:val="24"/>
          <w:lang w:val="it-IT"/>
        </w:rPr>
        <w:t xml:space="preserve"> Medicine Program, </w:t>
      </w:r>
      <w:proofErr w:type="spellStart"/>
      <w:r w:rsidRPr="00982E50">
        <w:rPr>
          <w:rFonts w:ascii="Times New Roman" w:eastAsia="Times New Roman" w:hAnsi="Times New Roman" w:cs="Times New Roman"/>
          <w:sz w:val="24"/>
          <w:szCs w:val="24"/>
          <w:lang w:val="it-IT"/>
        </w:rPr>
        <w:t>Naples</w:t>
      </w:r>
      <w:proofErr w:type="spellEnd"/>
      <w:r w:rsidRPr="00982E50">
        <w:rPr>
          <w:rFonts w:ascii="Times New Roman" w:eastAsia="Times New Roman" w:hAnsi="Times New Roman" w:cs="Times New Roman"/>
          <w:sz w:val="24"/>
          <w:szCs w:val="24"/>
          <w:lang w:val="it-IT"/>
        </w:rPr>
        <w:t xml:space="preserve">, </w:t>
      </w:r>
      <w:proofErr w:type="spellStart"/>
      <w:r w:rsidRPr="00982E50">
        <w:rPr>
          <w:rFonts w:ascii="Times New Roman" w:eastAsia="Times New Roman" w:hAnsi="Times New Roman" w:cs="Times New Roman"/>
          <w:sz w:val="24"/>
          <w:szCs w:val="24"/>
          <w:lang w:val="it-IT"/>
        </w:rPr>
        <w:t>Italy</w:t>
      </w:r>
      <w:proofErr w:type="spellEnd"/>
    </w:p>
    <w:p w14:paraId="09F5812C" w14:textId="77777777" w:rsidR="00836885" w:rsidRPr="00982E50" w:rsidRDefault="00836885" w:rsidP="00836885">
      <w:pPr>
        <w:suppressAutoHyphens/>
        <w:spacing w:after="0" w:line="240" w:lineRule="auto"/>
        <w:jc w:val="both"/>
        <w:rPr>
          <w:rFonts w:ascii="Times New Roman" w:eastAsia="Times New Roman" w:hAnsi="Times New Roman" w:cs="Times New Roman"/>
          <w:sz w:val="24"/>
          <w:szCs w:val="24"/>
          <w:lang w:val="it-IT"/>
        </w:rPr>
      </w:pPr>
    </w:p>
    <w:p w14:paraId="2A69387F" w14:textId="77777777" w:rsidR="00836885" w:rsidRPr="00982E50" w:rsidRDefault="00836885" w:rsidP="00836885">
      <w:pPr>
        <w:suppressAutoHyphens/>
        <w:spacing w:after="0" w:line="240" w:lineRule="auto"/>
        <w:jc w:val="both"/>
        <w:rPr>
          <w:rFonts w:ascii="Times New Roman" w:eastAsia="Arial" w:hAnsi="Times New Roman" w:cs="Times New Roman"/>
          <w:b/>
          <w:bCs/>
          <w:sz w:val="24"/>
          <w:szCs w:val="24"/>
          <w:lang w:val="en-GB"/>
        </w:rPr>
      </w:pPr>
      <w:r w:rsidRPr="00982E50">
        <w:rPr>
          <w:rFonts w:ascii="Times New Roman" w:eastAsia="Arial" w:hAnsi="Times New Roman" w:cs="Times New Roman"/>
          <w:b/>
          <w:bCs/>
          <w:sz w:val="24"/>
          <w:szCs w:val="24"/>
          <w:vertAlign w:val="superscript"/>
          <w:lang w:val="en-GB"/>
        </w:rPr>
        <w:t>†</w:t>
      </w:r>
      <w:r w:rsidRPr="00982E50">
        <w:rPr>
          <w:rFonts w:ascii="Times New Roman" w:eastAsia="Arial" w:hAnsi="Times New Roman" w:cs="Times New Roman"/>
          <w:b/>
          <w:bCs/>
          <w:sz w:val="24"/>
          <w:szCs w:val="24"/>
          <w:lang w:val="en-GB"/>
        </w:rPr>
        <w:t>These two authors contributed equally to the work.</w:t>
      </w:r>
    </w:p>
    <w:p w14:paraId="5AB3C6F6" w14:textId="77777777" w:rsidR="00CA1CD3" w:rsidRPr="00982E50" w:rsidRDefault="00CA1CD3">
      <w:pPr>
        <w:rPr>
          <w:sz w:val="24"/>
          <w:szCs w:val="24"/>
          <w:lang w:val="en-GB"/>
        </w:rPr>
      </w:pPr>
    </w:p>
    <w:p w14:paraId="519EC4B1" w14:textId="52EC9F9A" w:rsidR="00CA1CD3" w:rsidRPr="00982E50" w:rsidRDefault="00CA1CD3">
      <w:pPr>
        <w:rPr>
          <w:sz w:val="24"/>
          <w:szCs w:val="24"/>
        </w:rPr>
      </w:pPr>
      <w:r w:rsidRPr="00982E50">
        <w:rPr>
          <w:sz w:val="24"/>
          <w:szCs w:val="24"/>
        </w:rPr>
        <w:br w:type="page"/>
      </w:r>
    </w:p>
    <w:p w14:paraId="33A37650" w14:textId="45EA8936" w:rsidR="22DC5C73" w:rsidRPr="00982E50" w:rsidRDefault="00FB6A70" w:rsidP="00FB6A70">
      <w:pPr>
        <w:jc w:val="center"/>
        <w:rPr>
          <w:sz w:val="24"/>
          <w:szCs w:val="24"/>
        </w:rPr>
      </w:pPr>
      <w:r w:rsidRPr="00982E50">
        <w:rPr>
          <w:noProof/>
          <w:sz w:val="24"/>
          <w:szCs w:val="24"/>
        </w:rPr>
        <w:lastRenderedPageBreak/>
        <w:drawing>
          <wp:inline distT="0" distB="0" distL="0" distR="0" wp14:anchorId="353F5EF2" wp14:editId="687CA8B8">
            <wp:extent cx="4849091" cy="5476875"/>
            <wp:effectExtent l="0" t="0" r="889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rotWithShape="1">
                    <a:blip r:embed="rId5" cstate="print">
                      <a:extLst>
                        <a:ext uri="{28A0092B-C50C-407E-A947-70E740481C1C}">
                          <a14:useLocalDpi xmlns:a14="http://schemas.microsoft.com/office/drawing/2010/main" val="0"/>
                        </a:ext>
                      </a:extLst>
                    </a:blip>
                    <a:srcRect r="18410" b="21128"/>
                    <a:stretch/>
                  </pic:blipFill>
                  <pic:spPr bwMode="auto">
                    <a:xfrm>
                      <a:off x="0" y="0"/>
                      <a:ext cx="4849347" cy="5477164"/>
                    </a:xfrm>
                    <a:prstGeom prst="rect">
                      <a:avLst/>
                    </a:prstGeom>
                    <a:ln>
                      <a:noFill/>
                    </a:ln>
                    <a:extLst>
                      <a:ext uri="{53640926-AAD7-44D8-BBD7-CCE9431645EC}">
                        <a14:shadowObscured xmlns:a14="http://schemas.microsoft.com/office/drawing/2010/main"/>
                      </a:ext>
                    </a:extLst>
                  </pic:spPr>
                </pic:pic>
              </a:graphicData>
            </a:graphic>
          </wp:inline>
        </w:drawing>
      </w:r>
    </w:p>
    <w:p w14:paraId="560A2B0B" w14:textId="5F2232B1" w:rsidR="00FB6A70" w:rsidRPr="00982E50" w:rsidRDefault="4B972799" w:rsidP="00FB6A70">
      <w:pPr>
        <w:jc w:val="both"/>
        <w:rPr>
          <w:rFonts w:ascii="Times New Roman" w:eastAsia="Times New Roman" w:hAnsi="Times New Roman" w:cs="Times New Roman"/>
          <w:sz w:val="24"/>
          <w:szCs w:val="24"/>
        </w:rPr>
      </w:pPr>
      <w:r w:rsidRPr="00982E50">
        <w:rPr>
          <w:rFonts w:ascii="Times New Roman" w:eastAsia="Times New Roman" w:hAnsi="Times New Roman" w:cs="Times New Roman"/>
          <w:b/>
          <w:bCs/>
          <w:sz w:val="24"/>
          <w:szCs w:val="24"/>
        </w:rPr>
        <w:t>Supplementary Figure 0</w:t>
      </w:r>
      <w:r w:rsidR="00F15723" w:rsidRPr="00982E50">
        <w:rPr>
          <w:rFonts w:ascii="Times New Roman" w:eastAsia="Times New Roman" w:hAnsi="Times New Roman" w:cs="Times New Roman"/>
          <w:b/>
          <w:bCs/>
          <w:sz w:val="24"/>
          <w:szCs w:val="24"/>
        </w:rPr>
        <w:t>1</w:t>
      </w:r>
      <w:r w:rsidRPr="00982E50">
        <w:rPr>
          <w:rFonts w:ascii="Times New Roman" w:eastAsia="Times New Roman" w:hAnsi="Times New Roman" w:cs="Times New Roman"/>
          <w:b/>
          <w:bCs/>
          <w:sz w:val="24"/>
          <w:szCs w:val="24"/>
        </w:rPr>
        <w:t xml:space="preserve"> – EGFR genetic alterations in </w:t>
      </w:r>
      <w:r w:rsidR="00D176FC" w:rsidRPr="00982E50">
        <w:rPr>
          <w:rFonts w:ascii="Times New Roman" w:eastAsia="Times New Roman" w:hAnsi="Times New Roman" w:cs="Times New Roman"/>
          <w:b/>
          <w:bCs/>
          <w:sz w:val="24"/>
          <w:szCs w:val="24"/>
        </w:rPr>
        <w:t>patients’ cohorts</w:t>
      </w:r>
      <w:r w:rsidRPr="00982E50">
        <w:rPr>
          <w:rFonts w:ascii="Times New Roman" w:eastAsia="Times New Roman" w:hAnsi="Times New Roman" w:cs="Times New Roman"/>
          <w:b/>
          <w:bCs/>
          <w:sz w:val="24"/>
          <w:szCs w:val="24"/>
        </w:rPr>
        <w:t xml:space="preserve">. (A) </w:t>
      </w:r>
      <w:r w:rsidRPr="00982E50">
        <w:rPr>
          <w:rFonts w:ascii="Times New Roman" w:eastAsia="Times New Roman" w:hAnsi="Times New Roman" w:cs="Times New Roman"/>
          <w:sz w:val="24"/>
          <w:szCs w:val="24"/>
        </w:rPr>
        <w:t xml:space="preserve">Bar plot reporting the percentage of TNBC patients from TCGA cohort with copy number alterations (left bar) or </w:t>
      </w:r>
      <w:r w:rsidR="00D176FC" w:rsidRPr="00982E50">
        <w:rPr>
          <w:rFonts w:ascii="Times New Roman" w:eastAsia="Times New Roman" w:hAnsi="Times New Roman" w:cs="Times New Roman"/>
          <w:sz w:val="24"/>
          <w:szCs w:val="24"/>
        </w:rPr>
        <w:t>mutations</w:t>
      </w:r>
      <w:r w:rsidRPr="00982E50">
        <w:rPr>
          <w:rFonts w:ascii="Times New Roman" w:eastAsia="Times New Roman" w:hAnsi="Times New Roman" w:cs="Times New Roman"/>
          <w:sz w:val="24"/>
          <w:szCs w:val="24"/>
        </w:rPr>
        <w:t xml:space="preserve"> (right bar)</w:t>
      </w:r>
      <w:r w:rsidR="00D176FC" w:rsidRPr="00982E50">
        <w:rPr>
          <w:rFonts w:ascii="Times New Roman" w:eastAsia="Times New Roman" w:hAnsi="Times New Roman" w:cs="Times New Roman"/>
          <w:sz w:val="24"/>
          <w:szCs w:val="24"/>
        </w:rPr>
        <w:t xml:space="preserve"> in EGFR gene</w:t>
      </w:r>
      <w:r w:rsidRPr="00982E50">
        <w:rPr>
          <w:rFonts w:ascii="Times New Roman" w:eastAsia="Times New Roman" w:hAnsi="Times New Roman" w:cs="Times New Roman"/>
          <w:sz w:val="24"/>
          <w:szCs w:val="24"/>
        </w:rPr>
        <w:t xml:space="preserve">. </w:t>
      </w:r>
      <w:r w:rsidR="00D92FED" w:rsidRPr="00982E50">
        <w:rPr>
          <w:rFonts w:ascii="Times New Roman" w:eastAsia="Times New Roman" w:hAnsi="Times New Roman" w:cs="Times New Roman"/>
          <w:sz w:val="24"/>
          <w:szCs w:val="24"/>
        </w:rPr>
        <w:t>Specifically</w:t>
      </w:r>
      <w:r w:rsidRPr="00982E50">
        <w:rPr>
          <w:rFonts w:ascii="Times New Roman" w:eastAsia="Times New Roman" w:hAnsi="Times New Roman" w:cs="Times New Roman"/>
          <w:sz w:val="24"/>
          <w:szCs w:val="24"/>
        </w:rPr>
        <w:t>, copy number alteration</w:t>
      </w:r>
      <w:r w:rsidR="00D92FED" w:rsidRPr="00982E50">
        <w:rPr>
          <w:rFonts w:ascii="Times New Roman" w:eastAsia="Times New Roman" w:hAnsi="Times New Roman" w:cs="Times New Roman"/>
          <w:sz w:val="24"/>
          <w:szCs w:val="24"/>
        </w:rPr>
        <w:t>s</w:t>
      </w:r>
      <w:r w:rsidRPr="00982E50">
        <w:rPr>
          <w:rFonts w:ascii="Times New Roman" w:eastAsia="Times New Roman" w:hAnsi="Times New Roman" w:cs="Times New Roman"/>
          <w:sz w:val="24"/>
          <w:szCs w:val="24"/>
        </w:rPr>
        <w:t xml:space="preserve"> were </w:t>
      </w:r>
      <w:r w:rsidR="00D176FC" w:rsidRPr="00982E50">
        <w:rPr>
          <w:rFonts w:ascii="Times New Roman" w:eastAsia="Times New Roman" w:hAnsi="Times New Roman" w:cs="Times New Roman"/>
          <w:sz w:val="24"/>
          <w:szCs w:val="24"/>
        </w:rPr>
        <w:t>divided</w:t>
      </w:r>
      <w:r w:rsidRPr="00982E50">
        <w:rPr>
          <w:rFonts w:ascii="Times New Roman" w:eastAsia="Times New Roman" w:hAnsi="Times New Roman" w:cs="Times New Roman"/>
          <w:sz w:val="24"/>
          <w:szCs w:val="24"/>
        </w:rPr>
        <w:t xml:space="preserve"> </w:t>
      </w:r>
      <w:r w:rsidR="00D176FC" w:rsidRPr="00982E50">
        <w:rPr>
          <w:rFonts w:ascii="Times New Roman" w:eastAsia="Times New Roman" w:hAnsi="Times New Roman" w:cs="Times New Roman"/>
          <w:sz w:val="24"/>
          <w:szCs w:val="24"/>
        </w:rPr>
        <w:t xml:space="preserve">in </w:t>
      </w:r>
      <w:r w:rsidRPr="00982E50">
        <w:rPr>
          <w:rFonts w:ascii="Times New Roman" w:eastAsia="Times New Roman" w:hAnsi="Times New Roman" w:cs="Times New Roman"/>
          <w:sz w:val="24"/>
          <w:szCs w:val="24"/>
        </w:rPr>
        <w:t>gain (3-4 copies, pink) or amplification (</w:t>
      </w:r>
      <w:r w:rsidR="00D176FC" w:rsidRPr="00982E50">
        <w:rPr>
          <w:rFonts w:ascii="Times New Roman" w:eastAsia="Times New Roman" w:hAnsi="Times New Roman" w:cs="Times New Roman"/>
          <w:sz w:val="24"/>
          <w:szCs w:val="24"/>
        </w:rPr>
        <w:t xml:space="preserve">≥ </w:t>
      </w:r>
      <w:r w:rsidRPr="00982E50">
        <w:rPr>
          <w:rFonts w:ascii="Times New Roman" w:eastAsia="Times New Roman" w:hAnsi="Times New Roman" w:cs="Times New Roman"/>
          <w:sz w:val="24"/>
          <w:szCs w:val="24"/>
        </w:rPr>
        <w:t xml:space="preserve">5 copies, red), while mutations were </w:t>
      </w:r>
      <w:r w:rsidR="00D176FC" w:rsidRPr="00982E50">
        <w:rPr>
          <w:rFonts w:ascii="Times New Roman" w:eastAsia="Times New Roman" w:hAnsi="Times New Roman" w:cs="Times New Roman"/>
          <w:sz w:val="24"/>
          <w:szCs w:val="24"/>
        </w:rPr>
        <w:t>separated</w:t>
      </w:r>
      <w:r w:rsidRPr="00982E50">
        <w:rPr>
          <w:rFonts w:ascii="Times New Roman" w:eastAsia="Times New Roman" w:hAnsi="Times New Roman" w:cs="Times New Roman"/>
          <w:sz w:val="24"/>
          <w:szCs w:val="24"/>
        </w:rPr>
        <w:t xml:space="preserve"> </w:t>
      </w:r>
      <w:r w:rsidR="00D176FC" w:rsidRPr="00982E50">
        <w:rPr>
          <w:rFonts w:ascii="Times New Roman" w:eastAsia="Times New Roman" w:hAnsi="Times New Roman" w:cs="Times New Roman"/>
          <w:sz w:val="24"/>
          <w:szCs w:val="24"/>
        </w:rPr>
        <w:t>in</w:t>
      </w:r>
      <w:r w:rsidRPr="00982E50">
        <w:rPr>
          <w:rFonts w:ascii="Times New Roman" w:eastAsia="Times New Roman" w:hAnsi="Times New Roman" w:cs="Times New Roman"/>
          <w:sz w:val="24"/>
          <w:szCs w:val="24"/>
        </w:rPr>
        <w:t xml:space="preserve"> activating (dark blue), deleterious (light blue) and not deleterious ones (cyan). </w:t>
      </w:r>
      <w:r w:rsidRPr="00982E50">
        <w:rPr>
          <w:rFonts w:ascii="Times New Roman" w:eastAsia="Times New Roman" w:hAnsi="Times New Roman" w:cs="Times New Roman"/>
          <w:b/>
          <w:bCs/>
          <w:sz w:val="24"/>
          <w:szCs w:val="24"/>
        </w:rPr>
        <w:t xml:space="preserve">(B) </w:t>
      </w:r>
      <w:r w:rsidR="00D176FC" w:rsidRPr="00982E50">
        <w:rPr>
          <w:rFonts w:ascii="Times New Roman" w:eastAsia="Times New Roman" w:hAnsi="Times New Roman" w:cs="Times New Roman"/>
          <w:sz w:val="24"/>
          <w:szCs w:val="24"/>
        </w:rPr>
        <w:t xml:space="preserve">EGFR gene expression </w:t>
      </w:r>
      <w:r w:rsidR="0091567A" w:rsidRPr="00982E50">
        <w:rPr>
          <w:rFonts w:ascii="Times New Roman" w:eastAsia="Times New Roman" w:hAnsi="Times New Roman" w:cs="Times New Roman"/>
          <w:sz w:val="24"/>
          <w:szCs w:val="24"/>
        </w:rPr>
        <w:t>distribution as a function of its copy number status</w:t>
      </w:r>
      <w:r w:rsidR="00D176FC" w:rsidRPr="00982E50">
        <w:rPr>
          <w:rFonts w:ascii="Times New Roman" w:eastAsia="Times New Roman" w:hAnsi="Times New Roman" w:cs="Times New Roman"/>
          <w:sz w:val="24"/>
          <w:szCs w:val="24"/>
        </w:rPr>
        <w:t xml:space="preserve"> in TNBC patients from TCGA cohort</w:t>
      </w:r>
      <w:r w:rsidRPr="00982E50">
        <w:rPr>
          <w:rFonts w:ascii="Times New Roman" w:eastAsia="Times New Roman" w:hAnsi="Times New Roman" w:cs="Times New Roman"/>
          <w:sz w:val="24"/>
          <w:szCs w:val="24"/>
        </w:rPr>
        <w:t xml:space="preserve">. </w:t>
      </w:r>
      <w:r w:rsidRPr="00982E50">
        <w:rPr>
          <w:rFonts w:ascii="Times New Roman" w:eastAsia="Times New Roman" w:hAnsi="Times New Roman" w:cs="Times New Roman"/>
          <w:b/>
          <w:bCs/>
          <w:sz w:val="24"/>
          <w:szCs w:val="24"/>
        </w:rPr>
        <w:t xml:space="preserve">(C) </w:t>
      </w:r>
      <w:r w:rsidRPr="00982E50">
        <w:rPr>
          <w:rFonts w:ascii="Times New Roman" w:eastAsia="Times New Roman" w:hAnsi="Times New Roman" w:cs="Times New Roman"/>
          <w:sz w:val="24"/>
          <w:szCs w:val="24"/>
        </w:rPr>
        <w:t xml:space="preserve">Correlation between EGFR gene expression </w:t>
      </w:r>
      <w:r w:rsidR="0091567A" w:rsidRPr="00982E50">
        <w:rPr>
          <w:rFonts w:ascii="Times New Roman" w:eastAsia="Times New Roman" w:hAnsi="Times New Roman" w:cs="Times New Roman"/>
          <w:sz w:val="24"/>
          <w:szCs w:val="24"/>
        </w:rPr>
        <w:t>and</w:t>
      </w:r>
      <w:r w:rsidRPr="00982E50">
        <w:rPr>
          <w:rFonts w:ascii="Times New Roman" w:eastAsia="Times New Roman" w:hAnsi="Times New Roman" w:cs="Times New Roman"/>
          <w:sz w:val="24"/>
          <w:szCs w:val="24"/>
        </w:rPr>
        <w:t xml:space="preserve"> its </w:t>
      </w:r>
      <w:r w:rsidR="0091567A" w:rsidRPr="00982E50">
        <w:rPr>
          <w:rFonts w:ascii="Times New Roman" w:eastAsia="Times New Roman" w:hAnsi="Times New Roman" w:cs="Times New Roman"/>
          <w:sz w:val="24"/>
          <w:szCs w:val="24"/>
        </w:rPr>
        <w:t>copy number alteration status</w:t>
      </w:r>
      <w:r w:rsidR="00650CD6" w:rsidRPr="00982E50">
        <w:rPr>
          <w:rFonts w:ascii="Times New Roman" w:eastAsia="Times New Roman" w:hAnsi="Times New Roman" w:cs="Times New Roman"/>
          <w:sz w:val="24"/>
          <w:szCs w:val="24"/>
        </w:rPr>
        <w:t xml:space="preserve"> in TNBC patients from TCGA</w:t>
      </w:r>
      <w:r w:rsidR="0091567A" w:rsidRPr="00982E50">
        <w:rPr>
          <w:rFonts w:ascii="Times New Roman" w:eastAsia="Times New Roman" w:hAnsi="Times New Roman" w:cs="Times New Roman"/>
          <w:sz w:val="24"/>
          <w:szCs w:val="24"/>
        </w:rPr>
        <w:t xml:space="preserve">. </w:t>
      </w:r>
      <w:r w:rsidR="00493686" w:rsidRPr="00982E50">
        <w:rPr>
          <w:rFonts w:ascii="Times New Roman" w:eastAsia="Times New Roman" w:hAnsi="Times New Roman" w:cs="Times New Roman"/>
          <w:sz w:val="24"/>
          <w:szCs w:val="24"/>
        </w:rPr>
        <w:t>EGFR copy number status is represented by the log</w:t>
      </w:r>
      <w:r w:rsidR="00493686" w:rsidRPr="00982E50">
        <w:rPr>
          <w:rFonts w:ascii="Times New Roman" w:eastAsia="Times New Roman" w:hAnsi="Times New Roman" w:cs="Times New Roman"/>
          <w:sz w:val="24"/>
          <w:szCs w:val="24"/>
          <w:vertAlign w:val="subscript"/>
        </w:rPr>
        <w:t>2</w:t>
      </w:r>
      <w:r w:rsidR="00493686" w:rsidRPr="00982E50">
        <w:rPr>
          <w:rFonts w:ascii="Times New Roman" w:eastAsia="Times New Roman" w:hAnsi="Times New Roman" w:cs="Times New Roman"/>
          <w:sz w:val="24"/>
          <w:szCs w:val="24"/>
        </w:rPr>
        <w:t xml:space="preserve"> copy ratio of its segment (x-axis)</w:t>
      </w:r>
      <w:r w:rsidRPr="00982E50">
        <w:rPr>
          <w:rFonts w:ascii="Times New Roman" w:eastAsia="Times New Roman" w:hAnsi="Times New Roman" w:cs="Times New Roman"/>
          <w:sz w:val="24"/>
          <w:szCs w:val="24"/>
        </w:rPr>
        <w:t xml:space="preserve">. </w:t>
      </w:r>
      <w:r w:rsidRPr="00982E50">
        <w:rPr>
          <w:rFonts w:ascii="Times New Roman" w:eastAsia="Times New Roman" w:hAnsi="Times New Roman" w:cs="Times New Roman"/>
          <w:b/>
          <w:bCs/>
          <w:sz w:val="24"/>
          <w:szCs w:val="24"/>
        </w:rPr>
        <w:t xml:space="preserve">(D) </w:t>
      </w:r>
      <w:r w:rsidRPr="00982E50">
        <w:rPr>
          <w:rFonts w:ascii="Times New Roman" w:eastAsia="Times New Roman" w:hAnsi="Times New Roman" w:cs="Times New Roman"/>
          <w:sz w:val="24"/>
          <w:szCs w:val="24"/>
        </w:rPr>
        <w:t xml:space="preserve">Bar plot </w:t>
      </w:r>
      <w:r w:rsidR="0091567A" w:rsidRPr="00982E50">
        <w:rPr>
          <w:rFonts w:ascii="Times New Roman" w:eastAsia="Times New Roman" w:hAnsi="Times New Roman" w:cs="Times New Roman"/>
          <w:sz w:val="24"/>
          <w:szCs w:val="24"/>
        </w:rPr>
        <w:t>reporting</w:t>
      </w:r>
      <w:r w:rsidR="00890451" w:rsidRPr="00982E50">
        <w:rPr>
          <w:rFonts w:ascii="Times New Roman" w:eastAsia="Times New Roman" w:hAnsi="Times New Roman" w:cs="Times New Roman"/>
          <w:sz w:val="24"/>
          <w:szCs w:val="24"/>
        </w:rPr>
        <w:t xml:space="preserve"> </w:t>
      </w:r>
      <w:r w:rsidRPr="00982E50">
        <w:rPr>
          <w:rFonts w:ascii="Times New Roman" w:eastAsia="Times New Roman" w:hAnsi="Times New Roman" w:cs="Times New Roman"/>
          <w:sz w:val="24"/>
          <w:szCs w:val="24"/>
        </w:rPr>
        <w:t xml:space="preserve">EGFR genetic alterations </w:t>
      </w:r>
      <w:r w:rsidR="00890451" w:rsidRPr="00982E50">
        <w:rPr>
          <w:rFonts w:ascii="Times New Roman" w:eastAsia="Times New Roman" w:hAnsi="Times New Roman" w:cs="Times New Roman"/>
          <w:sz w:val="24"/>
          <w:szCs w:val="24"/>
        </w:rPr>
        <w:t>at the copy number and mutational level</w:t>
      </w:r>
      <w:r w:rsidR="0091567A" w:rsidRPr="00982E50">
        <w:rPr>
          <w:rFonts w:ascii="Times New Roman" w:eastAsia="Times New Roman" w:hAnsi="Times New Roman" w:cs="Times New Roman"/>
          <w:sz w:val="24"/>
          <w:szCs w:val="24"/>
        </w:rPr>
        <w:t xml:space="preserve"> (Asian cohort of patients)</w:t>
      </w:r>
      <w:r w:rsidRPr="00982E50">
        <w:rPr>
          <w:rFonts w:ascii="Times New Roman" w:eastAsia="Times New Roman" w:hAnsi="Times New Roman" w:cs="Times New Roman"/>
          <w:sz w:val="24"/>
          <w:szCs w:val="24"/>
        </w:rPr>
        <w:t xml:space="preserve">. </w:t>
      </w:r>
      <w:r w:rsidRPr="00982E50">
        <w:rPr>
          <w:rFonts w:ascii="Times New Roman" w:eastAsia="Times New Roman" w:hAnsi="Times New Roman" w:cs="Times New Roman"/>
          <w:b/>
          <w:bCs/>
          <w:sz w:val="24"/>
          <w:szCs w:val="24"/>
        </w:rPr>
        <w:t xml:space="preserve">(E) </w:t>
      </w:r>
      <w:r w:rsidRPr="00982E50">
        <w:rPr>
          <w:rFonts w:ascii="Times New Roman" w:eastAsia="Times New Roman" w:hAnsi="Times New Roman" w:cs="Times New Roman"/>
          <w:sz w:val="24"/>
          <w:szCs w:val="24"/>
        </w:rPr>
        <w:t>EGFR gene expression</w:t>
      </w:r>
      <w:r w:rsidR="0091567A" w:rsidRPr="00982E50">
        <w:rPr>
          <w:rFonts w:ascii="Times New Roman" w:eastAsia="Times New Roman" w:hAnsi="Times New Roman" w:cs="Times New Roman"/>
          <w:sz w:val="24"/>
          <w:szCs w:val="24"/>
        </w:rPr>
        <w:t xml:space="preserve"> as a function of its copy number status</w:t>
      </w:r>
      <w:r w:rsidR="00650CD6" w:rsidRPr="00982E50">
        <w:rPr>
          <w:rFonts w:ascii="Times New Roman" w:eastAsia="Times New Roman" w:hAnsi="Times New Roman" w:cs="Times New Roman"/>
          <w:sz w:val="24"/>
          <w:szCs w:val="24"/>
        </w:rPr>
        <w:t xml:space="preserve"> in TNBC patients from Asian cohort</w:t>
      </w:r>
      <w:r w:rsidRPr="00982E50">
        <w:rPr>
          <w:rFonts w:ascii="Times New Roman" w:eastAsia="Times New Roman" w:hAnsi="Times New Roman" w:cs="Times New Roman"/>
          <w:sz w:val="24"/>
          <w:szCs w:val="24"/>
        </w:rPr>
        <w:t xml:space="preserve">. </w:t>
      </w:r>
      <w:r w:rsidRPr="00982E50">
        <w:rPr>
          <w:rFonts w:ascii="Times New Roman" w:eastAsia="Times New Roman" w:hAnsi="Times New Roman" w:cs="Times New Roman"/>
          <w:b/>
          <w:bCs/>
          <w:sz w:val="24"/>
          <w:szCs w:val="24"/>
        </w:rPr>
        <w:t xml:space="preserve">(F) </w:t>
      </w:r>
      <w:r w:rsidR="00650CD6" w:rsidRPr="00982E50">
        <w:rPr>
          <w:rFonts w:ascii="Times New Roman" w:eastAsia="Times New Roman" w:hAnsi="Times New Roman" w:cs="Times New Roman"/>
          <w:sz w:val="24"/>
          <w:szCs w:val="24"/>
        </w:rPr>
        <w:t xml:space="preserve">Correlation between EGFR gene expression and its copy number alteration status in TNBC patients from Asian cohort. </w:t>
      </w:r>
      <w:r w:rsidR="00493686" w:rsidRPr="00982E50">
        <w:rPr>
          <w:rFonts w:ascii="Times New Roman" w:eastAsia="Times New Roman" w:hAnsi="Times New Roman" w:cs="Times New Roman"/>
          <w:sz w:val="24"/>
          <w:szCs w:val="24"/>
        </w:rPr>
        <w:t>EGFR c</w:t>
      </w:r>
      <w:r w:rsidR="00650CD6" w:rsidRPr="00982E50">
        <w:rPr>
          <w:rFonts w:ascii="Times New Roman" w:eastAsia="Times New Roman" w:hAnsi="Times New Roman" w:cs="Times New Roman"/>
          <w:sz w:val="24"/>
          <w:szCs w:val="24"/>
        </w:rPr>
        <w:t xml:space="preserve">opy number status is represented by the </w:t>
      </w:r>
      <w:r w:rsidR="00493686" w:rsidRPr="00982E50">
        <w:rPr>
          <w:rFonts w:ascii="Times New Roman" w:eastAsia="Times New Roman" w:hAnsi="Times New Roman" w:cs="Times New Roman"/>
          <w:sz w:val="24"/>
          <w:szCs w:val="24"/>
        </w:rPr>
        <w:t>number of copies of the segment where it is located (x-axis)</w:t>
      </w:r>
      <w:r w:rsidR="00650CD6" w:rsidRPr="00982E50">
        <w:rPr>
          <w:rFonts w:ascii="Times New Roman" w:eastAsia="Times New Roman" w:hAnsi="Times New Roman" w:cs="Times New Roman"/>
          <w:sz w:val="24"/>
          <w:szCs w:val="24"/>
        </w:rPr>
        <w:t>.</w:t>
      </w:r>
      <w:r w:rsidRPr="00982E50">
        <w:rPr>
          <w:rFonts w:ascii="Times New Roman" w:eastAsia="Times New Roman" w:hAnsi="Times New Roman" w:cs="Times New Roman"/>
          <w:sz w:val="24"/>
          <w:szCs w:val="24"/>
        </w:rPr>
        <w:t xml:space="preserve"> </w:t>
      </w:r>
      <w:r w:rsidRPr="00982E50">
        <w:rPr>
          <w:rFonts w:ascii="Times New Roman" w:eastAsia="Times New Roman" w:hAnsi="Times New Roman" w:cs="Times New Roman"/>
          <w:b/>
          <w:bCs/>
          <w:sz w:val="24"/>
          <w:szCs w:val="24"/>
        </w:rPr>
        <w:t xml:space="preserve">(G) </w:t>
      </w:r>
      <w:r w:rsidR="00650CD6" w:rsidRPr="00982E50">
        <w:rPr>
          <w:rFonts w:ascii="Times New Roman" w:eastAsia="Times New Roman" w:hAnsi="Times New Roman" w:cs="Times New Roman"/>
          <w:sz w:val="24"/>
          <w:szCs w:val="24"/>
        </w:rPr>
        <w:t xml:space="preserve">Correlation between efficacy of anti-EGFR and EGFR status (mRNA, protein expression, </w:t>
      </w:r>
      <w:r w:rsidR="00650CD6" w:rsidRPr="00982E50">
        <w:rPr>
          <w:rFonts w:ascii="Times New Roman" w:eastAsia="Times New Roman" w:hAnsi="Times New Roman" w:cs="Times New Roman"/>
          <w:sz w:val="24"/>
          <w:szCs w:val="24"/>
        </w:rPr>
        <w:lastRenderedPageBreak/>
        <w:t>copy number and EGFR phosphorylation status) in TNBC cell-lines</w:t>
      </w:r>
      <w:r w:rsidR="00F15723" w:rsidRPr="00982E50">
        <w:rPr>
          <w:rFonts w:ascii="Times New Roman" w:eastAsia="Times New Roman" w:hAnsi="Times New Roman" w:cs="Times New Roman"/>
          <w:sz w:val="24"/>
          <w:szCs w:val="24"/>
        </w:rPr>
        <w:t>.</w:t>
      </w:r>
      <w:r w:rsidR="00650CD6" w:rsidRPr="00982E50">
        <w:rPr>
          <w:rFonts w:ascii="Times New Roman" w:eastAsia="Times New Roman" w:hAnsi="Times New Roman" w:cs="Times New Roman"/>
          <w:sz w:val="24"/>
          <w:szCs w:val="24"/>
        </w:rPr>
        <w:t xml:space="preserve"> Data were downloaded from GDSC (Genomic of Drugs Sensitivity in Cancer) portal. Efficacy of anti-EGFR was computed as average IC</w:t>
      </w:r>
      <w:r w:rsidR="00650CD6" w:rsidRPr="00982E50">
        <w:rPr>
          <w:rFonts w:ascii="Times New Roman" w:eastAsia="Times New Roman" w:hAnsi="Times New Roman" w:cs="Times New Roman"/>
          <w:sz w:val="24"/>
          <w:szCs w:val="24"/>
          <w:vertAlign w:val="subscript"/>
        </w:rPr>
        <w:t>50</w:t>
      </w:r>
      <w:r w:rsidR="00650CD6" w:rsidRPr="00982E50">
        <w:rPr>
          <w:rFonts w:ascii="Times New Roman" w:eastAsia="Times New Roman" w:hAnsi="Times New Roman" w:cs="Times New Roman"/>
          <w:sz w:val="24"/>
          <w:szCs w:val="24"/>
        </w:rPr>
        <w:t xml:space="preserve"> of all drugs targeting EGFR.</w:t>
      </w:r>
      <w:r w:rsidR="00FF6426" w:rsidRPr="00982E50">
        <w:rPr>
          <w:rFonts w:ascii="Times New Roman" w:eastAsia="Times New Roman" w:hAnsi="Times New Roman" w:cs="Times New Roman"/>
          <w:sz w:val="24"/>
          <w:szCs w:val="24"/>
        </w:rPr>
        <w:t xml:space="preserve"> </w:t>
      </w:r>
      <w:r w:rsidR="00FF6426" w:rsidRPr="00982E50">
        <w:rPr>
          <w:rFonts w:ascii="Times New Roman" w:eastAsia="Times New Roman" w:hAnsi="Times New Roman" w:cs="Times New Roman"/>
          <w:b/>
          <w:bCs/>
          <w:sz w:val="24"/>
          <w:szCs w:val="24"/>
        </w:rPr>
        <w:t>(H)</w:t>
      </w:r>
      <w:r w:rsidR="00392017" w:rsidRPr="00982E50">
        <w:rPr>
          <w:rFonts w:ascii="Times New Roman" w:eastAsia="Times New Roman" w:hAnsi="Times New Roman" w:cs="Times New Roman"/>
          <w:b/>
          <w:bCs/>
          <w:sz w:val="24"/>
          <w:szCs w:val="24"/>
        </w:rPr>
        <w:t xml:space="preserve"> </w:t>
      </w:r>
      <w:r w:rsidR="00392017" w:rsidRPr="00982E50">
        <w:rPr>
          <w:rFonts w:ascii="Times New Roman" w:eastAsia="Times New Roman" w:hAnsi="Times New Roman" w:cs="Times New Roman"/>
          <w:sz w:val="24"/>
          <w:szCs w:val="24"/>
        </w:rPr>
        <w:t>Bar plot showing the percentage of TNBC patients (y-axis) harboring both deleterious (blue) and not deleterious (grey) mutations in known anti-EGFR</w:t>
      </w:r>
      <w:r w:rsidR="00E74B90" w:rsidRPr="00982E50">
        <w:rPr>
          <w:rFonts w:ascii="Times New Roman" w:eastAsia="Times New Roman" w:hAnsi="Times New Roman" w:cs="Times New Roman"/>
          <w:sz w:val="24"/>
          <w:szCs w:val="24"/>
        </w:rPr>
        <w:t>s</w:t>
      </w:r>
      <w:r w:rsidR="00392017" w:rsidRPr="00982E50">
        <w:rPr>
          <w:rFonts w:ascii="Times New Roman" w:eastAsia="Times New Roman" w:hAnsi="Times New Roman" w:cs="Times New Roman"/>
          <w:sz w:val="24"/>
          <w:szCs w:val="24"/>
        </w:rPr>
        <w:t xml:space="preserve"> resistance genes reported on x-axis.</w:t>
      </w:r>
      <w:r w:rsidR="00FB6A70" w:rsidRPr="00982E50">
        <w:rPr>
          <w:rFonts w:ascii="Times New Roman" w:eastAsia="Times New Roman" w:hAnsi="Times New Roman" w:cs="Times New Roman"/>
          <w:sz w:val="24"/>
          <w:szCs w:val="24"/>
        </w:rPr>
        <w:br w:type="page"/>
      </w:r>
    </w:p>
    <w:p w14:paraId="07D97C4F" w14:textId="77777777" w:rsidR="22DC5C73" w:rsidRPr="00982E50" w:rsidRDefault="22DC5C73" w:rsidP="22DC5C73">
      <w:pPr>
        <w:jc w:val="both"/>
        <w:rPr>
          <w:rFonts w:ascii="Times New Roman" w:eastAsia="Times New Roman" w:hAnsi="Times New Roman" w:cs="Times New Roman"/>
          <w:sz w:val="24"/>
          <w:szCs w:val="24"/>
        </w:rPr>
      </w:pPr>
    </w:p>
    <w:p w14:paraId="5616D22A" w14:textId="52A6CFFF" w:rsidR="00DA749B" w:rsidRPr="00982E50" w:rsidRDefault="00DA749B" w:rsidP="00DA749B">
      <w:pPr>
        <w:rPr>
          <w:rFonts w:ascii="Times New Roman" w:eastAsia="Times New Roman" w:hAnsi="Times New Roman" w:cs="Times New Roman"/>
          <w:sz w:val="24"/>
          <w:szCs w:val="24"/>
        </w:rPr>
      </w:pPr>
    </w:p>
    <w:p w14:paraId="6704E8ED" w14:textId="0D4477B6" w:rsidR="00DA749B" w:rsidRPr="00982E50" w:rsidRDefault="00E03087" w:rsidP="00FB6A70">
      <w:pPr>
        <w:jc w:val="center"/>
        <w:rPr>
          <w:rFonts w:ascii="Times New Roman" w:eastAsia="Times New Roman" w:hAnsi="Times New Roman" w:cs="Times New Roman"/>
          <w:sz w:val="24"/>
          <w:szCs w:val="24"/>
        </w:rPr>
      </w:pPr>
      <w:r w:rsidRPr="00982E50">
        <w:rPr>
          <w:rFonts w:ascii="Times New Roman" w:eastAsia="Times New Roman" w:hAnsi="Times New Roman" w:cs="Times New Roman"/>
          <w:noProof/>
          <w:sz w:val="24"/>
          <w:szCs w:val="24"/>
        </w:rPr>
        <w:drawing>
          <wp:inline distT="0" distB="0" distL="0" distR="0" wp14:anchorId="16B13AF7" wp14:editId="4590E928">
            <wp:extent cx="4465329" cy="3258319"/>
            <wp:effectExtent l="0" t="0" r="0" b="0"/>
            <wp:docPr id="4" name="Picture 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65329" cy="3258319"/>
                    </a:xfrm>
                    <a:prstGeom prst="rect">
                      <a:avLst/>
                    </a:prstGeom>
                  </pic:spPr>
                </pic:pic>
              </a:graphicData>
            </a:graphic>
          </wp:inline>
        </w:drawing>
      </w:r>
    </w:p>
    <w:p w14:paraId="23C2C40F" w14:textId="01E8311F" w:rsidR="00DA749B" w:rsidRPr="00982E50" w:rsidRDefault="00DA749B" w:rsidP="22DC5C73">
      <w:pPr>
        <w:jc w:val="both"/>
        <w:rPr>
          <w:rFonts w:ascii="Times New Roman" w:eastAsia="Times New Roman" w:hAnsi="Times New Roman" w:cs="Times New Roman"/>
          <w:sz w:val="24"/>
          <w:szCs w:val="24"/>
        </w:rPr>
      </w:pPr>
    </w:p>
    <w:p w14:paraId="43B1122E" w14:textId="6C0F4E61" w:rsidR="00DA749B" w:rsidRPr="00982E50" w:rsidRDefault="00DA749B" w:rsidP="22DC5C73">
      <w:pPr>
        <w:jc w:val="both"/>
        <w:rPr>
          <w:rFonts w:ascii="Times New Roman" w:eastAsia="Times New Roman" w:hAnsi="Times New Roman" w:cs="Times New Roman"/>
          <w:sz w:val="24"/>
          <w:szCs w:val="24"/>
        </w:rPr>
      </w:pPr>
      <w:r w:rsidRPr="00982E50">
        <w:rPr>
          <w:rFonts w:ascii="Times New Roman" w:eastAsia="Times New Roman" w:hAnsi="Times New Roman" w:cs="Times New Roman"/>
          <w:b/>
          <w:bCs/>
          <w:sz w:val="24"/>
          <w:szCs w:val="24"/>
        </w:rPr>
        <w:t xml:space="preserve">Supplementary Figure 02 – </w:t>
      </w:r>
      <w:r w:rsidR="00267D66" w:rsidRPr="00982E50">
        <w:rPr>
          <w:rFonts w:ascii="Times New Roman" w:eastAsia="Times New Roman" w:hAnsi="Times New Roman" w:cs="Times New Roman"/>
          <w:b/>
          <w:bCs/>
          <w:sz w:val="24"/>
          <w:szCs w:val="24"/>
        </w:rPr>
        <w:t>MDA-MB-468 cell line responsiveness to Afatinib.</w:t>
      </w:r>
      <w:r w:rsidRPr="00982E50">
        <w:rPr>
          <w:rFonts w:ascii="Times New Roman" w:eastAsia="Times New Roman" w:hAnsi="Times New Roman" w:cs="Times New Roman"/>
          <w:b/>
          <w:bCs/>
          <w:sz w:val="24"/>
          <w:szCs w:val="24"/>
        </w:rPr>
        <w:t xml:space="preserve"> </w:t>
      </w:r>
      <w:r w:rsidRPr="00982E50">
        <w:rPr>
          <w:rFonts w:ascii="Times New Roman" w:eastAsia="Times New Roman" w:hAnsi="Times New Roman" w:cs="Times New Roman"/>
          <w:sz w:val="24"/>
          <w:szCs w:val="24"/>
        </w:rPr>
        <w:t>Dose-response curve</w:t>
      </w:r>
      <w:r w:rsidR="00267D66" w:rsidRPr="00982E50">
        <w:rPr>
          <w:rFonts w:ascii="Times New Roman" w:eastAsia="Times New Roman" w:hAnsi="Times New Roman" w:cs="Times New Roman"/>
          <w:sz w:val="24"/>
          <w:szCs w:val="24"/>
        </w:rPr>
        <w:t xml:space="preserve"> in terms of cell viability (y-axis) after Afatinib treatment at the indicated concentrations (x-axis) on MDA</w:t>
      </w:r>
      <w:r w:rsidR="00D81DDD" w:rsidRPr="00982E50">
        <w:rPr>
          <w:rFonts w:ascii="Times New Roman" w:eastAsia="Times New Roman" w:hAnsi="Times New Roman" w:cs="Times New Roman"/>
          <w:sz w:val="24"/>
          <w:szCs w:val="24"/>
        </w:rPr>
        <w:t>-</w:t>
      </w:r>
      <w:r w:rsidR="00267D66" w:rsidRPr="00982E50">
        <w:rPr>
          <w:rFonts w:ascii="Times New Roman" w:eastAsia="Times New Roman" w:hAnsi="Times New Roman" w:cs="Times New Roman"/>
          <w:sz w:val="24"/>
          <w:szCs w:val="24"/>
        </w:rPr>
        <w:t>MB</w:t>
      </w:r>
      <w:r w:rsidR="00D81DDD" w:rsidRPr="00982E50">
        <w:rPr>
          <w:rFonts w:ascii="Times New Roman" w:eastAsia="Times New Roman" w:hAnsi="Times New Roman" w:cs="Times New Roman"/>
          <w:sz w:val="24"/>
          <w:szCs w:val="24"/>
        </w:rPr>
        <w:t>-</w:t>
      </w:r>
      <w:r w:rsidR="00267D66" w:rsidRPr="00982E50">
        <w:rPr>
          <w:rFonts w:ascii="Times New Roman" w:eastAsia="Times New Roman" w:hAnsi="Times New Roman" w:cs="Times New Roman"/>
          <w:sz w:val="24"/>
          <w:szCs w:val="24"/>
        </w:rPr>
        <w:t>468 cell line.</w:t>
      </w:r>
    </w:p>
    <w:p w14:paraId="3AD850B4" w14:textId="179CED93" w:rsidR="00447460" w:rsidRPr="00982E50" w:rsidRDefault="00447460" w:rsidP="00447460">
      <w:pPr>
        <w:rPr>
          <w:rFonts w:ascii="Times New Roman" w:eastAsia="Times New Roman" w:hAnsi="Times New Roman" w:cs="Times New Roman"/>
          <w:sz w:val="24"/>
          <w:szCs w:val="24"/>
        </w:rPr>
      </w:pPr>
      <w:r w:rsidRPr="00982E50">
        <w:rPr>
          <w:rFonts w:ascii="Times New Roman" w:eastAsia="Times New Roman" w:hAnsi="Times New Roman" w:cs="Times New Roman"/>
          <w:sz w:val="24"/>
          <w:szCs w:val="24"/>
        </w:rPr>
        <w:br w:type="page"/>
      </w:r>
    </w:p>
    <w:p w14:paraId="783E325F" w14:textId="64D428B3" w:rsidR="00447460" w:rsidRPr="00982E50" w:rsidRDefault="00447460" w:rsidP="00FB6A70">
      <w:pPr>
        <w:jc w:val="center"/>
        <w:rPr>
          <w:rFonts w:ascii="Times New Roman" w:eastAsia="Times New Roman" w:hAnsi="Times New Roman" w:cs="Times New Roman"/>
          <w:sz w:val="24"/>
          <w:szCs w:val="24"/>
        </w:rPr>
      </w:pPr>
    </w:p>
    <w:p w14:paraId="41D85495" w14:textId="0317F959" w:rsidR="00F15723" w:rsidRPr="00982E50" w:rsidRDefault="008534B0" w:rsidP="22DC5C73">
      <w:pPr>
        <w:jc w:val="both"/>
        <w:rPr>
          <w:rFonts w:ascii="Times New Roman" w:eastAsia="Times New Roman" w:hAnsi="Times New Roman" w:cs="Times New Roman"/>
          <w:sz w:val="24"/>
          <w:szCs w:val="24"/>
        </w:rPr>
      </w:pPr>
      <w:r w:rsidRPr="00982E50">
        <w:rPr>
          <w:rFonts w:ascii="Times New Roman" w:eastAsia="Times New Roman" w:hAnsi="Times New Roman" w:cs="Times New Roman"/>
          <w:noProof/>
          <w:sz w:val="24"/>
          <w:szCs w:val="24"/>
        </w:rPr>
        <w:drawing>
          <wp:inline distT="0" distB="0" distL="0" distR="0" wp14:anchorId="49C56F4C" wp14:editId="2D34E99A">
            <wp:extent cx="5916180" cy="5023114"/>
            <wp:effectExtent l="0" t="0" r="8890" b="6350"/>
            <wp:docPr id="237602781" name="Immagine 1" descr="Immagine che contiene testo, schermata, diagramma, Paralle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02781" name="Immagine 1" descr="Immagine che contiene testo, schermata, diagramma, Parallelo&#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16180" cy="5023114"/>
                    </a:xfrm>
                    <a:prstGeom prst="rect">
                      <a:avLst/>
                    </a:prstGeom>
                  </pic:spPr>
                </pic:pic>
              </a:graphicData>
            </a:graphic>
          </wp:inline>
        </w:drawing>
      </w:r>
    </w:p>
    <w:p w14:paraId="52FA219B" w14:textId="213C56AB" w:rsidR="00447460" w:rsidRPr="00982E50" w:rsidRDefault="00447460" w:rsidP="00B77855">
      <w:pPr>
        <w:jc w:val="both"/>
        <w:rPr>
          <w:rFonts w:ascii="Times New Roman" w:eastAsia="Times New Roman" w:hAnsi="Times New Roman" w:cs="Times New Roman"/>
          <w:sz w:val="24"/>
          <w:szCs w:val="24"/>
        </w:rPr>
      </w:pPr>
      <w:r w:rsidRPr="00982E50">
        <w:rPr>
          <w:rFonts w:ascii="Times New Roman" w:eastAsia="Times New Roman" w:hAnsi="Times New Roman" w:cs="Times New Roman"/>
          <w:b/>
          <w:bCs/>
          <w:sz w:val="24"/>
          <w:szCs w:val="24"/>
        </w:rPr>
        <w:t xml:space="preserve">Supplementary Figure 03 – </w:t>
      </w:r>
      <w:r w:rsidR="008534B0" w:rsidRPr="00982E50">
        <w:rPr>
          <w:rFonts w:ascii="Times New Roman" w:eastAsia="Times New Roman" w:hAnsi="Times New Roman" w:cs="Times New Roman"/>
          <w:b/>
          <w:bCs/>
          <w:sz w:val="24"/>
          <w:szCs w:val="24"/>
        </w:rPr>
        <w:t>Afatinib response of TNBC cell lines</w:t>
      </w:r>
      <w:r w:rsidRPr="00982E50">
        <w:rPr>
          <w:rFonts w:ascii="Times New Roman" w:eastAsia="Times New Roman" w:hAnsi="Times New Roman" w:cs="Times New Roman"/>
          <w:b/>
          <w:bCs/>
          <w:sz w:val="24"/>
          <w:szCs w:val="24"/>
        </w:rPr>
        <w:t xml:space="preserve">. </w:t>
      </w:r>
      <w:r w:rsidR="008534B0" w:rsidRPr="00982E50">
        <w:rPr>
          <w:rFonts w:ascii="Times New Roman" w:eastAsia="Times New Roman" w:hAnsi="Times New Roman" w:cs="Times New Roman"/>
          <w:sz w:val="24"/>
          <w:szCs w:val="24"/>
        </w:rPr>
        <w:t>The afatinib responses were obtained from the Genomics of Drug Sensitivity in Cancer (GDSC) database (</w:t>
      </w:r>
      <w:hyperlink r:id="rId8" w:history="1">
        <w:r w:rsidR="008534B0" w:rsidRPr="00982E50">
          <w:rPr>
            <w:rStyle w:val="Collegamentoipertestuale"/>
            <w:rFonts w:ascii="Times New Roman" w:eastAsia="Times New Roman" w:hAnsi="Times New Roman" w:cs="Times New Roman"/>
            <w:sz w:val="24"/>
            <w:szCs w:val="24"/>
          </w:rPr>
          <w:t>https://www.cancerrxgene.org</w:t>
        </w:r>
      </w:hyperlink>
      <w:r w:rsidR="008534B0" w:rsidRPr="00982E50">
        <w:rPr>
          <w:rFonts w:ascii="Times New Roman" w:eastAsia="Times New Roman" w:hAnsi="Times New Roman" w:cs="Times New Roman"/>
          <w:sz w:val="24"/>
          <w:szCs w:val="24"/>
        </w:rPr>
        <w:t>). The cell lines are color-coded according to their EGFR copy number (Methods).</w:t>
      </w:r>
    </w:p>
    <w:p w14:paraId="254A8CED" w14:textId="3439FDEB" w:rsidR="00091ACE" w:rsidRPr="00982E50" w:rsidRDefault="00091ACE">
      <w:pPr>
        <w:rPr>
          <w:rFonts w:ascii="Times New Roman" w:eastAsia="Times New Roman" w:hAnsi="Times New Roman" w:cs="Times New Roman"/>
          <w:sz w:val="24"/>
          <w:szCs w:val="24"/>
        </w:rPr>
      </w:pPr>
      <w:r w:rsidRPr="00982E50">
        <w:rPr>
          <w:rFonts w:ascii="Times New Roman" w:eastAsia="Times New Roman" w:hAnsi="Times New Roman" w:cs="Times New Roman"/>
          <w:sz w:val="24"/>
          <w:szCs w:val="24"/>
        </w:rPr>
        <w:br w:type="page"/>
      </w:r>
    </w:p>
    <w:p w14:paraId="2FCEFD95" w14:textId="4CBB7C5A" w:rsidR="00091ACE" w:rsidRPr="00982E50" w:rsidRDefault="00091ACE" w:rsidP="00B77855">
      <w:pPr>
        <w:jc w:val="both"/>
        <w:rPr>
          <w:rFonts w:ascii="Times New Roman" w:eastAsia="Times New Roman" w:hAnsi="Times New Roman" w:cs="Times New Roman"/>
          <w:sz w:val="24"/>
          <w:szCs w:val="24"/>
        </w:rPr>
      </w:pPr>
      <w:r w:rsidRPr="00982E50">
        <w:rPr>
          <w:rFonts w:ascii="Times New Roman" w:eastAsia="Times New Roman" w:hAnsi="Times New Roman" w:cs="Times New Roman"/>
          <w:noProof/>
          <w:sz w:val="24"/>
          <w:szCs w:val="24"/>
        </w:rPr>
        <w:lastRenderedPageBreak/>
        <w:drawing>
          <wp:inline distT="0" distB="0" distL="0" distR="0" wp14:anchorId="4F9E67C7" wp14:editId="13A49D58">
            <wp:extent cx="6170233" cy="2906973"/>
            <wp:effectExtent l="0" t="0" r="2540" b="8255"/>
            <wp:docPr id="2006931510" name="Immagine 5" descr="Immagine che contiene testo, diagramma, mapp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931510" name="Immagine 5" descr="Immagine che contiene testo, diagramma, mappa, schermata&#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866" cy="2915752"/>
                    </a:xfrm>
                    <a:prstGeom prst="rect">
                      <a:avLst/>
                    </a:prstGeom>
                  </pic:spPr>
                </pic:pic>
              </a:graphicData>
            </a:graphic>
          </wp:inline>
        </w:drawing>
      </w:r>
    </w:p>
    <w:p w14:paraId="6927BAE6" w14:textId="0634B6FD" w:rsidR="00091ACE" w:rsidRPr="00982E50" w:rsidRDefault="00091ACE" w:rsidP="00B77855">
      <w:pPr>
        <w:jc w:val="both"/>
        <w:rPr>
          <w:rFonts w:ascii="Times New Roman" w:eastAsia="Times New Roman" w:hAnsi="Times New Roman" w:cs="Times New Roman"/>
          <w:sz w:val="24"/>
          <w:szCs w:val="24"/>
        </w:rPr>
      </w:pPr>
      <w:r w:rsidRPr="00982E50">
        <w:rPr>
          <w:rFonts w:ascii="Times New Roman" w:eastAsia="Times New Roman" w:hAnsi="Times New Roman" w:cs="Times New Roman"/>
          <w:b/>
          <w:bCs/>
          <w:sz w:val="24"/>
          <w:szCs w:val="24"/>
        </w:rPr>
        <w:t>Supplementary Figure 04 – Clustering analysis of Day 0 (untreated) cells. (A)</w:t>
      </w:r>
      <w:r w:rsidRPr="00982E50">
        <w:rPr>
          <w:rFonts w:ascii="Times New Roman" w:eastAsia="Times New Roman" w:hAnsi="Times New Roman" w:cs="Times New Roman"/>
          <w:sz w:val="24"/>
          <w:szCs w:val="24"/>
        </w:rPr>
        <w:t xml:space="preserve"> Uniform Manifold Approximation and Projection (UMAP) visualization of Day 0 cells. Cells are color-coded according to their lineage of origin, either afatinib-sensitive or afatinib-tolerant.. (</w:t>
      </w:r>
      <w:r w:rsidRPr="00982E50">
        <w:rPr>
          <w:rFonts w:ascii="Times New Roman" w:eastAsia="Times New Roman" w:hAnsi="Times New Roman" w:cs="Times New Roman"/>
          <w:b/>
          <w:bCs/>
          <w:sz w:val="24"/>
          <w:szCs w:val="24"/>
        </w:rPr>
        <w:t>B</w:t>
      </w:r>
      <w:r w:rsidRPr="00982E50">
        <w:rPr>
          <w:rFonts w:ascii="Times New Roman" w:eastAsia="Times New Roman" w:hAnsi="Times New Roman" w:cs="Times New Roman"/>
          <w:sz w:val="24"/>
          <w:szCs w:val="24"/>
        </w:rPr>
        <w:t xml:space="preserve">) Same as (A) </w:t>
      </w:r>
      <w:r w:rsidR="00982E50" w:rsidRPr="00982E50">
        <w:rPr>
          <w:rFonts w:ascii="Times New Roman" w:eastAsia="Times New Roman" w:hAnsi="Times New Roman" w:cs="Times New Roman"/>
          <w:sz w:val="24"/>
          <w:szCs w:val="24"/>
        </w:rPr>
        <w:t>where cells are color-coded according to their assigned cluster</w:t>
      </w:r>
      <w:r w:rsidRPr="00982E50">
        <w:rPr>
          <w:rFonts w:ascii="Times New Roman" w:eastAsia="Times New Roman" w:hAnsi="Times New Roman" w:cs="Times New Roman"/>
          <w:sz w:val="24"/>
          <w:szCs w:val="24"/>
        </w:rPr>
        <w:t>. (</w:t>
      </w:r>
      <w:r w:rsidRPr="00982E50">
        <w:rPr>
          <w:rFonts w:ascii="Times New Roman" w:eastAsia="Times New Roman" w:hAnsi="Times New Roman" w:cs="Times New Roman"/>
          <w:b/>
          <w:bCs/>
          <w:sz w:val="24"/>
          <w:szCs w:val="24"/>
        </w:rPr>
        <w:t>C</w:t>
      </w:r>
      <w:r w:rsidRPr="00982E50">
        <w:rPr>
          <w:rFonts w:ascii="Times New Roman" w:eastAsia="Times New Roman" w:hAnsi="Times New Roman" w:cs="Times New Roman"/>
          <w:sz w:val="24"/>
          <w:szCs w:val="24"/>
        </w:rPr>
        <w:t xml:space="preserve">) </w:t>
      </w:r>
      <w:r w:rsidR="00982E50" w:rsidRPr="00982E50">
        <w:rPr>
          <w:rFonts w:ascii="Times New Roman" w:eastAsia="Times New Roman" w:hAnsi="Times New Roman" w:cs="Times New Roman"/>
          <w:sz w:val="24"/>
          <w:szCs w:val="24"/>
        </w:rPr>
        <w:t>Proportion of afatinib-tolerant and afatinib-sensitive cells within each cluster</w:t>
      </w:r>
      <w:r w:rsidRPr="00982E50">
        <w:rPr>
          <w:rFonts w:ascii="Times New Roman" w:eastAsia="Times New Roman" w:hAnsi="Times New Roman" w:cs="Times New Roman"/>
          <w:sz w:val="24"/>
          <w:szCs w:val="24"/>
        </w:rPr>
        <w:t>.</w:t>
      </w:r>
    </w:p>
    <w:p w14:paraId="266D87A9" w14:textId="6C8AD7D9" w:rsidR="00091ACE" w:rsidRPr="00982E50" w:rsidRDefault="00091ACE">
      <w:pPr>
        <w:rPr>
          <w:rFonts w:ascii="Times New Roman" w:eastAsia="Times New Roman" w:hAnsi="Times New Roman" w:cs="Times New Roman"/>
          <w:sz w:val="24"/>
          <w:szCs w:val="24"/>
        </w:rPr>
      </w:pPr>
      <w:r w:rsidRPr="00982E50">
        <w:rPr>
          <w:rFonts w:ascii="Times New Roman" w:eastAsia="Times New Roman" w:hAnsi="Times New Roman" w:cs="Times New Roman"/>
          <w:sz w:val="24"/>
          <w:szCs w:val="24"/>
        </w:rPr>
        <w:br w:type="page"/>
      </w:r>
    </w:p>
    <w:p w14:paraId="6F731C3C" w14:textId="77777777" w:rsidR="00091ACE" w:rsidRPr="00982E50" w:rsidRDefault="00091ACE" w:rsidP="00091ACE">
      <w:pPr>
        <w:jc w:val="both"/>
        <w:rPr>
          <w:rFonts w:ascii="Times New Roman" w:eastAsia="Times New Roman" w:hAnsi="Times New Roman" w:cs="Times New Roman"/>
          <w:sz w:val="24"/>
          <w:szCs w:val="24"/>
        </w:rPr>
      </w:pPr>
      <w:r w:rsidRPr="00982E50">
        <w:rPr>
          <w:noProof/>
          <w:sz w:val="24"/>
          <w:szCs w:val="24"/>
        </w:rPr>
        <w:lastRenderedPageBreak/>
        <w:drawing>
          <wp:inline distT="0" distB="0" distL="0" distR="0" wp14:anchorId="136CBA8C" wp14:editId="4D3D4F8C">
            <wp:extent cx="5943600" cy="1456055"/>
            <wp:effectExtent l="0" t="0" r="0" b="0"/>
            <wp:docPr id="10" name="Immagine 10" descr="Immagine che contiene testo, diagramma, line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magine 10" descr="Immagine che contiene testo, diagramma, linea, schermata&#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456055"/>
                    </a:xfrm>
                    <a:prstGeom prst="rect">
                      <a:avLst/>
                    </a:prstGeom>
                    <a:noFill/>
                    <a:ln>
                      <a:noFill/>
                    </a:ln>
                  </pic:spPr>
                </pic:pic>
              </a:graphicData>
            </a:graphic>
          </wp:inline>
        </w:drawing>
      </w:r>
    </w:p>
    <w:p w14:paraId="2E0F1386" w14:textId="536B8633" w:rsidR="00091ACE" w:rsidRPr="00982E50" w:rsidRDefault="00091ACE" w:rsidP="00091ACE">
      <w:pPr>
        <w:jc w:val="both"/>
        <w:rPr>
          <w:sz w:val="24"/>
          <w:szCs w:val="24"/>
        </w:rPr>
      </w:pPr>
      <w:r w:rsidRPr="00982E50">
        <w:rPr>
          <w:rFonts w:ascii="Times New Roman" w:eastAsia="Times New Roman" w:hAnsi="Times New Roman" w:cs="Times New Roman"/>
          <w:b/>
          <w:bCs/>
          <w:sz w:val="24"/>
          <w:szCs w:val="24"/>
        </w:rPr>
        <w:t>Supplementary Figure 05 – Compensatory activation of IGF1-R and INSR pathways to overcome EGFR inhibition. (A)</w:t>
      </w:r>
      <w:r w:rsidRPr="00982E50">
        <w:rPr>
          <w:rFonts w:ascii="Times New Roman" w:eastAsia="Times New Roman" w:hAnsi="Times New Roman" w:cs="Times New Roman"/>
          <w:sz w:val="24"/>
          <w:szCs w:val="24"/>
        </w:rPr>
        <w:t xml:space="preserve">  Single agent dose-response data and fitted curve for Afatinib (upper) and GSK-1904529A (lower) on MDA-MB-468 parental cells. </w:t>
      </w:r>
      <w:r w:rsidRPr="00982E50">
        <w:rPr>
          <w:rFonts w:ascii="Times New Roman" w:eastAsia="Times New Roman" w:hAnsi="Times New Roman" w:cs="Times New Roman"/>
          <w:b/>
          <w:bCs/>
          <w:sz w:val="24"/>
          <w:szCs w:val="24"/>
        </w:rPr>
        <w:t>(B)</w:t>
      </w:r>
      <w:r w:rsidRPr="00982E50">
        <w:rPr>
          <w:rFonts w:ascii="Times New Roman" w:eastAsia="Times New Roman" w:hAnsi="Times New Roman" w:cs="Times New Roman"/>
          <w:sz w:val="24"/>
          <w:szCs w:val="24"/>
        </w:rPr>
        <w:t xml:space="preserve"> (Left plot). Synergy scores calculated using </w:t>
      </w:r>
      <w:proofErr w:type="spellStart"/>
      <w:r w:rsidRPr="00982E50">
        <w:rPr>
          <w:rFonts w:ascii="Times New Roman" w:eastAsia="Times New Roman" w:hAnsi="Times New Roman" w:cs="Times New Roman"/>
          <w:sz w:val="24"/>
          <w:szCs w:val="24"/>
        </w:rPr>
        <w:t>Combenefit</w:t>
      </w:r>
      <w:proofErr w:type="spellEnd"/>
      <w:r w:rsidRPr="00982E50">
        <w:rPr>
          <w:rFonts w:ascii="Times New Roman" w:eastAsia="Times New Roman" w:hAnsi="Times New Roman" w:cs="Times New Roman"/>
          <w:sz w:val="24"/>
          <w:szCs w:val="24"/>
        </w:rPr>
        <w:t xml:space="preserve"> tool according to the Loewe additivity model (Methods) for different concentration of Afatinib and GSK-1904529A on MDA-MB-468 parental cells. The larger the value stronger is the synergism while negative values mean antagonism between the two drugs. The number below the synergy score is standard deviation. Asterisks below standard deviation indicate results that are statistically significant by the one-sample t-test (see methods). The degree of significance are as follows: * p &lt; 5x10-2; ** p&lt;10-3; *** p&lt;10-4. The number of biological replicates (N) is indicated at the top left of the matrix. (Right plot) Combination dose-response surface, expressed as a percentage of the control value. Overlain on the dose response surface are the Loewe synergy scores. </w:t>
      </w:r>
      <w:r w:rsidRPr="00982E50">
        <w:rPr>
          <w:rFonts w:ascii="Times New Roman" w:eastAsia="Times New Roman" w:hAnsi="Times New Roman" w:cs="Times New Roman"/>
          <w:b/>
          <w:bCs/>
          <w:sz w:val="24"/>
          <w:szCs w:val="24"/>
        </w:rPr>
        <w:t>(C)</w:t>
      </w:r>
      <w:r w:rsidRPr="00982E50">
        <w:rPr>
          <w:sz w:val="24"/>
          <w:szCs w:val="24"/>
        </w:rPr>
        <w:t xml:space="preserve"> </w:t>
      </w:r>
      <w:r w:rsidRPr="00982E50">
        <w:rPr>
          <w:rFonts w:ascii="Times New Roman" w:eastAsia="Times New Roman" w:hAnsi="Times New Roman" w:cs="Times New Roman"/>
          <w:sz w:val="24"/>
          <w:szCs w:val="24"/>
        </w:rPr>
        <w:t xml:space="preserve">Same as (A) but where concentration of Afatinib vary from 31nM to 1µM. </w:t>
      </w:r>
      <w:r w:rsidRPr="00982E50">
        <w:rPr>
          <w:rFonts w:ascii="Times New Roman" w:eastAsia="Times New Roman" w:hAnsi="Times New Roman" w:cs="Times New Roman"/>
          <w:b/>
          <w:bCs/>
          <w:sz w:val="24"/>
          <w:szCs w:val="24"/>
        </w:rPr>
        <w:t>(D)</w:t>
      </w:r>
      <w:r w:rsidRPr="00982E50">
        <w:rPr>
          <w:rFonts w:ascii="Times New Roman" w:eastAsia="Times New Roman" w:hAnsi="Times New Roman" w:cs="Times New Roman"/>
          <w:sz w:val="24"/>
          <w:szCs w:val="24"/>
        </w:rPr>
        <w:t xml:space="preserve"> Same of (B) but where concentration of Afatinib vary from 31nM to 1µM</w:t>
      </w:r>
      <w:r w:rsidRPr="00982E50">
        <w:rPr>
          <w:sz w:val="24"/>
          <w:szCs w:val="24"/>
        </w:rPr>
        <w:t>.</w:t>
      </w:r>
    </w:p>
    <w:p w14:paraId="687F3B20" w14:textId="53DABAA1" w:rsidR="00091ACE" w:rsidRPr="00982E50" w:rsidRDefault="00091ACE">
      <w:pPr>
        <w:rPr>
          <w:rFonts w:ascii="Times New Roman" w:eastAsia="Times New Roman" w:hAnsi="Times New Roman" w:cs="Times New Roman"/>
          <w:sz w:val="24"/>
          <w:szCs w:val="24"/>
        </w:rPr>
      </w:pPr>
      <w:r w:rsidRPr="00982E50">
        <w:rPr>
          <w:rFonts w:ascii="Times New Roman" w:eastAsia="Times New Roman" w:hAnsi="Times New Roman" w:cs="Times New Roman"/>
          <w:sz w:val="24"/>
          <w:szCs w:val="24"/>
        </w:rPr>
        <w:br w:type="page"/>
      </w:r>
    </w:p>
    <w:p w14:paraId="09369001" w14:textId="49690378" w:rsidR="00091ACE" w:rsidRPr="00982E50" w:rsidRDefault="00091ACE" w:rsidP="22DC5C73">
      <w:pPr>
        <w:jc w:val="both"/>
        <w:rPr>
          <w:rFonts w:ascii="Times New Roman" w:eastAsia="Times New Roman" w:hAnsi="Times New Roman" w:cs="Times New Roman"/>
          <w:sz w:val="24"/>
          <w:szCs w:val="24"/>
        </w:rPr>
      </w:pPr>
      <w:r w:rsidRPr="00982E50">
        <w:rPr>
          <w:rFonts w:ascii="Times New Roman" w:eastAsia="Times New Roman" w:hAnsi="Times New Roman" w:cs="Times New Roman"/>
          <w:noProof/>
          <w:sz w:val="24"/>
          <w:szCs w:val="24"/>
        </w:rPr>
        <w:lastRenderedPageBreak/>
        <w:drawing>
          <wp:inline distT="0" distB="0" distL="0" distR="0" wp14:anchorId="5CB6F32D" wp14:editId="67D8C903">
            <wp:extent cx="5943600" cy="3396615"/>
            <wp:effectExtent l="0" t="0" r="0" b="0"/>
            <wp:docPr id="65434766" name="Immagine 2" descr="Immagine che contiene testo, diagramma, mapp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4766" name="Immagine 2" descr="Immagine che contiene testo, diagramma, mappa&#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96615"/>
                    </a:xfrm>
                    <a:prstGeom prst="rect">
                      <a:avLst/>
                    </a:prstGeom>
                  </pic:spPr>
                </pic:pic>
              </a:graphicData>
            </a:graphic>
          </wp:inline>
        </w:drawing>
      </w:r>
    </w:p>
    <w:p w14:paraId="7DF1717F" w14:textId="03AFE05C" w:rsidR="00982E50" w:rsidRPr="00982E50" w:rsidRDefault="00091ACE" w:rsidP="00982E50">
      <w:pPr>
        <w:jc w:val="both"/>
        <w:rPr>
          <w:rFonts w:ascii="Times New Roman" w:eastAsia="Times New Roman" w:hAnsi="Times New Roman" w:cs="Times New Roman"/>
          <w:sz w:val="24"/>
          <w:szCs w:val="24"/>
        </w:rPr>
      </w:pPr>
      <w:r w:rsidRPr="00982E50">
        <w:rPr>
          <w:rFonts w:ascii="Times New Roman" w:eastAsia="Times New Roman" w:hAnsi="Times New Roman" w:cs="Times New Roman"/>
          <w:b/>
          <w:bCs/>
          <w:sz w:val="24"/>
          <w:szCs w:val="24"/>
        </w:rPr>
        <w:t xml:space="preserve">Supplementary Figure 06 – </w:t>
      </w:r>
      <w:r w:rsidR="00982E50" w:rsidRPr="00982E50">
        <w:rPr>
          <w:rFonts w:ascii="Times New Roman" w:eastAsia="Times New Roman" w:hAnsi="Times New Roman" w:cs="Times New Roman"/>
          <w:b/>
          <w:bCs/>
          <w:sz w:val="24"/>
          <w:szCs w:val="24"/>
        </w:rPr>
        <w:t>Clustering analysis of afatinib tolerant cells</w:t>
      </w:r>
      <w:r w:rsidRPr="00982E50">
        <w:rPr>
          <w:rFonts w:ascii="Times New Roman" w:eastAsia="Times New Roman" w:hAnsi="Times New Roman" w:cs="Times New Roman"/>
          <w:b/>
          <w:bCs/>
          <w:sz w:val="24"/>
          <w:szCs w:val="24"/>
        </w:rPr>
        <w:t>. (A)</w:t>
      </w:r>
      <w:r w:rsidRPr="00982E50">
        <w:rPr>
          <w:rFonts w:ascii="Times New Roman" w:eastAsia="Times New Roman" w:hAnsi="Times New Roman" w:cs="Times New Roman"/>
          <w:sz w:val="24"/>
          <w:szCs w:val="24"/>
        </w:rPr>
        <w:t xml:space="preserve"> </w:t>
      </w:r>
      <w:r w:rsidR="00982E50" w:rsidRPr="00982E50">
        <w:rPr>
          <w:rFonts w:ascii="Times New Roman" w:eastAsia="Times New Roman" w:hAnsi="Times New Roman" w:cs="Times New Roman"/>
          <w:sz w:val="24"/>
          <w:szCs w:val="24"/>
        </w:rPr>
        <w:t>Left panel: Uniform Manifold Approximation and Projection (UMAP) visualization of Day 0 cells where cells are color-coded according to their lineage of origin, either neutral or dominant. Middle panel: cells are color-coded according to their assigned cluster. Right panel: proportion of afatinib-tolerant and afatinib-sensitive cells within each cluster. (</w:t>
      </w:r>
      <w:r w:rsidR="00982E50" w:rsidRPr="00982E50">
        <w:rPr>
          <w:rFonts w:ascii="Times New Roman" w:eastAsia="Times New Roman" w:hAnsi="Times New Roman" w:cs="Times New Roman"/>
          <w:b/>
          <w:bCs/>
          <w:sz w:val="24"/>
          <w:szCs w:val="24"/>
        </w:rPr>
        <w:t>B-D</w:t>
      </w:r>
      <w:r w:rsidR="00982E50" w:rsidRPr="00982E50">
        <w:rPr>
          <w:rFonts w:ascii="Times New Roman" w:eastAsia="Times New Roman" w:hAnsi="Times New Roman" w:cs="Times New Roman"/>
          <w:sz w:val="24"/>
          <w:szCs w:val="24"/>
        </w:rPr>
        <w:t>) Same as (A) but for day 3, day 6 and day 9 respectively.</w:t>
      </w:r>
    </w:p>
    <w:p w14:paraId="5B8336D0" w14:textId="329C21EE" w:rsidR="00091ACE" w:rsidRPr="00982E50" w:rsidRDefault="00091ACE" w:rsidP="22DC5C73">
      <w:pPr>
        <w:jc w:val="both"/>
        <w:rPr>
          <w:rFonts w:ascii="Times New Roman" w:eastAsia="Times New Roman" w:hAnsi="Times New Roman" w:cs="Times New Roman"/>
          <w:sz w:val="24"/>
          <w:szCs w:val="24"/>
        </w:rPr>
      </w:pPr>
    </w:p>
    <w:p w14:paraId="3CA6D2F5" w14:textId="2721E673" w:rsidR="22DC5C73" w:rsidRPr="00982E50" w:rsidRDefault="4B972799" w:rsidP="00673650">
      <w:pPr>
        <w:rPr>
          <w:rFonts w:ascii="Times New Roman" w:eastAsia="Times New Roman" w:hAnsi="Times New Roman" w:cs="Times New Roman"/>
          <w:sz w:val="24"/>
          <w:szCs w:val="24"/>
        </w:rPr>
      </w:pPr>
      <w:r w:rsidRPr="00982E50">
        <w:rPr>
          <w:sz w:val="24"/>
          <w:szCs w:val="24"/>
        </w:rPr>
        <w:br w:type="page"/>
      </w:r>
      <w:r w:rsidR="00D34B98" w:rsidRPr="00982E50">
        <w:rPr>
          <w:sz w:val="24"/>
          <w:szCs w:val="24"/>
        </w:rPr>
        <w:lastRenderedPageBreak/>
        <w:t xml:space="preserve"> </w:t>
      </w:r>
      <w:r w:rsidR="00322EA4" w:rsidRPr="00982E50">
        <w:rPr>
          <w:noProof/>
          <w:sz w:val="24"/>
          <w:szCs w:val="24"/>
        </w:rPr>
        <w:drawing>
          <wp:inline distT="0" distB="0" distL="0" distR="0" wp14:anchorId="264D6E81" wp14:editId="01256BC9">
            <wp:extent cx="5698490" cy="3098800"/>
            <wp:effectExtent l="0" t="0" r="0" b="635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8490" cy="3098800"/>
                    </a:xfrm>
                    <a:prstGeom prst="rect">
                      <a:avLst/>
                    </a:prstGeom>
                    <a:noFill/>
                    <a:ln>
                      <a:noFill/>
                    </a:ln>
                  </pic:spPr>
                </pic:pic>
              </a:graphicData>
            </a:graphic>
          </wp:inline>
        </w:drawing>
      </w:r>
    </w:p>
    <w:p w14:paraId="0E01021E" w14:textId="75B6453B" w:rsidR="22DC5C73" w:rsidRPr="00982E50" w:rsidRDefault="4B972799" w:rsidP="22DC5C73">
      <w:pPr>
        <w:jc w:val="both"/>
        <w:rPr>
          <w:rFonts w:ascii="Times New Roman" w:eastAsia="Times New Roman" w:hAnsi="Times New Roman" w:cs="Times New Roman"/>
          <w:b/>
          <w:bCs/>
          <w:sz w:val="24"/>
          <w:szCs w:val="24"/>
        </w:rPr>
      </w:pPr>
      <w:r w:rsidRPr="00982E50">
        <w:rPr>
          <w:rFonts w:ascii="Times New Roman" w:eastAsia="Times New Roman" w:hAnsi="Times New Roman" w:cs="Times New Roman"/>
          <w:b/>
          <w:bCs/>
          <w:sz w:val="24"/>
          <w:szCs w:val="24"/>
        </w:rPr>
        <w:t>Supplementary Figure 0</w:t>
      </w:r>
      <w:r w:rsidR="00091ACE" w:rsidRPr="00982E50">
        <w:rPr>
          <w:rFonts w:ascii="Times New Roman" w:eastAsia="Times New Roman" w:hAnsi="Times New Roman" w:cs="Times New Roman"/>
          <w:b/>
          <w:bCs/>
          <w:sz w:val="24"/>
          <w:szCs w:val="24"/>
        </w:rPr>
        <w:t>7</w:t>
      </w:r>
      <w:r w:rsidRPr="00982E50">
        <w:rPr>
          <w:rFonts w:ascii="Times New Roman" w:eastAsia="Times New Roman" w:hAnsi="Times New Roman" w:cs="Times New Roman"/>
          <w:b/>
          <w:bCs/>
          <w:sz w:val="24"/>
          <w:szCs w:val="24"/>
        </w:rPr>
        <w:t xml:space="preserve"> –IGFBP2 </w:t>
      </w:r>
      <w:r w:rsidR="000667F8" w:rsidRPr="00982E50">
        <w:rPr>
          <w:rFonts w:ascii="Times New Roman" w:eastAsia="Times New Roman" w:hAnsi="Times New Roman" w:cs="Times New Roman"/>
          <w:b/>
          <w:bCs/>
          <w:sz w:val="24"/>
          <w:szCs w:val="24"/>
        </w:rPr>
        <w:t xml:space="preserve">expression </w:t>
      </w:r>
      <w:r w:rsidRPr="00982E50">
        <w:rPr>
          <w:rFonts w:ascii="Times New Roman" w:eastAsia="Times New Roman" w:hAnsi="Times New Roman" w:cs="Times New Roman"/>
          <w:b/>
          <w:bCs/>
          <w:sz w:val="24"/>
          <w:szCs w:val="24"/>
        </w:rPr>
        <w:t xml:space="preserve">quantification in CRISP/Cas9 engineered cell lines. (A) </w:t>
      </w:r>
      <w:r w:rsidR="00D34B98" w:rsidRPr="00982E50">
        <w:rPr>
          <w:rFonts w:ascii="Times New Roman" w:eastAsia="Times New Roman" w:hAnsi="Times New Roman" w:cs="Times New Roman"/>
          <w:sz w:val="24"/>
          <w:szCs w:val="24"/>
        </w:rPr>
        <w:t>IGFBP2</w:t>
      </w:r>
      <w:r w:rsidRPr="00982E50">
        <w:rPr>
          <w:rFonts w:ascii="Times New Roman" w:eastAsia="Times New Roman" w:hAnsi="Times New Roman" w:cs="Times New Roman"/>
          <w:sz w:val="24"/>
          <w:szCs w:val="24"/>
        </w:rPr>
        <w:t xml:space="preserve"> relative expression in MDA-MB-468 cell</w:t>
      </w:r>
      <w:r w:rsidR="00D34B98" w:rsidRPr="00982E50">
        <w:rPr>
          <w:rFonts w:ascii="Times New Roman" w:eastAsia="Times New Roman" w:hAnsi="Times New Roman" w:cs="Times New Roman"/>
          <w:sz w:val="24"/>
          <w:szCs w:val="24"/>
        </w:rPr>
        <w:t>s</w:t>
      </w:r>
      <w:r w:rsidR="00401821" w:rsidRPr="00982E50">
        <w:rPr>
          <w:rFonts w:ascii="Times New Roman" w:eastAsia="Times New Roman" w:hAnsi="Times New Roman" w:cs="Times New Roman"/>
          <w:sz w:val="24"/>
          <w:szCs w:val="24"/>
        </w:rPr>
        <w:t xml:space="preserve"> with stable</w:t>
      </w:r>
      <w:r w:rsidRPr="00982E50">
        <w:rPr>
          <w:rFonts w:ascii="Times New Roman" w:eastAsia="Times New Roman" w:hAnsi="Times New Roman" w:cs="Times New Roman"/>
          <w:sz w:val="24"/>
          <w:szCs w:val="24"/>
        </w:rPr>
        <w:t xml:space="preserve"> overexpressi</w:t>
      </w:r>
      <w:r w:rsidR="00401821" w:rsidRPr="00982E50">
        <w:rPr>
          <w:rFonts w:ascii="Times New Roman" w:eastAsia="Times New Roman" w:hAnsi="Times New Roman" w:cs="Times New Roman"/>
          <w:sz w:val="24"/>
          <w:szCs w:val="24"/>
        </w:rPr>
        <w:t xml:space="preserve">on </w:t>
      </w:r>
      <w:r w:rsidRPr="00982E50">
        <w:rPr>
          <w:rFonts w:ascii="Times New Roman" w:eastAsia="Times New Roman" w:hAnsi="Times New Roman" w:cs="Times New Roman"/>
          <w:sz w:val="24"/>
          <w:szCs w:val="24"/>
        </w:rPr>
        <w:t>(red) and in control cells (blue).</w:t>
      </w:r>
      <w:r w:rsidRPr="00982E50">
        <w:rPr>
          <w:rFonts w:ascii="Times New Roman" w:eastAsia="Times New Roman" w:hAnsi="Times New Roman" w:cs="Times New Roman"/>
          <w:b/>
          <w:bCs/>
          <w:sz w:val="24"/>
          <w:szCs w:val="24"/>
        </w:rPr>
        <w:t xml:space="preserve"> (B) </w:t>
      </w:r>
      <w:r w:rsidRPr="00982E50">
        <w:rPr>
          <w:rFonts w:ascii="Times New Roman" w:eastAsia="Times New Roman" w:hAnsi="Times New Roman" w:cs="Times New Roman"/>
          <w:sz w:val="24"/>
          <w:szCs w:val="24"/>
        </w:rPr>
        <w:t xml:space="preserve">Bar plot </w:t>
      </w:r>
      <w:r w:rsidR="00890451" w:rsidRPr="00982E50">
        <w:rPr>
          <w:rFonts w:ascii="Times New Roman" w:eastAsia="Times New Roman" w:hAnsi="Times New Roman" w:cs="Times New Roman"/>
          <w:sz w:val="24"/>
          <w:szCs w:val="24"/>
        </w:rPr>
        <w:t>on</w:t>
      </w:r>
      <w:r w:rsidRPr="00982E50">
        <w:rPr>
          <w:rFonts w:ascii="Times New Roman" w:eastAsia="Times New Roman" w:hAnsi="Times New Roman" w:cs="Times New Roman"/>
          <w:sz w:val="24"/>
          <w:szCs w:val="24"/>
        </w:rPr>
        <w:t xml:space="preserve"> IGFBP2 relative expression in both MDA-MB-468 cell</w:t>
      </w:r>
      <w:r w:rsidR="00D34B98" w:rsidRPr="00982E50">
        <w:rPr>
          <w:rFonts w:ascii="Times New Roman" w:eastAsia="Times New Roman" w:hAnsi="Times New Roman" w:cs="Times New Roman"/>
          <w:sz w:val="24"/>
          <w:szCs w:val="24"/>
        </w:rPr>
        <w:t>s</w:t>
      </w:r>
      <w:r w:rsidRPr="00982E50">
        <w:rPr>
          <w:rFonts w:ascii="Times New Roman" w:eastAsia="Times New Roman" w:hAnsi="Times New Roman" w:cs="Times New Roman"/>
          <w:sz w:val="24"/>
          <w:szCs w:val="24"/>
        </w:rPr>
        <w:t xml:space="preserve"> with a stable knockdown of </w:t>
      </w:r>
      <w:r w:rsidR="00D34B98" w:rsidRPr="00982E50">
        <w:rPr>
          <w:rFonts w:ascii="Times New Roman" w:eastAsia="Times New Roman" w:hAnsi="Times New Roman" w:cs="Times New Roman"/>
          <w:sz w:val="24"/>
          <w:szCs w:val="24"/>
        </w:rPr>
        <w:t>the gene</w:t>
      </w:r>
      <w:r w:rsidRPr="00982E50">
        <w:rPr>
          <w:rFonts w:ascii="Times New Roman" w:eastAsia="Times New Roman" w:hAnsi="Times New Roman" w:cs="Times New Roman"/>
          <w:sz w:val="24"/>
          <w:szCs w:val="24"/>
        </w:rPr>
        <w:t xml:space="preserve"> (red) and in control cells (blue).</w:t>
      </w:r>
      <w:r w:rsidRPr="00982E50">
        <w:rPr>
          <w:rFonts w:ascii="Times New Roman" w:eastAsia="Times New Roman" w:hAnsi="Times New Roman" w:cs="Times New Roman"/>
          <w:b/>
          <w:bCs/>
          <w:sz w:val="24"/>
          <w:szCs w:val="24"/>
        </w:rPr>
        <w:t xml:space="preserve"> (C) </w:t>
      </w:r>
      <w:r w:rsidRPr="00982E50">
        <w:rPr>
          <w:rFonts w:ascii="Times New Roman" w:eastAsia="Times New Roman" w:hAnsi="Times New Roman" w:cs="Times New Roman"/>
          <w:sz w:val="24"/>
          <w:szCs w:val="24"/>
        </w:rPr>
        <w:t>Relative IGFBP2 expression in both HCC1806 cells stably overexpressing IGFBP2 (red) and in control cells (blue).</w:t>
      </w:r>
      <w:r w:rsidRPr="00982E50">
        <w:rPr>
          <w:rFonts w:ascii="Times New Roman" w:eastAsia="Times New Roman" w:hAnsi="Times New Roman" w:cs="Times New Roman"/>
          <w:b/>
          <w:bCs/>
          <w:sz w:val="24"/>
          <w:szCs w:val="24"/>
        </w:rPr>
        <w:t xml:space="preserve"> </w:t>
      </w:r>
    </w:p>
    <w:p w14:paraId="64C7D841" w14:textId="262F498B" w:rsidR="22DC5C73" w:rsidRPr="00982E50" w:rsidRDefault="22DC5C73" w:rsidP="00FB6A70">
      <w:pPr>
        <w:rPr>
          <w:sz w:val="24"/>
          <w:szCs w:val="24"/>
        </w:rPr>
      </w:pPr>
    </w:p>
    <w:p w14:paraId="410DAD21" w14:textId="0EA81359" w:rsidR="00404C1B" w:rsidRPr="00982E50" w:rsidRDefault="4B972799" w:rsidP="6F8BEB9B">
      <w:pPr>
        <w:rPr>
          <w:sz w:val="24"/>
          <w:szCs w:val="24"/>
        </w:rPr>
      </w:pPr>
      <w:r w:rsidRPr="00982E50">
        <w:rPr>
          <w:sz w:val="24"/>
          <w:szCs w:val="24"/>
        </w:rPr>
        <w:br w:type="page"/>
      </w:r>
    </w:p>
    <w:p w14:paraId="151F9562" w14:textId="0A87A1E2" w:rsidR="0012654A" w:rsidRPr="00982E50" w:rsidRDefault="00640F12" w:rsidP="0016361E">
      <w:pPr>
        <w:jc w:val="both"/>
        <w:rPr>
          <w:rFonts w:ascii="Times New Roman" w:eastAsia="Times New Roman" w:hAnsi="Times New Roman" w:cs="Times New Roman"/>
          <w:b/>
          <w:bCs/>
          <w:sz w:val="24"/>
          <w:szCs w:val="24"/>
        </w:rPr>
      </w:pPr>
      <w:r w:rsidRPr="00982E50">
        <w:rPr>
          <w:noProof/>
          <w:sz w:val="24"/>
          <w:szCs w:val="24"/>
        </w:rPr>
        <w:lastRenderedPageBreak/>
        <w:drawing>
          <wp:inline distT="0" distB="0" distL="0" distR="0" wp14:anchorId="4BBE0594" wp14:editId="0727B601">
            <wp:extent cx="5943600" cy="1457123"/>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943600" cy="1457123"/>
                    </a:xfrm>
                    <a:prstGeom prst="rect">
                      <a:avLst/>
                    </a:prstGeom>
                    <a:noFill/>
                    <a:ln>
                      <a:noFill/>
                    </a:ln>
                  </pic:spPr>
                </pic:pic>
              </a:graphicData>
            </a:graphic>
          </wp:inline>
        </w:drawing>
      </w:r>
    </w:p>
    <w:p w14:paraId="524BE7A7" w14:textId="4502CCDB" w:rsidR="00091ACE" w:rsidRPr="00982E50" w:rsidRDefault="0016361E" w:rsidP="00F54046">
      <w:pPr>
        <w:jc w:val="both"/>
        <w:rPr>
          <w:rFonts w:ascii="Times New Roman" w:eastAsia="Times New Roman" w:hAnsi="Times New Roman" w:cs="Times New Roman"/>
          <w:sz w:val="24"/>
          <w:szCs w:val="24"/>
        </w:rPr>
      </w:pPr>
      <w:r w:rsidRPr="00982E50">
        <w:rPr>
          <w:rFonts w:ascii="Times New Roman" w:eastAsia="Times New Roman" w:hAnsi="Times New Roman" w:cs="Times New Roman"/>
          <w:b/>
          <w:bCs/>
          <w:sz w:val="24"/>
          <w:szCs w:val="24"/>
        </w:rPr>
        <w:t>Supplementary Figure 0</w:t>
      </w:r>
      <w:r w:rsidR="00091ACE" w:rsidRPr="00982E50">
        <w:rPr>
          <w:rFonts w:ascii="Times New Roman" w:eastAsia="Times New Roman" w:hAnsi="Times New Roman" w:cs="Times New Roman"/>
          <w:b/>
          <w:bCs/>
          <w:sz w:val="24"/>
          <w:szCs w:val="24"/>
        </w:rPr>
        <w:t>8</w:t>
      </w:r>
      <w:r w:rsidRPr="00982E50">
        <w:rPr>
          <w:rFonts w:ascii="Times New Roman" w:eastAsia="Times New Roman" w:hAnsi="Times New Roman" w:cs="Times New Roman"/>
          <w:b/>
          <w:bCs/>
          <w:sz w:val="24"/>
          <w:szCs w:val="24"/>
        </w:rPr>
        <w:t xml:space="preserve"> – </w:t>
      </w:r>
      <w:r w:rsidR="000617F3" w:rsidRPr="00982E50">
        <w:rPr>
          <w:rFonts w:ascii="Times New Roman" w:eastAsia="Times New Roman" w:hAnsi="Times New Roman" w:cs="Times New Roman"/>
          <w:b/>
          <w:bCs/>
          <w:sz w:val="24"/>
          <w:szCs w:val="24"/>
        </w:rPr>
        <w:t>IGFBP2 implication in Afatinib resistance.</w:t>
      </w:r>
      <w:r w:rsidRPr="00982E50">
        <w:rPr>
          <w:rFonts w:ascii="Times New Roman" w:eastAsia="Times New Roman" w:hAnsi="Times New Roman" w:cs="Times New Roman"/>
          <w:b/>
          <w:bCs/>
          <w:sz w:val="24"/>
          <w:szCs w:val="24"/>
        </w:rPr>
        <w:t xml:space="preserve"> (A</w:t>
      </w:r>
      <w:r w:rsidR="00307E84" w:rsidRPr="00982E50">
        <w:rPr>
          <w:rFonts w:ascii="Times New Roman" w:eastAsia="Times New Roman" w:hAnsi="Times New Roman" w:cs="Times New Roman"/>
          <w:b/>
          <w:bCs/>
          <w:sz w:val="24"/>
          <w:szCs w:val="24"/>
        </w:rPr>
        <w:t xml:space="preserve">) </w:t>
      </w:r>
      <w:r w:rsidR="00307E84" w:rsidRPr="00982E50">
        <w:rPr>
          <w:rFonts w:ascii="Times New Roman" w:eastAsia="Times New Roman" w:hAnsi="Times New Roman" w:cs="Times New Roman"/>
          <w:sz w:val="24"/>
          <w:szCs w:val="24"/>
        </w:rPr>
        <w:t xml:space="preserve">Dose-response curve in terms of cell viability following treatment with Afatinib at the indicated concentrations on HCC1806 IGFBP2 overexpressing cells and relative control cells. </w:t>
      </w:r>
      <w:r w:rsidR="00307E84" w:rsidRPr="00982E50">
        <w:rPr>
          <w:rFonts w:ascii="Times New Roman" w:eastAsia="Times New Roman" w:hAnsi="Times New Roman" w:cs="Times New Roman"/>
          <w:b/>
          <w:bCs/>
          <w:sz w:val="24"/>
          <w:szCs w:val="24"/>
        </w:rPr>
        <w:t>(B)</w:t>
      </w:r>
      <w:r w:rsidR="00307E84" w:rsidRPr="00982E50">
        <w:rPr>
          <w:rFonts w:ascii="Times New Roman" w:eastAsia="Times New Roman" w:hAnsi="Times New Roman" w:cs="Times New Roman"/>
          <w:sz w:val="24"/>
          <w:szCs w:val="24"/>
        </w:rPr>
        <w:t xml:space="preserve"> Dose-response curve in terms of cell viability following treatment with Afatinib at the indicated concentrations on HDQ-P1 IGFBP2 overexpressing cells and relative control cells. </w:t>
      </w:r>
      <w:r w:rsidR="0012654A" w:rsidRPr="00982E50">
        <w:rPr>
          <w:rFonts w:ascii="Times New Roman" w:eastAsia="Times New Roman" w:hAnsi="Times New Roman" w:cs="Times New Roman"/>
          <w:b/>
          <w:bCs/>
          <w:sz w:val="24"/>
          <w:szCs w:val="24"/>
        </w:rPr>
        <w:t>(C)</w:t>
      </w:r>
      <w:r w:rsidR="0012654A" w:rsidRPr="00982E50">
        <w:rPr>
          <w:sz w:val="24"/>
          <w:szCs w:val="24"/>
        </w:rPr>
        <w:t xml:space="preserve"> </w:t>
      </w:r>
      <w:proofErr w:type="spellStart"/>
      <w:r w:rsidR="0012654A" w:rsidRPr="00982E50">
        <w:rPr>
          <w:rFonts w:ascii="Times New Roman" w:eastAsia="Times New Roman" w:hAnsi="Times New Roman" w:cs="Times New Roman"/>
          <w:sz w:val="24"/>
          <w:szCs w:val="24"/>
        </w:rPr>
        <w:t>Transwell</w:t>
      </w:r>
      <w:proofErr w:type="spellEnd"/>
      <w:r w:rsidR="0012654A" w:rsidRPr="00982E50">
        <w:rPr>
          <w:rFonts w:ascii="Times New Roman" w:eastAsia="Times New Roman" w:hAnsi="Times New Roman" w:cs="Times New Roman"/>
          <w:sz w:val="24"/>
          <w:szCs w:val="24"/>
        </w:rPr>
        <w:t xml:space="preserve"> migration assay of HCC1806 IGFBP2 overexpressing cells. </w:t>
      </w:r>
      <w:r w:rsidR="0012654A" w:rsidRPr="00982E50">
        <w:rPr>
          <w:rFonts w:ascii="Times New Roman" w:eastAsia="Times New Roman" w:hAnsi="Times New Roman" w:cs="Times New Roman"/>
          <w:b/>
          <w:bCs/>
          <w:sz w:val="24"/>
          <w:szCs w:val="24"/>
        </w:rPr>
        <w:t>(D)</w:t>
      </w:r>
      <w:r w:rsidR="0012654A" w:rsidRPr="00982E50">
        <w:rPr>
          <w:sz w:val="24"/>
          <w:szCs w:val="24"/>
        </w:rPr>
        <w:t xml:space="preserve"> </w:t>
      </w:r>
      <w:proofErr w:type="spellStart"/>
      <w:r w:rsidR="0012654A" w:rsidRPr="00982E50">
        <w:rPr>
          <w:rFonts w:ascii="Times New Roman" w:eastAsia="Times New Roman" w:hAnsi="Times New Roman" w:cs="Times New Roman"/>
          <w:sz w:val="24"/>
          <w:szCs w:val="24"/>
        </w:rPr>
        <w:t>Transwell</w:t>
      </w:r>
      <w:proofErr w:type="spellEnd"/>
      <w:r w:rsidR="0012654A" w:rsidRPr="00982E50">
        <w:rPr>
          <w:rFonts w:ascii="Times New Roman" w:eastAsia="Times New Roman" w:hAnsi="Times New Roman" w:cs="Times New Roman"/>
          <w:sz w:val="24"/>
          <w:szCs w:val="24"/>
        </w:rPr>
        <w:t xml:space="preserve"> migration assay of HDQ-P1 IGFBP2 overexpressing cells.</w:t>
      </w:r>
    </w:p>
    <w:p w14:paraId="35D34611" w14:textId="0533CCD3" w:rsidR="00F54046" w:rsidRPr="00982E50" w:rsidRDefault="00F54046">
      <w:pPr>
        <w:rPr>
          <w:sz w:val="24"/>
          <w:szCs w:val="24"/>
        </w:rPr>
      </w:pPr>
      <w:r w:rsidRPr="00982E50">
        <w:rPr>
          <w:sz w:val="24"/>
          <w:szCs w:val="24"/>
        </w:rPr>
        <w:br w:type="page"/>
      </w:r>
    </w:p>
    <w:p w14:paraId="489F7305" w14:textId="3636C1FA" w:rsidR="00F54046" w:rsidRPr="00982E50" w:rsidRDefault="00091ACE" w:rsidP="00F54046">
      <w:pPr>
        <w:jc w:val="both"/>
        <w:rPr>
          <w:rFonts w:ascii="Times New Roman" w:eastAsia="Times New Roman" w:hAnsi="Times New Roman" w:cs="Times New Roman"/>
          <w:sz w:val="24"/>
          <w:szCs w:val="24"/>
        </w:rPr>
      </w:pPr>
      <w:r w:rsidRPr="00982E50">
        <w:rPr>
          <w:rFonts w:ascii="Times New Roman" w:eastAsia="Times New Roman" w:hAnsi="Times New Roman" w:cs="Times New Roman"/>
          <w:noProof/>
          <w:sz w:val="24"/>
          <w:szCs w:val="24"/>
        </w:rPr>
        <w:lastRenderedPageBreak/>
        <w:drawing>
          <wp:inline distT="0" distB="0" distL="0" distR="0" wp14:anchorId="6DBC68C9" wp14:editId="13DEDD34">
            <wp:extent cx="5943600" cy="1335405"/>
            <wp:effectExtent l="0" t="0" r="0" b="0"/>
            <wp:docPr id="123954122" name="Immagine 3" descr="Immagine che contiene testo,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4122" name="Immagine 3" descr="Immagine che contiene testo, diagramma&#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1335405"/>
                    </a:xfrm>
                    <a:prstGeom prst="rect">
                      <a:avLst/>
                    </a:prstGeom>
                  </pic:spPr>
                </pic:pic>
              </a:graphicData>
            </a:graphic>
          </wp:inline>
        </w:drawing>
      </w:r>
    </w:p>
    <w:p w14:paraId="1079B659" w14:textId="1BDDF604" w:rsidR="22DC5C73" w:rsidRPr="00982E50" w:rsidRDefault="00091ACE" w:rsidP="22DC5C73">
      <w:pPr>
        <w:jc w:val="both"/>
        <w:rPr>
          <w:rFonts w:ascii="Times New Roman" w:eastAsia="Times New Roman" w:hAnsi="Times New Roman" w:cs="Times New Roman"/>
          <w:sz w:val="24"/>
          <w:szCs w:val="24"/>
        </w:rPr>
      </w:pPr>
      <w:r w:rsidRPr="00982E50">
        <w:rPr>
          <w:rFonts w:ascii="Times New Roman" w:eastAsia="Times New Roman" w:hAnsi="Times New Roman" w:cs="Times New Roman"/>
          <w:b/>
          <w:bCs/>
          <w:sz w:val="24"/>
          <w:szCs w:val="24"/>
        </w:rPr>
        <w:t xml:space="preserve">Supplementary Figure 09 – </w:t>
      </w:r>
      <w:r w:rsidR="00982E50">
        <w:rPr>
          <w:rFonts w:ascii="Times New Roman" w:eastAsia="Times New Roman" w:hAnsi="Times New Roman" w:cs="Times New Roman"/>
          <w:b/>
          <w:bCs/>
          <w:sz w:val="24"/>
          <w:szCs w:val="24"/>
        </w:rPr>
        <w:t>Differential expression of 374 marker gene</w:t>
      </w:r>
      <w:r w:rsidR="001F22D6">
        <w:rPr>
          <w:rFonts w:ascii="Times New Roman" w:eastAsia="Times New Roman" w:hAnsi="Times New Roman" w:cs="Times New Roman"/>
          <w:b/>
          <w:bCs/>
          <w:sz w:val="24"/>
          <w:szCs w:val="24"/>
        </w:rPr>
        <w:t>s of afatinib response</w:t>
      </w:r>
      <w:r w:rsidR="00982E50">
        <w:rPr>
          <w:rFonts w:ascii="Times New Roman" w:eastAsia="Times New Roman" w:hAnsi="Times New Roman" w:cs="Times New Roman"/>
          <w:b/>
          <w:bCs/>
          <w:sz w:val="24"/>
          <w:szCs w:val="24"/>
        </w:rPr>
        <w:t xml:space="preserve"> across time</w:t>
      </w:r>
      <w:r w:rsidRPr="00982E50">
        <w:rPr>
          <w:rFonts w:ascii="Times New Roman" w:eastAsia="Times New Roman" w:hAnsi="Times New Roman" w:cs="Times New Roman"/>
          <w:b/>
          <w:bCs/>
          <w:sz w:val="24"/>
          <w:szCs w:val="24"/>
        </w:rPr>
        <w:t>. (A)</w:t>
      </w:r>
      <w:r w:rsidRPr="00982E50">
        <w:rPr>
          <w:rFonts w:ascii="Times New Roman" w:eastAsia="Times New Roman" w:hAnsi="Times New Roman" w:cs="Times New Roman"/>
          <w:sz w:val="24"/>
          <w:szCs w:val="24"/>
        </w:rPr>
        <w:t xml:space="preserve"> </w:t>
      </w:r>
      <w:r w:rsidR="001F22D6" w:rsidRPr="001F22D6">
        <w:rPr>
          <w:rFonts w:ascii="Times New Roman" w:eastAsia="Times New Roman" w:hAnsi="Times New Roman" w:cs="Times New Roman"/>
          <w:sz w:val="24"/>
          <w:szCs w:val="24"/>
        </w:rPr>
        <w:t>Venn diagram depicting the number of differentially expressed marker genes at each time point compared to untreated Day 0 cells</w:t>
      </w:r>
      <w:r w:rsidR="001F22D6">
        <w:rPr>
          <w:rFonts w:ascii="Times New Roman" w:eastAsia="Times New Roman" w:hAnsi="Times New Roman" w:cs="Times New Roman"/>
          <w:sz w:val="24"/>
          <w:szCs w:val="24"/>
        </w:rPr>
        <w:t>. (</w:t>
      </w:r>
      <w:r w:rsidR="001F22D6" w:rsidRPr="001F22D6">
        <w:rPr>
          <w:rFonts w:ascii="Times New Roman" w:eastAsia="Times New Roman" w:hAnsi="Times New Roman" w:cs="Times New Roman"/>
          <w:b/>
          <w:bCs/>
          <w:sz w:val="24"/>
          <w:szCs w:val="24"/>
        </w:rPr>
        <w:t>B-D</w:t>
      </w:r>
      <w:r w:rsidR="001F22D6">
        <w:rPr>
          <w:rFonts w:ascii="Times New Roman" w:eastAsia="Times New Roman" w:hAnsi="Times New Roman" w:cs="Times New Roman"/>
          <w:sz w:val="24"/>
          <w:szCs w:val="24"/>
        </w:rPr>
        <w:t xml:space="preserve">) </w:t>
      </w:r>
      <w:r w:rsidR="001F22D6" w:rsidRPr="001F22D6">
        <w:rPr>
          <w:rFonts w:ascii="Times New Roman" w:eastAsia="Times New Roman" w:hAnsi="Times New Roman" w:cs="Times New Roman"/>
          <w:sz w:val="24"/>
          <w:szCs w:val="24"/>
        </w:rPr>
        <w:t>Breakdown of shared DEGs of afatinib response across the single timepoints.</w:t>
      </w:r>
    </w:p>
    <w:p w14:paraId="04B83945" w14:textId="77777777" w:rsidR="00091ACE" w:rsidRPr="00982E50" w:rsidRDefault="00091ACE" w:rsidP="22DC5C73">
      <w:pPr>
        <w:jc w:val="both"/>
        <w:rPr>
          <w:rFonts w:ascii="Times New Roman" w:eastAsia="Times New Roman" w:hAnsi="Times New Roman" w:cs="Times New Roman"/>
          <w:sz w:val="24"/>
          <w:szCs w:val="24"/>
        </w:rPr>
      </w:pPr>
    </w:p>
    <w:p w14:paraId="72BE6442" w14:textId="2A79CB4F" w:rsidR="00091ACE" w:rsidRPr="00982E50" w:rsidRDefault="00091ACE">
      <w:pPr>
        <w:rPr>
          <w:rFonts w:ascii="Times New Roman" w:eastAsia="Times New Roman" w:hAnsi="Times New Roman" w:cs="Times New Roman"/>
          <w:sz w:val="24"/>
          <w:szCs w:val="24"/>
        </w:rPr>
      </w:pPr>
      <w:r w:rsidRPr="00982E50">
        <w:rPr>
          <w:rFonts w:ascii="Times New Roman" w:eastAsia="Times New Roman" w:hAnsi="Times New Roman" w:cs="Times New Roman"/>
          <w:sz w:val="24"/>
          <w:szCs w:val="24"/>
        </w:rPr>
        <w:br w:type="page"/>
      </w:r>
    </w:p>
    <w:p w14:paraId="1D7954DE" w14:textId="09957B2E" w:rsidR="22DC5C73" w:rsidRPr="00982E50" w:rsidRDefault="00FF1F88" w:rsidP="22DC5C73">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46A35306" wp14:editId="591B2348">
            <wp:extent cx="5943600" cy="2397760"/>
            <wp:effectExtent l="0" t="0" r="0" b="2540"/>
            <wp:docPr id="758256610" name="Immagine 1" descr="Immagine che contiene testo, diagramma, linea,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256610" name="Immagine 1" descr="Immagine che contiene testo, diagramma, linea, schermata&#10;&#10;Descrizione generata automa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397760"/>
                    </a:xfrm>
                    <a:prstGeom prst="rect">
                      <a:avLst/>
                    </a:prstGeom>
                  </pic:spPr>
                </pic:pic>
              </a:graphicData>
            </a:graphic>
          </wp:inline>
        </w:drawing>
      </w:r>
    </w:p>
    <w:p w14:paraId="3190C127" w14:textId="25F23D01" w:rsidR="00091ACE" w:rsidRPr="00982E50" w:rsidRDefault="00091ACE" w:rsidP="22DC5C73">
      <w:pPr>
        <w:jc w:val="both"/>
        <w:rPr>
          <w:rFonts w:ascii="Times New Roman" w:eastAsia="Times New Roman" w:hAnsi="Times New Roman" w:cs="Times New Roman"/>
          <w:sz w:val="24"/>
          <w:szCs w:val="24"/>
        </w:rPr>
      </w:pPr>
      <w:r w:rsidRPr="00982E50">
        <w:rPr>
          <w:rFonts w:ascii="Times New Roman" w:eastAsia="Times New Roman" w:hAnsi="Times New Roman" w:cs="Times New Roman"/>
          <w:b/>
          <w:bCs/>
          <w:sz w:val="24"/>
          <w:szCs w:val="24"/>
        </w:rPr>
        <w:t xml:space="preserve">Supplementary Figure 10 – </w:t>
      </w:r>
      <w:proofErr w:type="spellStart"/>
      <w:r w:rsidR="001F22D6">
        <w:rPr>
          <w:rFonts w:ascii="Times New Roman" w:eastAsia="Times New Roman" w:hAnsi="Times New Roman" w:cs="Times New Roman"/>
          <w:b/>
          <w:bCs/>
          <w:sz w:val="24"/>
          <w:szCs w:val="24"/>
        </w:rPr>
        <w:t>scASTRAL</w:t>
      </w:r>
      <w:proofErr w:type="spellEnd"/>
      <w:r w:rsidR="001F22D6">
        <w:rPr>
          <w:rFonts w:ascii="Times New Roman" w:eastAsia="Times New Roman" w:hAnsi="Times New Roman" w:cs="Times New Roman"/>
          <w:b/>
          <w:bCs/>
          <w:sz w:val="24"/>
          <w:szCs w:val="24"/>
        </w:rPr>
        <w:t xml:space="preserve"> evaluation of bulk</w:t>
      </w:r>
      <w:r w:rsidR="00FF1F88">
        <w:rPr>
          <w:rFonts w:ascii="Times New Roman" w:eastAsia="Times New Roman" w:hAnsi="Times New Roman" w:cs="Times New Roman"/>
          <w:b/>
          <w:bCs/>
          <w:sz w:val="24"/>
          <w:szCs w:val="24"/>
        </w:rPr>
        <w:t xml:space="preserve"> and pseudo-bulk</w:t>
      </w:r>
      <w:r w:rsidR="001F22D6">
        <w:rPr>
          <w:rFonts w:ascii="Times New Roman" w:eastAsia="Times New Roman" w:hAnsi="Times New Roman" w:cs="Times New Roman"/>
          <w:b/>
          <w:bCs/>
          <w:sz w:val="24"/>
          <w:szCs w:val="24"/>
        </w:rPr>
        <w:t xml:space="preserve"> data</w:t>
      </w:r>
      <w:r w:rsidRPr="00982E50">
        <w:rPr>
          <w:rFonts w:ascii="Times New Roman" w:eastAsia="Times New Roman" w:hAnsi="Times New Roman" w:cs="Times New Roman"/>
          <w:b/>
          <w:bCs/>
          <w:sz w:val="24"/>
          <w:szCs w:val="24"/>
        </w:rPr>
        <w:t>. (A)</w:t>
      </w:r>
      <w:r w:rsidRPr="00982E50">
        <w:rPr>
          <w:rFonts w:ascii="Times New Roman" w:eastAsia="Times New Roman" w:hAnsi="Times New Roman" w:cs="Times New Roman"/>
          <w:sz w:val="24"/>
          <w:szCs w:val="24"/>
        </w:rPr>
        <w:t xml:space="preserve"> </w:t>
      </w:r>
      <w:r w:rsidR="001F22D6" w:rsidRPr="001F22D6">
        <w:rPr>
          <w:rFonts w:ascii="Times New Roman" w:eastAsia="Times New Roman" w:hAnsi="Times New Roman" w:cs="Times New Roman"/>
          <w:sz w:val="24"/>
          <w:szCs w:val="24"/>
        </w:rPr>
        <w:t xml:space="preserve">Spearman Correlation Coefficient (SCC) between </w:t>
      </w:r>
      <w:proofErr w:type="spellStart"/>
      <w:r w:rsidR="001F22D6" w:rsidRPr="001F22D6">
        <w:rPr>
          <w:rFonts w:ascii="Times New Roman" w:eastAsia="Times New Roman" w:hAnsi="Times New Roman" w:cs="Times New Roman"/>
          <w:sz w:val="24"/>
          <w:szCs w:val="24"/>
        </w:rPr>
        <w:t>scASTRAL</w:t>
      </w:r>
      <w:proofErr w:type="spellEnd"/>
      <w:r w:rsidR="001F22D6" w:rsidRPr="001F22D6">
        <w:rPr>
          <w:rFonts w:ascii="Times New Roman" w:eastAsia="Times New Roman" w:hAnsi="Times New Roman" w:cs="Times New Roman"/>
          <w:sz w:val="24"/>
          <w:szCs w:val="24"/>
        </w:rPr>
        <w:t>-predicted afatinib sensitivity and experimentally determined IC50 values for the 16 TNBC cell lines</w:t>
      </w:r>
      <w:r w:rsidR="001F22D6">
        <w:rPr>
          <w:rFonts w:ascii="Times New Roman" w:eastAsia="Times New Roman" w:hAnsi="Times New Roman" w:cs="Times New Roman"/>
          <w:sz w:val="24"/>
          <w:szCs w:val="24"/>
        </w:rPr>
        <w:t xml:space="preserve"> of Figure 5A</w:t>
      </w:r>
      <w:r w:rsidR="001F22D6" w:rsidRPr="001F22D6">
        <w:rPr>
          <w:rFonts w:ascii="Times New Roman" w:eastAsia="Times New Roman" w:hAnsi="Times New Roman" w:cs="Times New Roman"/>
          <w:sz w:val="24"/>
          <w:szCs w:val="24"/>
        </w:rPr>
        <w:t>. The cell lines were first aggregated into pseudo</w:t>
      </w:r>
      <w:r w:rsidR="00FF1F88">
        <w:rPr>
          <w:rFonts w:ascii="Times New Roman" w:eastAsia="Times New Roman" w:hAnsi="Times New Roman" w:cs="Times New Roman"/>
          <w:sz w:val="24"/>
          <w:szCs w:val="24"/>
        </w:rPr>
        <w:t>-</w:t>
      </w:r>
      <w:r w:rsidR="001F22D6" w:rsidRPr="001F22D6">
        <w:rPr>
          <w:rFonts w:ascii="Times New Roman" w:eastAsia="Times New Roman" w:hAnsi="Times New Roman" w:cs="Times New Roman"/>
          <w:sz w:val="24"/>
          <w:szCs w:val="24"/>
        </w:rPr>
        <w:t>bulks (Methods).</w:t>
      </w:r>
      <w:r w:rsidR="00FF1F88">
        <w:rPr>
          <w:rFonts w:ascii="Times New Roman" w:eastAsia="Times New Roman" w:hAnsi="Times New Roman" w:cs="Times New Roman"/>
          <w:sz w:val="24"/>
          <w:szCs w:val="24"/>
        </w:rPr>
        <w:t xml:space="preserve"> (</w:t>
      </w:r>
      <w:r w:rsidR="00FF1F88" w:rsidRPr="00FF1F88">
        <w:rPr>
          <w:rFonts w:ascii="Times New Roman" w:eastAsia="Times New Roman" w:hAnsi="Times New Roman" w:cs="Times New Roman"/>
          <w:b/>
          <w:bCs/>
          <w:sz w:val="24"/>
          <w:szCs w:val="24"/>
        </w:rPr>
        <w:t>B</w:t>
      </w:r>
      <w:r w:rsidR="00FF1F88">
        <w:rPr>
          <w:rFonts w:ascii="Times New Roman" w:eastAsia="Times New Roman" w:hAnsi="Times New Roman" w:cs="Times New Roman"/>
          <w:sz w:val="24"/>
          <w:szCs w:val="24"/>
        </w:rPr>
        <w:t xml:space="preserve">) </w:t>
      </w:r>
      <w:r w:rsidR="00FF1F88" w:rsidRPr="001F22D6">
        <w:rPr>
          <w:rFonts w:ascii="Times New Roman" w:eastAsia="Times New Roman" w:hAnsi="Times New Roman" w:cs="Times New Roman"/>
          <w:sz w:val="24"/>
          <w:szCs w:val="24"/>
        </w:rPr>
        <w:t xml:space="preserve">Spearman Correlation Coefficient (SCC) between </w:t>
      </w:r>
      <w:proofErr w:type="spellStart"/>
      <w:r w:rsidR="00FF1F88" w:rsidRPr="001F22D6">
        <w:rPr>
          <w:rFonts w:ascii="Times New Roman" w:eastAsia="Times New Roman" w:hAnsi="Times New Roman" w:cs="Times New Roman"/>
          <w:sz w:val="24"/>
          <w:szCs w:val="24"/>
        </w:rPr>
        <w:t>scASTRAL</w:t>
      </w:r>
      <w:proofErr w:type="spellEnd"/>
      <w:r w:rsidR="00FF1F88" w:rsidRPr="001F22D6">
        <w:rPr>
          <w:rFonts w:ascii="Times New Roman" w:eastAsia="Times New Roman" w:hAnsi="Times New Roman" w:cs="Times New Roman"/>
          <w:sz w:val="24"/>
          <w:szCs w:val="24"/>
        </w:rPr>
        <w:t>-predicted afatinib sensitivity and experimentally determined IC50 values for the 1</w:t>
      </w:r>
      <w:r w:rsidR="00FF1F88">
        <w:rPr>
          <w:rFonts w:ascii="Times New Roman" w:eastAsia="Times New Roman" w:hAnsi="Times New Roman" w:cs="Times New Roman"/>
          <w:sz w:val="24"/>
          <w:szCs w:val="24"/>
        </w:rPr>
        <w:t>9</w:t>
      </w:r>
      <w:r w:rsidR="00FF1F88" w:rsidRPr="001F22D6">
        <w:rPr>
          <w:rFonts w:ascii="Times New Roman" w:eastAsia="Times New Roman" w:hAnsi="Times New Roman" w:cs="Times New Roman"/>
          <w:sz w:val="24"/>
          <w:szCs w:val="24"/>
        </w:rPr>
        <w:t xml:space="preserve"> TNBC cell lines</w:t>
      </w:r>
      <w:r w:rsidR="00FF1F88">
        <w:rPr>
          <w:rFonts w:ascii="Times New Roman" w:eastAsia="Times New Roman" w:hAnsi="Times New Roman" w:cs="Times New Roman"/>
          <w:sz w:val="24"/>
          <w:szCs w:val="24"/>
        </w:rPr>
        <w:t xml:space="preserve"> which bulk expression profiles were retrieved from </w:t>
      </w:r>
      <w:proofErr w:type="spellStart"/>
      <w:r w:rsidR="00FF1F88">
        <w:rPr>
          <w:rFonts w:ascii="Times New Roman" w:eastAsia="Times New Roman" w:hAnsi="Times New Roman" w:cs="Times New Roman"/>
          <w:sz w:val="24"/>
          <w:szCs w:val="24"/>
        </w:rPr>
        <w:t>deepmap</w:t>
      </w:r>
      <w:proofErr w:type="spellEnd"/>
      <w:r w:rsidR="00FF1F88">
        <w:rPr>
          <w:rFonts w:ascii="Times New Roman" w:eastAsia="Times New Roman" w:hAnsi="Times New Roman" w:cs="Times New Roman"/>
          <w:sz w:val="24"/>
          <w:szCs w:val="24"/>
        </w:rPr>
        <w:t xml:space="preserve"> portal.</w:t>
      </w:r>
    </w:p>
    <w:p w14:paraId="204BC108" w14:textId="7D85B105" w:rsidR="22DC5C73" w:rsidRPr="00982E50" w:rsidRDefault="22DC5C73" w:rsidP="00091ACE">
      <w:pPr>
        <w:rPr>
          <w:sz w:val="24"/>
          <w:szCs w:val="24"/>
        </w:rPr>
      </w:pPr>
    </w:p>
    <w:sectPr w:rsidR="22DC5C73" w:rsidRPr="00982E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Times New Roman">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1BE773"/>
    <w:rsid w:val="00011107"/>
    <w:rsid w:val="00041C7C"/>
    <w:rsid w:val="000617F3"/>
    <w:rsid w:val="000667F8"/>
    <w:rsid w:val="00090D92"/>
    <w:rsid w:val="00091ACE"/>
    <w:rsid w:val="000E5EE2"/>
    <w:rsid w:val="00120513"/>
    <w:rsid w:val="0012654A"/>
    <w:rsid w:val="0016361E"/>
    <w:rsid w:val="001F22D6"/>
    <w:rsid w:val="00217D1A"/>
    <w:rsid w:val="00267D66"/>
    <w:rsid w:val="002834B3"/>
    <w:rsid w:val="002B1DBF"/>
    <w:rsid w:val="002C4A9D"/>
    <w:rsid w:val="002D3BF8"/>
    <w:rsid w:val="00307E84"/>
    <w:rsid w:val="00313F6D"/>
    <w:rsid w:val="00322EA4"/>
    <w:rsid w:val="00386F48"/>
    <w:rsid w:val="00392017"/>
    <w:rsid w:val="00401821"/>
    <w:rsid w:val="00404C1B"/>
    <w:rsid w:val="004228F4"/>
    <w:rsid w:val="00447460"/>
    <w:rsid w:val="00493686"/>
    <w:rsid w:val="00495C01"/>
    <w:rsid w:val="00496B66"/>
    <w:rsid w:val="004F002D"/>
    <w:rsid w:val="00506E75"/>
    <w:rsid w:val="00524E4C"/>
    <w:rsid w:val="00577DD0"/>
    <w:rsid w:val="005B4F53"/>
    <w:rsid w:val="00640F12"/>
    <w:rsid w:val="00650CD6"/>
    <w:rsid w:val="00673650"/>
    <w:rsid w:val="00681577"/>
    <w:rsid w:val="006A314C"/>
    <w:rsid w:val="00745E97"/>
    <w:rsid w:val="007D76BA"/>
    <w:rsid w:val="008039A0"/>
    <w:rsid w:val="00836885"/>
    <w:rsid w:val="008534B0"/>
    <w:rsid w:val="00890451"/>
    <w:rsid w:val="0089305C"/>
    <w:rsid w:val="00896C28"/>
    <w:rsid w:val="008F6991"/>
    <w:rsid w:val="00913E7F"/>
    <w:rsid w:val="0091567A"/>
    <w:rsid w:val="00982E50"/>
    <w:rsid w:val="00A322DD"/>
    <w:rsid w:val="00A43446"/>
    <w:rsid w:val="00A558AF"/>
    <w:rsid w:val="00B44FF9"/>
    <w:rsid w:val="00B77855"/>
    <w:rsid w:val="00BB6E54"/>
    <w:rsid w:val="00CA09E9"/>
    <w:rsid w:val="00CA1CD3"/>
    <w:rsid w:val="00CC5E6E"/>
    <w:rsid w:val="00CE25B7"/>
    <w:rsid w:val="00D176FC"/>
    <w:rsid w:val="00D34B98"/>
    <w:rsid w:val="00D554B0"/>
    <w:rsid w:val="00D777A8"/>
    <w:rsid w:val="00D81DDD"/>
    <w:rsid w:val="00D92FED"/>
    <w:rsid w:val="00DA23A3"/>
    <w:rsid w:val="00DA749B"/>
    <w:rsid w:val="00E03087"/>
    <w:rsid w:val="00E160FA"/>
    <w:rsid w:val="00E308CF"/>
    <w:rsid w:val="00E53E92"/>
    <w:rsid w:val="00E74B90"/>
    <w:rsid w:val="00EC5344"/>
    <w:rsid w:val="00F15723"/>
    <w:rsid w:val="00F46FA2"/>
    <w:rsid w:val="00F54046"/>
    <w:rsid w:val="00FB333E"/>
    <w:rsid w:val="00FB6A70"/>
    <w:rsid w:val="00FF1F88"/>
    <w:rsid w:val="00FF6426"/>
    <w:rsid w:val="061BE773"/>
    <w:rsid w:val="22DC5C73"/>
    <w:rsid w:val="44F50CE3"/>
    <w:rsid w:val="4B972799"/>
    <w:rsid w:val="6F8BE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E773"/>
  <w15:chartTrackingRefBased/>
  <w15:docId w15:val="{30C0CDC9-EE42-4F4C-937F-02B421CA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character" w:styleId="Collegamentoipertestuale">
    <w:name w:val="Hyperlink"/>
    <w:basedOn w:val="Carpredefinitoparagrafo"/>
    <w:uiPriority w:val="99"/>
    <w:unhideWhenUsed/>
    <w:rsid w:val="00E308CF"/>
    <w:rPr>
      <w:color w:val="0000FF"/>
      <w:u w:val="single"/>
    </w:rPr>
  </w:style>
  <w:style w:type="character" w:styleId="Collegamentovisitato">
    <w:name w:val="FollowedHyperlink"/>
    <w:basedOn w:val="Carpredefinitoparagrafo"/>
    <w:uiPriority w:val="99"/>
    <w:semiHidden/>
    <w:unhideWhenUsed/>
    <w:rsid w:val="00E308CF"/>
    <w:rPr>
      <w:color w:val="800080"/>
      <w:u w:val="single"/>
    </w:rPr>
  </w:style>
  <w:style w:type="paragraph" w:customStyle="1" w:styleId="msonormal0">
    <w:name w:val="msonormal"/>
    <w:basedOn w:val="Normale"/>
    <w:rsid w:val="00E308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Revisione">
    <w:name w:val="Revision"/>
    <w:hidden/>
    <w:uiPriority w:val="99"/>
    <w:semiHidden/>
    <w:rsid w:val="00CA09E9"/>
    <w:pPr>
      <w:spacing w:after="0" w:line="240" w:lineRule="auto"/>
    </w:pPr>
  </w:style>
  <w:style w:type="character" w:styleId="Menzionenonrisolta">
    <w:name w:val="Unresolved Mention"/>
    <w:basedOn w:val="Carpredefinitoparagrafo"/>
    <w:uiPriority w:val="99"/>
    <w:semiHidden/>
    <w:unhideWhenUsed/>
    <w:rsid w:val="00853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7705">
      <w:bodyDiv w:val="1"/>
      <w:marLeft w:val="0"/>
      <w:marRight w:val="0"/>
      <w:marTop w:val="0"/>
      <w:marBottom w:val="0"/>
      <w:divBdr>
        <w:top w:val="none" w:sz="0" w:space="0" w:color="auto"/>
        <w:left w:val="none" w:sz="0" w:space="0" w:color="auto"/>
        <w:bottom w:val="none" w:sz="0" w:space="0" w:color="auto"/>
        <w:right w:val="none" w:sz="0" w:space="0" w:color="auto"/>
      </w:divBdr>
    </w:div>
    <w:div w:id="351416909">
      <w:bodyDiv w:val="1"/>
      <w:marLeft w:val="0"/>
      <w:marRight w:val="0"/>
      <w:marTop w:val="0"/>
      <w:marBottom w:val="0"/>
      <w:divBdr>
        <w:top w:val="none" w:sz="0" w:space="0" w:color="auto"/>
        <w:left w:val="none" w:sz="0" w:space="0" w:color="auto"/>
        <w:bottom w:val="none" w:sz="0" w:space="0" w:color="auto"/>
        <w:right w:val="none" w:sz="0" w:space="0" w:color="auto"/>
      </w:divBdr>
    </w:div>
    <w:div w:id="414909819">
      <w:bodyDiv w:val="1"/>
      <w:marLeft w:val="0"/>
      <w:marRight w:val="0"/>
      <w:marTop w:val="0"/>
      <w:marBottom w:val="0"/>
      <w:divBdr>
        <w:top w:val="none" w:sz="0" w:space="0" w:color="auto"/>
        <w:left w:val="none" w:sz="0" w:space="0" w:color="auto"/>
        <w:bottom w:val="none" w:sz="0" w:space="0" w:color="auto"/>
        <w:right w:val="none" w:sz="0" w:space="0" w:color="auto"/>
      </w:divBdr>
    </w:div>
    <w:div w:id="43425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ncerrxgene.org" TargetMode="External"/><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6A68E-8714-4F21-91F8-D868ABE2C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12</Pages>
  <Words>1049</Words>
  <Characters>5980</Characters>
  <Application>Microsoft Office Word</Application>
  <DocSecurity>0</DocSecurity>
  <Lines>49</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Melania Franchini</dc:creator>
  <cp:keywords/>
  <dc:description/>
  <cp:lastModifiedBy>GENNARO GAMBARDELLA</cp:lastModifiedBy>
  <cp:revision>67</cp:revision>
  <dcterms:created xsi:type="dcterms:W3CDTF">2023-03-06T10:04:00Z</dcterms:created>
  <dcterms:modified xsi:type="dcterms:W3CDTF">2024-03-04T17:16:00Z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SIP_Label_2ad0b24d-6422-44b0-b3de-abb3a9e8c81a_Enabled">
    <vt:lpwstr>true</vt:lpwstr>
  </property>
  <property fmtid="{D5CDD505-2E9C-101B-9397-08002B2CF9AE}" pid="4" name="MSIP_Label_2ad0b24d-6422-44b0-b3de-abb3a9e8c81a_SetDate">
    <vt:lpwstr>2024-03-04T17:16:57Z</vt:lpwstr>
  </property>
  <property fmtid="{D5CDD505-2E9C-101B-9397-08002B2CF9AE}" pid="5" name="MSIP_Label_2ad0b24d-6422-44b0-b3de-abb3a9e8c81a_Method">
    <vt:lpwstr>Standard</vt:lpwstr>
  </property>
  <property fmtid="{D5CDD505-2E9C-101B-9397-08002B2CF9AE}" pid="6" name="MSIP_Label_2ad0b24d-6422-44b0-b3de-abb3a9e8c81a_Name">
    <vt:lpwstr>defa4170-0d19-0005-0004-bc88714345d2</vt:lpwstr>
  </property>
  <property fmtid="{D5CDD505-2E9C-101B-9397-08002B2CF9AE}" pid="7" name="MSIP_Label_2ad0b24d-6422-44b0-b3de-abb3a9e8c81a_SiteId">
    <vt:lpwstr>2fcfe26a-bb62-46b0-b1e3-28f9da0c45fd</vt:lpwstr>
  </property>
  <property fmtid="{D5CDD505-2E9C-101B-9397-08002B2CF9AE}" pid="8" name="MSIP_Label_2ad0b24d-6422-44b0-b3de-abb3a9e8c81a_ActionId">
    <vt:lpwstr>1d02d629-2c11-4f4c-ba1e-7fbca5bc3a60</vt:lpwstr>
  </property>
  <property fmtid="{D5CDD505-2E9C-101B-9397-08002B2CF9AE}" pid="9" name="MSIP_Label_2ad0b24d-6422-44b0-b3de-abb3a9e8c81a_ContentBits">
    <vt:lpwstr>0</vt:lpwstr>
  </property>
</Properties>
</file>