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A2F2D" w14:textId="5D73F1FD" w:rsidR="00BE774E" w:rsidRDefault="00397FF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Fig.</w:t>
      </w:r>
      <w:r w:rsidR="00BE774E" w:rsidRPr="005A2EEF">
        <w:rPr>
          <w:rFonts w:ascii="Arial" w:hAnsi="Arial" w:cs="Arial"/>
          <w:b/>
          <w:bCs/>
        </w:rPr>
        <w:t xml:space="preserve"> S1:</w:t>
      </w:r>
      <w:r w:rsidR="005A2EEF">
        <w:rPr>
          <w:rFonts w:ascii="Arial" w:hAnsi="Arial" w:cs="Arial"/>
        </w:rPr>
        <w:t xml:space="preserve"> </w:t>
      </w:r>
      <w:r w:rsidR="00BE774E" w:rsidRPr="00095F67">
        <w:rPr>
          <w:rFonts w:ascii="Arial" w:hAnsi="Arial" w:cs="Arial"/>
          <w:b/>
          <w:bCs/>
        </w:rPr>
        <w:t>Kaplan-</w:t>
      </w:r>
      <w:proofErr w:type="spellStart"/>
      <w:r w:rsidR="00BE774E" w:rsidRPr="00095F67">
        <w:rPr>
          <w:rFonts w:ascii="Arial" w:hAnsi="Arial" w:cs="Arial"/>
          <w:b/>
          <w:bCs/>
        </w:rPr>
        <w:t>meier</w:t>
      </w:r>
      <w:proofErr w:type="spellEnd"/>
      <w:r w:rsidR="00BE774E" w:rsidRPr="00095F67">
        <w:rPr>
          <w:rFonts w:ascii="Arial" w:hAnsi="Arial" w:cs="Arial"/>
          <w:b/>
          <w:bCs/>
        </w:rPr>
        <w:t xml:space="preserve"> curves of T2D</w:t>
      </w:r>
      <w:r w:rsidR="004C419E">
        <w:rPr>
          <w:rFonts w:ascii="Arial" w:hAnsi="Arial" w:cs="Arial"/>
          <w:b/>
          <w:bCs/>
        </w:rPr>
        <w:t xml:space="preserve"> </w:t>
      </w:r>
      <w:r w:rsidR="00BE774E" w:rsidRPr="00095F67">
        <w:rPr>
          <w:rFonts w:ascii="Arial" w:hAnsi="Arial" w:cs="Arial"/>
          <w:b/>
          <w:bCs/>
        </w:rPr>
        <w:t>P</w:t>
      </w:r>
      <w:r w:rsidR="004C419E">
        <w:rPr>
          <w:rFonts w:ascii="Arial" w:hAnsi="Arial" w:cs="Arial"/>
          <w:b/>
          <w:bCs/>
        </w:rPr>
        <w:t>G</w:t>
      </w:r>
      <w:r w:rsidR="00BE774E" w:rsidRPr="00095F67">
        <w:rPr>
          <w:rFonts w:ascii="Arial" w:hAnsi="Arial" w:cs="Arial"/>
          <w:b/>
          <w:bCs/>
        </w:rPr>
        <w:t xml:space="preserve">S </w:t>
      </w:r>
      <w:proofErr w:type="spellStart"/>
      <w:r w:rsidR="00BE774E" w:rsidRPr="00095F67">
        <w:rPr>
          <w:rFonts w:ascii="Arial" w:hAnsi="Arial" w:cs="Arial"/>
          <w:b/>
          <w:bCs/>
        </w:rPr>
        <w:t>tertiles</w:t>
      </w:r>
      <w:proofErr w:type="spellEnd"/>
      <w:r w:rsidR="00BE774E" w:rsidRPr="00095F67">
        <w:rPr>
          <w:rFonts w:ascii="Arial" w:hAnsi="Arial" w:cs="Arial"/>
          <w:b/>
          <w:bCs/>
        </w:rPr>
        <w:t xml:space="preserve"> </w:t>
      </w:r>
      <w:r w:rsidR="00095F67">
        <w:rPr>
          <w:rFonts w:ascii="Arial" w:hAnsi="Arial" w:cs="Arial"/>
          <w:b/>
          <w:bCs/>
        </w:rPr>
        <w:t>by genetic similarity to European ancestry</w:t>
      </w:r>
      <w:r w:rsidR="00BE774E">
        <w:rPr>
          <w:rFonts w:ascii="Arial" w:hAnsi="Arial" w:cs="Arial"/>
        </w:rPr>
        <w:t xml:space="preserve">. </w:t>
      </w:r>
    </w:p>
    <w:p w14:paraId="39F16491" w14:textId="5CF4B62F" w:rsidR="005A2EEF" w:rsidRDefault="005A2EEF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0995440E" wp14:editId="548085BF">
            <wp:simplePos x="0" y="0"/>
            <wp:positionH relativeFrom="column">
              <wp:posOffset>-843811</wp:posOffset>
            </wp:positionH>
            <wp:positionV relativeFrom="paragraph">
              <wp:posOffset>87401</wp:posOffset>
            </wp:positionV>
            <wp:extent cx="7505700" cy="4397375"/>
            <wp:effectExtent l="0" t="0" r="0" b="0"/>
            <wp:wrapNone/>
            <wp:docPr id="1998221236" name="Picture 2" descr="A graph of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221236" name="Picture 2" descr="A graph of different colored lines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439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58CAC" w14:textId="68D26583" w:rsidR="005A2EEF" w:rsidRDefault="005A2EEF">
      <w:pPr>
        <w:rPr>
          <w:rFonts w:ascii="Arial" w:hAnsi="Arial" w:cs="Arial"/>
        </w:rPr>
      </w:pPr>
    </w:p>
    <w:p w14:paraId="7E46A719" w14:textId="3E384FB5" w:rsidR="005A2EEF" w:rsidRDefault="005A2EEF">
      <w:pPr>
        <w:rPr>
          <w:rFonts w:ascii="Arial" w:hAnsi="Arial" w:cs="Arial"/>
        </w:rPr>
      </w:pPr>
    </w:p>
    <w:p w14:paraId="53FAC7E3" w14:textId="3473FDBA" w:rsidR="005A2EEF" w:rsidRDefault="005A2EEF">
      <w:pPr>
        <w:rPr>
          <w:rFonts w:ascii="Arial" w:hAnsi="Arial" w:cs="Arial"/>
        </w:rPr>
      </w:pPr>
    </w:p>
    <w:p w14:paraId="7EECDB1B" w14:textId="07E6322A" w:rsidR="005A2EEF" w:rsidRDefault="005A2EEF">
      <w:pPr>
        <w:rPr>
          <w:rFonts w:ascii="Arial" w:hAnsi="Arial" w:cs="Arial"/>
        </w:rPr>
      </w:pPr>
    </w:p>
    <w:p w14:paraId="6348CCDA" w14:textId="3C226322" w:rsidR="005A2EEF" w:rsidRDefault="005A2EEF">
      <w:pPr>
        <w:rPr>
          <w:rFonts w:ascii="Arial" w:hAnsi="Arial" w:cs="Arial"/>
        </w:rPr>
      </w:pPr>
    </w:p>
    <w:p w14:paraId="2538EF80" w14:textId="3CE463F8" w:rsidR="005A2EEF" w:rsidRDefault="005A2EEF">
      <w:pPr>
        <w:rPr>
          <w:rFonts w:ascii="Arial" w:hAnsi="Arial" w:cs="Arial"/>
        </w:rPr>
      </w:pPr>
    </w:p>
    <w:p w14:paraId="48477EF8" w14:textId="28EBBCF2" w:rsidR="005A2EEF" w:rsidRDefault="005A2EEF">
      <w:pPr>
        <w:rPr>
          <w:rFonts w:ascii="Arial" w:hAnsi="Arial" w:cs="Arial"/>
        </w:rPr>
      </w:pPr>
    </w:p>
    <w:p w14:paraId="73F85BDB" w14:textId="76F25D7C" w:rsidR="005A2EEF" w:rsidRDefault="005A2EEF">
      <w:pPr>
        <w:rPr>
          <w:rFonts w:ascii="Arial" w:hAnsi="Arial" w:cs="Arial"/>
        </w:rPr>
      </w:pPr>
    </w:p>
    <w:p w14:paraId="121B1798" w14:textId="3AD847C4" w:rsidR="005A2EEF" w:rsidRDefault="005A2EEF">
      <w:pPr>
        <w:rPr>
          <w:rFonts w:ascii="Arial" w:hAnsi="Arial" w:cs="Arial"/>
        </w:rPr>
      </w:pPr>
    </w:p>
    <w:p w14:paraId="1E945ABD" w14:textId="2BAFBD08" w:rsidR="005A2EEF" w:rsidRDefault="005A2EEF">
      <w:pPr>
        <w:rPr>
          <w:rFonts w:ascii="Arial" w:hAnsi="Arial" w:cs="Arial"/>
        </w:rPr>
      </w:pPr>
    </w:p>
    <w:p w14:paraId="422B2176" w14:textId="1EF64225" w:rsidR="005A2EEF" w:rsidRDefault="005A2EEF">
      <w:pPr>
        <w:rPr>
          <w:rFonts w:ascii="Arial" w:hAnsi="Arial" w:cs="Arial"/>
        </w:rPr>
      </w:pPr>
    </w:p>
    <w:p w14:paraId="65AC7950" w14:textId="7C5CF28B" w:rsidR="005A2EEF" w:rsidRDefault="005A2EEF">
      <w:pPr>
        <w:rPr>
          <w:rFonts w:ascii="Arial" w:hAnsi="Arial" w:cs="Arial"/>
        </w:rPr>
      </w:pPr>
    </w:p>
    <w:p w14:paraId="197BCC40" w14:textId="0CF6C0ED" w:rsidR="005A2EEF" w:rsidRDefault="005A2EEF">
      <w:pPr>
        <w:rPr>
          <w:rFonts w:ascii="Arial" w:hAnsi="Arial" w:cs="Arial"/>
        </w:rPr>
      </w:pPr>
    </w:p>
    <w:p w14:paraId="50DD4FA9" w14:textId="6B4270DD" w:rsidR="009F4749" w:rsidRPr="005A2EEF" w:rsidRDefault="009F4749">
      <w:pPr>
        <w:rPr>
          <w:rFonts w:ascii="Arial" w:hAnsi="Arial" w:cs="Arial"/>
        </w:rPr>
      </w:pPr>
    </w:p>
    <w:p w14:paraId="17155A6C" w14:textId="790C91B1" w:rsidR="009F4749" w:rsidRDefault="009F4749">
      <w:pPr>
        <w:rPr>
          <w:rFonts w:ascii="Arial" w:hAnsi="Arial" w:cs="Arial"/>
        </w:rPr>
      </w:pPr>
    </w:p>
    <w:p w14:paraId="20E9121B" w14:textId="77777777" w:rsidR="005A2EEF" w:rsidRDefault="005A2EEF">
      <w:pPr>
        <w:rPr>
          <w:rFonts w:ascii="Arial" w:hAnsi="Arial" w:cs="Arial"/>
        </w:rPr>
      </w:pPr>
    </w:p>
    <w:p w14:paraId="45A7B1FB" w14:textId="77777777" w:rsidR="005A2EEF" w:rsidRDefault="005A2EEF">
      <w:pPr>
        <w:rPr>
          <w:rFonts w:ascii="Arial" w:hAnsi="Arial" w:cs="Arial"/>
        </w:rPr>
      </w:pPr>
    </w:p>
    <w:p w14:paraId="09861349" w14:textId="77777777" w:rsidR="005A2EEF" w:rsidRDefault="005A2EEF">
      <w:pPr>
        <w:rPr>
          <w:rFonts w:ascii="Arial" w:hAnsi="Arial" w:cs="Arial"/>
        </w:rPr>
      </w:pPr>
    </w:p>
    <w:p w14:paraId="15DA463F" w14:textId="77777777" w:rsidR="005A2EEF" w:rsidRDefault="005A2EEF">
      <w:pPr>
        <w:rPr>
          <w:rFonts w:ascii="Arial" w:hAnsi="Arial" w:cs="Arial"/>
        </w:rPr>
      </w:pPr>
    </w:p>
    <w:p w14:paraId="44AC3E86" w14:textId="77777777" w:rsidR="005A2EEF" w:rsidRDefault="005A2EEF">
      <w:pPr>
        <w:rPr>
          <w:rFonts w:ascii="Arial" w:hAnsi="Arial" w:cs="Arial"/>
        </w:rPr>
      </w:pPr>
    </w:p>
    <w:p w14:paraId="31DDD370" w14:textId="77777777" w:rsidR="005A2EEF" w:rsidRDefault="005A2EEF">
      <w:pPr>
        <w:rPr>
          <w:rFonts w:ascii="Arial" w:hAnsi="Arial" w:cs="Arial"/>
        </w:rPr>
      </w:pPr>
    </w:p>
    <w:p w14:paraId="2F818427" w14:textId="77777777" w:rsidR="005A2EEF" w:rsidRDefault="005A2EEF">
      <w:pPr>
        <w:rPr>
          <w:rFonts w:ascii="Arial" w:hAnsi="Arial" w:cs="Arial"/>
        </w:rPr>
      </w:pPr>
    </w:p>
    <w:p w14:paraId="1DBBF429" w14:textId="77777777" w:rsidR="005A2EEF" w:rsidRDefault="005A2EEF">
      <w:pPr>
        <w:rPr>
          <w:rFonts w:ascii="Arial" w:hAnsi="Arial" w:cs="Arial"/>
        </w:rPr>
      </w:pPr>
    </w:p>
    <w:p w14:paraId="67383D79" w14:textId="77777777" w:rsidR="005A2EEF" w:rsidRDefault="005A2EEF">
      <w:pPr>
        <w:rPr>
          <w:rFonts w:ascii="Arial" w:hAnsi="Arial" w:cs="Arial"/>
        </w:rPr>
      </w:pPr>
    </w:p>
    <w:p w14:paraId="22AE6E79" w14:textId="77777777" w:rsidR="005A2EEF" w:rsidRDefault="005A2EEF">
      <w:pPr>
        <w:rPr>
          <w:rFonts w:ascii="Arial" w:hAnsi="Arial" w:cs="Arial"/>
        </w:rPr>
      </w:pPr>
    </w:p>
    <w:p w14:paraId="493986D7" w14:textId="179415BA" w:rsidR="009F4749" w:rsidRPr="00BE774E" w:rsidRDefault="005A2EEF">
      <w:pPr>
        <w:rPr>
          <w:rFonts w:ascii="Arial" w:hAnsi="Arial" w:cs="Arial"/>
        </w:rPr>
      </w:pPr>
      <w:r>
        <w:rPr>
          <w:rFonts w:ascii="Arial" w:hAnsi="Arial" w:cs="Arial"/>
        </w:rPr>
        <w:t xml:space="preserve">Within (A) the total population and (B) a subset of individuals of only EUR ancestry, T2D PGS </w:t>
      </w:r>
      <w:proofErr w:type="spellStart"/>
      <w:r>
        <w:rPr>
          <w:rFonts w:ascii="Arial" w:hAnsi="Arial" w:cs="Arial"/>
        </w:rPr>
        <w:t>tertiles</w:t>
      </w:r>
      <w:proofErr w:type="spellEnd"/>
      <w:r>
        <w:rPr>
          <w:rFonts w:ascii="Arial" w:hAnsi="Arial" w:cs="Arial"/>
        </w:rPr>
        <w:t xml:space="preserve"> separate risk of diabetes onset. </w:t>
      </w:r>
      <w:proofErr w:type="gramStart"/>
      <w:r>
        <w:rPr>
          <w:rFonts w:ascii="Arial" w:hAnsi="Arial" w:cs="Arial"/>
        </w:rPr>
        <w:t>However</w:t>
      </w:r>
      <w:proofErr w:type="gramEnd"/>
      <w:r>
        <w:rPr>
          <w:rFonts w:ascii="Arial" w:hAnsi="Arial" w:cs="Arial"/>
        </w:rPr>
        <w:t xml:space="preserve"> in (C) individuals of non-EUR ancestry, the highest and middle T2D PGS </w:t>
      </w:r>
      <w:proofErr w:type="spellStart"/>
      <w:r>
        <w:rPr>
          <w:rFonts w:ascii="Arial" w:hAnsi="Arial" w:cs="Arial"/>
        </w:rPr>
        <w:t>tertiles</w:t>
      </w:r>
      <w:proofErr w:type="spellEnd"/>
      <w:r>
        <w:rPr>
          <w:rFonts w:ascii="Arial" w:hAnsi="Arial" w:cs="Arial"/>
        </w:rPr>
        <w:t xml:space="preserve"> overlap. Residualizing ancestry bias from the T2D PGS maintains similar separation within (D) the total population and (E) participants of EUR ancestry. (F) </w:t>
      </w:r>
      <w:proofErr w:type="spellStart"/>
      <w:r>
        <w:rPr>
          <w:rFonts w:ascii="Arial" w:hAnsi="Arial" w:cs="Arial"/>
        </w:rPr>
        <w:t>Residualization</w:t>
      </w:r>
      <w:proofErr w:type="spellEnd"/>
      <w:r>
        <w:rPr>
          <w:rFonts w:ascii="Arial" w:hAnsi="Arial" w:cs="Arial"/>
        </w:rPr>
        <w:t xml:space="preserve"> further improves T2D PGS </w:t>
      </w:r>
      <w:proofErr w:type="spellStart"/>
      <w:r>
        <w:rPr>
          <w:rFonts w:ascii="Arial" w:hAnsi="Arial" w:cs="Arial"/>
        </w:rPr>
        <w:t>tertile</w:t>
      </w:r>
      <w:proofErr w:type="spellEnd"/>
      <w:r>
        <w:rPr>
          <w:rFonts w:ascii="Arial" w:hAnsi="Arial" w:cs="Arial"/>
        </w:rPr>
        <w:t xml:space="preserve"> separation in non-EUR participants. Multivariate log-rank test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in all analyses </w:t>
      </w:r>
      <w:r w:rsidR="00B679EF">
        <w:rPr>
          <w:rFonts w:ascii="Arial" w:hAnsi="Arial" w:cs="Arial"/>
        </w:rPr>
        <w:t xml:space="preserve">was </w:t>
      </w:r>
      <w:r>
        <w:rPr>
          <w:rFonts w:ascii="Arial" w:hAnsi="Arial" w:cs="Arial"/>
        </w:rPr>
        <w:t>&lt;0.0001.</w:t>
      </w:r>
    </w:p>
    <w:sectPr w:rsidR="009F4749" w:rsidRPr="00BE77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B03"/>
    <w:rsid w:val="00016AEE"/>
    <w:rsid w:val="0002023E"/>
    <w:rsid w:val="00095F67"/>
    <w:rsid w:val="000B6B73"/>
    <w:rsid w:val="000E41A1"/>
    <w:rsid w:val="00207947"/>
    <w:rsid w:val="00397FFC"/>
    <w:rsid w:val="003E1BC9"/>
    <w:rsid w:val="003F680B"/>
    <w:rsid w:val="00477833"/>
    <w:rsid w:val="004C419E"/>
    <w:rsid w:val="005A2EEF"/>
    <w:rsid w:val="00636905"/>
    <w:rsid w:val="009F4749"/>
    <w:rsid w:val="00A855B5"/>
    <w:rsid w:val="00AB0238"/>
    <w:rsid w:val="00B679EF"/>
    <w:rsid w:val="00BE774E"/>
    <w:rsid w:val="00CC3D5F"/>
    <w:rsid w:val="00E9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D2A76"/>
  <w15:chartTrackingRefBased/>
  <w15:docId w15:val="{615A9C08-5C88-D743-B8A7-54F90BAE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079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79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79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79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794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 Mandla</dc:creator>
  <cp:keywords/>
  <dc:description/>
  <cp:lastModifiedBy>Ravi Mandla</cp:lastModifiedBy>
  <cp:revision>3</cp:revision>
  <dcterms:created xsi:type="dcterms:W3CDTF">2024-04-05T18:58:00Z</dcterms:created>
  <dcterms:modified xsi:type="dcterms:W3CDTF">2024-04-13T23:47:00Z</dcterms:modified>
</cp:coreProperties>
</file>