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CB0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Segoe UI" w:cs="Times New Roman"/>
          <w:b/>
          <w:bCs/>
          <w:i w:val="0"/>
          <w:iCs w:val="0"/>
          <w:caps w:val="0"/>
          <w:spacing w:val="0"/>
          <w:sz w:val="21"/>
          <w:szCs w:val="21"/>
          <w:shd w:val="clear" w:fill="FFFFFF"/>
        </w:rPr>
      </w:pPr>
      <w:r>
        <w:rPr>
          <w:rFonts w:hint="default" w:ascii="Times New Roman" w:hAnsi="Times New Roman" w:eastAsia="Segoe UI" w:cs="Times New Roman"/>
          <w:b/>
          <w:bCs/>
          <w:i w:val="0"/>
          <w:iCs w:val="0"/>
          <w:caps w:val="0"/>
          <w:spacing w:val="0"/>
          <w:sz w:val="21"/>
          <w:szCs w:val="21"/>
          <w:shd w:val="clear" w:fill="FFFFFF"/>
        </w:rPr>
        <w:t>Summary of the protocol</w:t>
      </w:r>
    </w:p>
    <w:p w14:paraId="3F0C2F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kern w:val="0"/>
          <w:sz w:val="21"/>
          <w:szCs w:val="21"/>
          <w:lang w:val="en-US" w:eastAsia="zh-CN" w:bidi="ar"/>
        </w:rPr>
      </w:pPr>
      <w:r>
        <w:rPr>
          <w:rFonts w:hint="default" w:ascii="Times New Roman" w:hAnsi="Times New Roman" w:eastAsia="宋体" w:cs="Times New Roman"/>
          <w:b/>
          <w:bCs/>
          <w:kern w:val="0"/>
          <w:sz w:val="21"/>
          <w:szCs w:val="21"/>
          <w:lang w:val="en-US" w:eastAsia="zh-CN" w:bidi="ar"/>
        </w:rPr>
        <w:t>Study purpose</w:t>
      </w:r>
    </w:p>
    <w:p w14:paraId="55AE3D0E">
      <w:pPr>
        <w:jc w:val="left"/>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To evaluate safety and efficacy of CAR-T cells in the clinical treatment of advanced solid tumors.</w:t>
      </w:r>
    </w:p>
    <w:p w14:paraId="5EB10A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kern w:val="0"/>
          <w:sz w:val="21"/>
          <w:szCs w:val="21"/>
          <w:lang w:val="en-US" w:eastAsia="zh-CN" w:bidi="ar"/>
        </w:rPr>
      </w:pPr>
      <w:r>
        <w:rPr>
          <w:rFonts w:hint="default" w:ascii="Times New Roman" w:hAnsi="Times New Roman" w:eastAsia="宋体" w:cs="Times New Roman"/>
          <w:b/>
          <w:bCs/>
          <w:kern w:val="0"/>
          <w:sz w:val="21"/>
          <w:szCs w:val="21"/>
          <w:lang w:val="en-US" w:eastAsia="zh-CN" w:bidi="ar"/>
        </w:rPr>
        <w:t>Research Design</w:t>
      </w:r>
    </w:p>
    <w:p w14:paraId="20AF6CBE">
      <w:pPr>
        <w:jc w:val="left"/>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 xml:space="preserve">This is a single-arm, open clinical study in patients with advanced ovarian cancer or malignant mesothelioma with positive mesothelin antigen expression. </w:t>
      </w:r>
    </w:p>
    <w:p w14:paraId="47A264D6">
      <w:pPr>
        <w:widowControl w:val="0"/>
        <w:numPr>
          <w:ilvl w:val="0"/>
          <w:numId w:val="0"/>
        </w:numPr>
        <w:jc w:val="both"/>
        <w:rPr>
          <w:rFonts w:hint="default" w:ascii="Times New Roman" w:hAnsi="Times New Roman" w:eastAsia="宋体" w:cs="Times New Roman"/>
          <w:b/>
          <w:bCs/>
          <w:i w:val="0"/>
          <w:iCs w:val="0"/>
          <w:caps w:val="0"/>
          <w:spacing w:val="0"/>
          <w:sz w:val="21"/>
          <w:szCs w:val="21"/>
          <w:shd w:val="clear" w:fill="FFFFFF"/>
          <w:lang w:val="en-US" w:eastAsia="zh-CN"/>
        </w:rPr>
      </w:pPr>
      <w:r>
        <w:rPr>
          <w:rFonts w:hint="default" w:ascii="Times New Roman" w:hAnsi="Times New Roman" w:eastAsia="Segoe UI" w:cs="Times New Roman"/>
          <w:b/>
          <w:bCs/>
          <w:i w:val="0"/>
          <w:iCs w:val="0"/>
          <w:caps w:val="0"/>
          <w:spacing w:val="0"/>
          <w:sz w:val="21"/>
          <w:szCs w:val="21"/>
          <w:shd w:val="clear" w:fill="FFFFFF"/>
        </w:rPr>
        <w:t xml:space="preserve">Study </w:t>
      </w:r>
      <w:r>
        <w:rPr>
          <w:rFonts w:hint="default" w:ascii="Times New Roman" w:hAnsi="Times New Roman" w:eastAsia="宋体" w:cs="Times New Roman"/>
          <w:b/>
          <w:bCs/>
          <w:i w:val="0"/>
          <w:iCs w:val="0"/>
          <w:caps w:val="0"/>
          <w:spacing w:val="0"/>
          <w:sz w:val="21"/>
          <w:szCs w:val="21"/>
          <w:shd w:val="clear" w:fill="FFFFFF"/>
          <w:lang w:val="en-US" w:eastAsia="zh-CN"/>
        </w:rPr>
        <w:t>endpoints</w:t>
      </w:r>
    </w:p>
    <w:p w14:paraId="527C08CC">
      <w:pPr>
        <w:widowControl w:val="0"/>
        <w:numPr>
          <w:ilvl w:val="0"/>
          <w:numId w:val="0"/>
        </w:numPr>
        <w:jc w:val="both"/>
        <w:rPr>
          <w:rFonts w:hint="default" w:ascii="Times New Roman" w:hAnsi="Times New Roman" w:eastAsia="宋体" w:cs="Times New Roman"/>
          <w:b/>
          <w:bCs/>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Primary endpoints:</w:t>
      </w:r>
    </w:p>
    <w:p w14:paraId="55B5285B">
      <w:pPr>
        <w:widowControl w:val="0"/>
        <w:numPr>
          <w:numId w:val="0"/>
        </w:numPr>
        <w:jc w:val="both"/>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To explore safety of chimeric antigen receptor gene-modified autologous T cell (CAR-T) for patients with advanced solid tumors.</w:t>
      </w:r>
    </w:p>
    <w:p w14:paraId="44D61985">
      <w:pPr>
        <w:widowControl w:val="0"/>
        <w:numPr>
          <w:ilvl w:val="0"/>
          <w:numId w:val="0"/>
        </w:numPr>
        <w:jc w:val="both"/>
        <w:rPr>
          <w:rFonts w:hint="default" w:ascii="Times New Roman" w:hAnsi="Times New Roman" w:eastAsia="Segoe UI" w:cs="Times New Roman"/>
          <w:b/>
          <w:bCs/>
          <w:i w:val="0"/>
          <w:iCs w:val="0"/>
          <w:caps w:val="0"/>
          <w:spacing w:val="0"/>
          <w:sz w:val="21"/>
          <w:szCs w:val="21"/>
          <w:shd w:val="clear" w:fill="FFFFFF"/>
        </w:rPr>
      </w:pPr>
      <w:r>
        <w:rPr>
          <w:rFonts w:hint="default" w:ascii="Times New Roman" w:hAnsi="Times New Roman" w:eastAsia="Segoe UI" w:cs="Times New Roman"/>
          <w:b/>
          <w:bCs/>
          <w:i w:val="0"/>
          <w:iCs w:val="0"/>
          <w:caps w:val="0"/>
          <w:spacing w:val="0"/>
          <w:sz w:val="21"/>
          <w:szCs w:val="21"/>
          <w:shd w:val="clear" w:fill="FFFFFF"/>
        </w:rPr>
        <w:t>Secondary</w:t>
      </w:r>
      <w:r>
        <w:rPr>
          <w:rFonts w:hint="default" w:ascii="Times New Roman" w:hAnsi="Times New Roman" w:eastAsia="宋体" w:cs="Times New Roman"/>
          <w:b/>
          <w:bCs/>
          <w:i w:val="0"/>
          <w:iCs w:val="0"/>
          <w:caps w:val="0"/>
          <w:spacing w:val="0"/>
          <w:sz w:val="21"/>
          <w:szCs w:val="21"/>
          <w:shd w:val="clear" w:fill="FFFFFF"/>
          <w:lang w:val="en-US" w:eastAsia="zh-CN"/>
        </w:rPr>
        <w:t xml:space="preserve"> endpoints:</w:t>
      </w:r>
    </w:p>
    <w:p w14:paraId="4708DBE3">
      <w:pPr>
        <w:widowControl w:val="0"/>
        <w:numPr>
          <w:ilvl w:val="0"/>
          <w:numId w:val="0"/>
        </w:numPr>
        <w:jc w:val="both"/>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Segoe UI" w:cs="Times New Roman"/>
          <w:i w:val="0"/>
          <w:iCs w:val="0"/>
          <w:caps w:val="0"/>
          <w:color w:val="222222"/>
          <w:spacing w:val="0"/>
          <w:sz w:val="21"/>
          <w:szCs w:val="21"/>
          <w:shd w:val="clear" w:fill="FFFFFF"/>
        </w:rPr>
        <w:t>To explore</w:t>
      </w:r>
      <w:r>
        <w:rPr>
          <w:rFonts w:hint="default" w:ascii="Times New Roman" w:hAnsi="Times New Roman" w:eastAsia="Segoe UI" w:cs="Times New Roman"/>
          <w:i w:val="0"/>
          <w:iCs w:val="0"/>
          <w:caps w:val="0"/>
          <w:spacing w:val="0"/>
          <w:sz w:val="21"/>
          <w:szCs w:val="21"/>
          <w:shd w:val="clear" w:fill="FFFFFF"/>
        </w:rPr>
        <w:t xml:space="preserve"> efficacy of chimeric antigen receptor gene-modified autologous T cell (CAR-T) injection in patients with advanced solid tumors</w:t>
      </w:r>
      <w:r>
        <w:rPr>
          <w:rFonts w:hint="default" w:ascii="Times New Roman" w:hAnsi="Times New Roman" w:eastAsia="宋体" w:cs="Times New Roman"/>
          <w:i w:val="0"/>
          <w:iCs w:val="0"/>
          <w:caps w:val="0"/>
          <w:spacing w:val="0"/>
          <w:sz w:val="21"/>
          <w:szCs w:val="21"/>
          <w:shd w:val="clear" w:fill="FFFFFF"/>
          <w:lang w:val="en-US" w:eastAsia="zh-CN"/>
        </w:rPr>
        <w:t xml:space="preserve">. Evaluation of CAR-T proliferation and persistence in vivo. </w:t>
      </w:r>
    </w:p>
    <w:p w14:paraId="176D20C8">
      <w:pPr>
        <w:jc w:val="left"/>
        <w:rPr>
          <w:rFonts w:hint="default" w:ascii="Times New Roman" w:hAnsi="Times New Roman" w:eastAsia="宋体" w:cs="Times New Roman"/>
          <w:i w:val="0"/>
          <w:iCs w:val="0"/>
          <w:caps w:val="0"/>
          <w:spacing w:val="0"/>
          <w:sz w:val="21"/>
          <w:szCs w:val="21"/>
          <w:shd w:val="clear" w:fill="FFFFFF"/>
          <w:lang w:val="en-US" w:eastAsia="zh-CN"/>
        </w:rPr>
      </w:pPr>
    </w:p>
    <w:p w14:paraId="12AD71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kern w:val="0"/>
          <w:sz w:val="21"/>
          <w:szCs w:val="21"/>
          <w:lang w:val="en-US" w:eastAsia="zh-CN" w:bidi="ar"/>
        </w:rPr>
      </w:pPr>
      <w:r>
        <w:rPr>
          <w:rFonts w:hint="default" w:ascii="Times New Roman" w:hAnsi="Times New Roman" w:eastAsia="宋体" w:cs="Times New Roman"/>
          <w:b/>
          <w:bCs/>
          <w:kern w:val="0"/>
          <w:sz w:val="21"/>
          <w:szCs w:val="21"/>
          <w:lang w:val="en-US" w:eastAsia="zh-CN" w:bidi="ar"/>
        </w:rPr>
        <w:t>Inclusion criteria</w:t>
      </w:r>
    </w:p>
    <w:p w14:paraId="7F19BF4B">
      <w:pPr>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Segoe UI" w:cs="Times New Roman"/>
          <w:i w:val="0"/>
          <w:iCs w:val="0"/>
          <w:caps w:val="0"/>
          <w:spacing w:val="0"/>
          <w:sz w:val="21"/>
          <w:szCs w:val="21"/>
          <w:shd w:val="clear" w:fill="FFFFFF"/>
        </w:rPr>
        <w:t>(1) Age between 18 and 70 years old, regardless of gender.</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(2) Histological or pathological diagnosis of advanced ovarian cancer</w:t>
      </w:r>
      <w:r>
        <w:rPr>
          <w:rFonts w:hint="default" w:ascii="Times New Roman" w:hAnsi="Times New Roman" w:eastAsia="宋体" w:cs="Times New Roman"/>
          <w:i w:val="0"/>
          <w:iCs w:val="0"/>
          <w:caps w:val="0"/>
          <w:spacing w:val="0"/>
          <w:sz w:val="21"/>
          <w:szCs w:val="21"/>
          <w:shd w:val="clear" w:fill="FFFFFF"/>
          <w:lang w:val="en-US" w:eastAsia="zh-CN"/>
        </w:rPr>
        <w:t xml:space="preserve"> </w:t>
      </w:r>
      <w:r>
        <w:rPr>
          <w:rFonts w:hint="default" w:ascii="Times New Roman" w:hAnsi="Times New Roman" w:eastAsia="Segoe UI" w:cs="Times New Roman"/>
          <w:i w:val="0"/>
          <w:iCs w:val="0"/>
          <w:caps w:val="0"/>
          <w:spacing w:val="0"/>
          <w:sz w:val="21"/>
          <w:szCs w:val="21"/>
          <w:shd w:val="clear" w:fill="FFFFFF"/>
        </w:rPr>
        <w:t>or malignant mesothelioma.</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(3) Recurrence after second-line or above treatment with chemotherapy or targeted drugs.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(4) The immunohistochemical result of tumor tissue is positive for MSLN antigen expression, and the antigen expression rate is ≥15%.</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(5) According to RECIST1.1 standard, the patient has at least one evaluable tumor lesion and can be accurately measured at baseline.</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(6) ECOG score is 0-1, and the expected survival period is more than 12 weeks.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(7) Laboratory test results should at least meet the following specified indicators</w:t>
      </w:r>
      <w:r>
        <w:rPr>
          <w:rFonts w:hint="default" w:ascii="Times New Roman" w:hAnsi="Times New Roman" w:eastAsia="宋体" w:cs="Times New Roman"/>
          <w:i w:val="0"/>
          <w:iCs w:val="0"/>
          <w:caps w:val="0"/>
          <w:spacing w:val="0"/>
          <w:sz w:val="21"/>
          <w:szCs w:val="21"/>
          <w:shd w:val="clear" w:fill="FFFFFF"/>
          <w:lang w:val="en-US" w:eastAsia="zh-CN"/>
        </w:rPr>
        <w:t>:</w:t>
      </w:r>
    </w:p>
    <w:p w14:paraId="322ECECA">
      <w:pPr>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宋体" w:cs="Times New Roman"/>
          <w:i w:val="0"/>
          <w:iCs w:val="0"/>
          <w:caps w:val="0"/>
          <w:spacing w:val="0"/>
          <w:sz w:val="21"/>
          <w:szCs w:val="21"/>
          <w:shd w:val="clear" w:fill="FFFFFF"/>
          <w:lang w:val="en-US" w:eastAsia="zh-CN"/>
        </w:rPr>
        <w:t xml:space="preserve">* </w:t>
      </w:r>
      <w:r>
        <w:rPr>
          <w:rFonts w:hint="default" w:ascii="Times New Roman" w:hAnsi="Times New Roman" w:eastAsia="Segoe UI" w:cs="Times New Roman"/>
          <w:i w:val="0"/>
          <w:iCs w:val="0"/>
          <w:caps w:val="0"/>
          <w:spacing w:val="0"/>
          <w:sz w:val="21"/>
          <w:szCs w:val="21"/>
          <w:shd w:val="clear" w:fill="FFFFFF"/>
        </w:rPr>
        <w:t>Left ventricular ejection fraction ≥ 40%;</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Creatinine ≤ 200 μmol/L;</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Absolute neutrophil count (ANC) ≥ 1.5×10</w:t>
      </w:r>
      <w:r>
        <w:rPr>
          <w:rFonts w:hint="default" w:ascii="Times New Roman" w:hAnsi="Times New Roman" w:eastAsia="Segoe UI" w:cs="Times New Roman"/>
          <w:i w:val="0"/>
          <w:iCs w:val="0"/>
          <w:caps w:val="0"/>
          <w:spacing w:val="0"/>
          <w:sz w:val="21"/>
          <w:szCs w:val="21"/>
          <w:shd w:val="clear" w:fill="FFFFFF"/>
          <w:vertAlign w:val="superscript"/>
        </w:rPr>
        <w:t>9</w:t>
      </w:r>
      <w:r>
        <w:rPr>
          <w:rFonts w:hint="default" w:ascii="Times New Roman" w:hAnsi="Times New Roman" w:eastAsia="Segoe UI" w:cs="Times New Roman"/>
          <w:i w:val="0"/>
          <w:iCs w:val="0"/>
          <w:caps w:val="0"/>
          <w:spacing w:val="0"/>
          <w:sz w:val="21"/>
          <w:szCs w:val="21"/>
          <w:shd w:val="clear" w:fill="FFFFFF"/>
        </w:rPr>
        <w:t>/L;</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Platelet (PLT) ≥ 80×10</w:t>
      </w:r>
      <w:r>
        <w:rPr>
          <w:rFonts w:hint="default" w:ascii="Times New Roman" w:hAnsi="Times New Roman" w:eastAsia="Segoe UI" w:cs="Times New Roman"/>
          <w:i w:val="0"/>
          <w:iCs w:val="0"/>
          <w:caps w:val="0"/>
          <w:spacing w:val="0"/>
          <w:sz w:val="21"/>
          <w:szCs w:val="21"/>
          <w:shd w:val="clear" w:fill="FFFFFF"/>
          <w:vertAlign w:val="superscript"/>
        </w:rPr>
        <w:t>9</w:t>
      </w:r>
      <w:r>
        <w:rPr>
          <w:rFonts w:hint="default" w:ascii="Times New Roman" w:hAnsi="Times New Roman" w:eastAsia="Segoe UI" w:cs="Times New Roman"/>
          <w:i w:val="0"/>
          <w:iCs w:val="0"/>
          <w:caps w:val="0"/>
          <w:spacing w:val="0"/>
          <w:sz w:val="21"/>
          <w:szCs w:val="21"/>
          <w:shd w:val="clear" w:fill="FFFFFF"/>
        </w:rPr>
        <w:t>/L;</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Hemoglobin ≥ 80 g/L;</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Oxygen saturation &gt; 91%;</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宋体" w:cs="Times New Roman"/>
          <w:i w:val="0"/>
          <w:iCs w:val="0"/>
          <w:caps w:val="0"/>
          <w:spacing w:val="0"/>
          <w:sz w:val="21"/>
          <w:szCs w:val="21"/>
          <w:shd w:val="clear" w:fill="FFFFFF"/>
          <w:lang w:val="en-US" w:eastAsia="zh-CN"/>
        </w:rPr>
        <w:t>*</w:t>
      </w:r>
      <w:r>
        <w:rPr>
          <w:rFonts w:hint="default" w:ascii="Times New Roman" w:hAnsi="Times New Roman" w:eastAsia="Segoe UI" w:cs="Times New Roman"/>
          <w:i w:val="0"/>
          <w:iCs w:val="0"/>
          <w:caps w:val="0"/>
          <w:spacing w:val="0"/>
          <w:sz w:val="21"/>
          <w:szCs w:val="21"/>
          <w:shd w:val="clear" w:fill="FFFFFF"/>
        </w:rPr>
        <w:t>Total bilirubin ≤ 2×ULN; ALT and AST ≤ 2.5×ULN. For ALT and AST abnormalities judged by investigators to be caused by diseases (such as liver metastasis or bile duct obstruction) or Gilbert syndrome, the index can be relaxed to ≤ 5×ULN.</w:t>
      </w:r>
    </w:p>
    <w:p w14:paraId="5B140BAF">
      <w:pPr>
        <w:numPr>
          <w:ilvl w:val="0"/>
          <w:numId w:val="1"/>
        </w:numPr>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i w:val="0"/>
          <w:iCs w:val="0"/>
          <w:caps w:val="0"/>
          <w:spacing w:val="0"/>
          <w:sz w:val="21"/>
          <w:szCs w:val="21"/>
          <w:shd w:val="clear" w:fill="FFFFFF"/>
        </w:rPr>
        <w:t>Have venous access for venous blood collection or apheresis.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(9) The patient voluntarily participates and signs an informed consent form in writing.</w:t>
      </w:r>
    </w:p>
    <w:p w14:paraId="6B9CEBED">
      <w:pPr>
        <w:widowControl w:val="0"/>
        <w:numPr>
          <w:numId w:val="0"/>
        </w:numPr>
        <w:jc w:val="both"/>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b/>
          <w:bCs/>
          <w:i w:val="0"/>
          <w:iCs w:val="0"/>
          <w:caps w:val="0"/>
          <w:spacing w:val="0"/>
          <w:sz w:val="21"/>
          <w:szCs w:val="21"/>
          <w:shd w:val="clear" w:fill="FFFFFF"/>
        </w:rPr>
        <w:t>Exclusion criteria</w:t>
      </w:r>
    </w:p>
    <w:p w14:paraId="774F51C1">
      <w:pPr>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i w:val="0"/>
          <w:iCs w:val="0"/>
          <w:caps w:val="0"/>
          <w:spacing w:val="0"/>
          <w:sz w:val="21"/>
          <w:szCs w:val="21"/>
          <w:shd w:val="clear" w:fill="FFFFFF"/>
        </w:rPr>
        <w:t>(1) Pregnant or lactating women.</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(2) Those who have received chemotherapy or radiotherapy within 3 days before blood collection.</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(3) Those who have used systemic steroid drugs within 5 days before blood collection (except for those who are currently using inhaled steroids or have recently used them).</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(4) Those who have used drugs that stimulate the production of hematopoietic cells in the bone marrow within 5 days before blood collection.</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(5) Those who have used any gene or cell therapy products.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(6) Those with a history of epilepsy or other central nervous system diseases.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(7) Subjects with active hepatitis B or hepatitis C virus, defined as: subjects with positive hepatitis B surface antigen (HBsAg) or hepatitis B core antibody (HBcAb) and peripheral blood HBV DNA titer higher than the detection limit; those with positive hepatitis C virus (HCV) antibody and positive peripheral blood HCV RNA; those infected with human immunodeficiency virus (HIV) or syphilis.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(8) Those who have had other tumors in the past 5 years.</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(9) Patients with severe pleural effusion or ascites.</w:t>
      </w:r>
    </w:p>
    <w:p w14:paraId="427BD12B">
      <w:pPr>
        <w:widowControl w:val="0"/>
        <w:numPr>
          <w:numId w:val="0"/>
        </w:numPr>
        <w:jc w:val="both"/>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i w:val="0"/>
          <w:iCs w:val="0"/>
          <w:caps w:val="0"/>
          <w:spacing w:val="0"/>
          <w:sz w:val="21"/>
          <w:szCs w:val="21"/>
          <w:shd w:val="clear" w:fill="FFFFFF"/>
        </w:rPr>
        <w:t>(10) Presence of active or uncontrolled infection requiring systemic treatment within 14 days before enrollment.</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(11) Having received other anti-tumor treatments (except preconditioning chemotherapy) within two weeks before the start of the study.</w:t>
      </w:r>
      <w:r>
        <w:rPr>
          <w:rFonts w:hint="default" w:ascii="Times New Roman" w:hAnsi="Times New Roman" w:eastAsia="Segoe UI" w:cs="Times New Roman"/>
          <w:i w:val="0"/>
          <w:iCs w:val="0"/>
          <w:caps w:val="0"/>
          <w:spacing w:val="0"/>
          <w:sz w:val="21"/>
          <w:szCs w:val="21"/>
          <w:shd w:val="clear" w:fill="FFFFFF"/>
        </w:rPr>
        <w:br w:type="textWrapping"/>
      </w:r>
      <w:r>
        <w:rPr>
          <w:rFonts w:hint="default" w:ascii="Times New Roman" w:hAnsi="Times New Roman" w:eastAsia="Segoe UI" w:cs="Times New Roman"/>
          <w:i w:val="0"/>
          <w:iCs w:val="0"/>
          <w:caps w:val="0"/>
          <w:spacing w:val="0"/>
          <w:sz w:val="21"/>
          <w:szCs w:val="21"/>
          <w:shd w:val="clear" w:fill="FFFFFF"/>
        </w:rPr>
        <w:t>(12) The investigator assesses that the patient cannot or is unwilling to comply with the requirements of the study protocol.</w:t>
      </w:r>
    </w:p>
    <w:p w14:paraId="3B049F87">
      <w:pPr>
        <w:widowControl w:val="0"/>
        <w:numPr>
          <w:numId w:val="0"/>
        </w:numPr>
        <w:jc w:val="both"/>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b/>
          <w:bCs/>
          <w:i w:val="0"/>
          <w:iCs w:val="0"/>
          <w:caps w:val="0"/>
          <w:spacing w:val="0"/>
          <w:sz w:val="21"/>
          <w:szCs w:val="21"/>
          <w:shd w:val="clear" w:fill="FFFFFF"/>
        </w:rPr>
        <w:t xml:space="preserve">Lymphocyte </w:t>
      </w:r>
      <w:r>
        <w:rPr>
          <w:rFonts w:hint="default" w:ascii="Times New Roman" w:hAnsi="Times New Roman" w:eastAsia="宋体" w:cs="Times New Roman"/>
          <w:b/>
          <w:bCs/>
          <w:i w:val="0"/>
          <w:iCs w:val="0"/>
          <w:caps w:val="0"/>
          <w:spacing w:val="0"/>
          <w:sz w:val="21"/>
          <w:szCs w:val="21"/>
          <w:shd w:val="clear" w:fill="FFFFFF"/>
          <w:lang w:val="en-US" w:eastAsia="zh-CN"/>
        </w:rPr>
        <w:t>depletion</w:t>
      </w:r>
      <w:r>
        <w:rPr>
          <w:rFonts w:hint="default" w:ascii="Times New Roman" w:hAnsi="Times New Roman" w:eastAsia="Segoe UI" w:cs="Times New Roman"/>
          <w:b/>
          <w:bCs/>
          <w:i w:val="0"/>
          <w:iCs w:val="0"/>
          <w:caps w:val="0"/>
          <w:spacing w:val="0"/>
          <w:sz w:val="21"/>
          <w:szCs w:val="21"/>
          <w:shd w:val="clear" w:fill="FFFFFF"/>
        </w:rPr>
        <w:t xml:space="preserve"> pretreatment chemotherapy regimen</w:t>
      </w:r>
    </w:p>
    <w:p w14:paraId="7DE7857C">
      <w:pPr>
        <w:widowControl w:val="0"/>
        <w:numPr>
          <w:numId w:val="0"/>
        </w:numPr>
        <w:jc w:val="both"/>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i w:val="0"/>
          <w:iCs w:val="0"/>
          <w:caps w:val="0"/>
          <w:spacing w:val="0"/>
          <w:sz w:val="21"/>
          <w:szCs w:val="21"/>
          <w:shd w:val="clear" w:fill="FFFFFF"/>
        </w:rPr>
        <w:t>Before CAR-T cell infusion, preconditioning chemotherapy drugs are used first to promote stable expansion of CAR-T cells. Recommended preconditioning regimen: fludarabine combined with cyclophosphamide (fludarabine 75-100mg/m</w:t>
      </w:r>
      <w:r>
        <w:rPr>
          <w:rFonts w:hint="default" w:ascii="Times New Roman" w:hAnsi="Times New Roman" w:eastAsia="Segoe UI" w:cs="Times New Roman"/>
          <w:i w:val="0"/>
          <w:iCs w:val="0"/>
          <w:caps w:val="0"/>
          <w:spacing w:val="0"/>
          <w:sz w:val="21"/>
          <w:szCs w:val="21"/>
          <w:shd w:val="clear" w:fill="FFFFFF"/>
          <w:vertAlign w:val="superscript"/>
        </w:rPr>
        <w:t>2</w:t>
      </w:r>
      <w:r>
        <w:rPr>
          <w:rFonts w:hint="default" w:ascii="Times New Roman" w:hAnsi="Times New Roman" w:eastAsia="Segoe UI" w:cs="Times New Roman"/>
          <w:i w:val="0"/>
          <w:iCs w:val="0"/>
          <w:caps w:val="0"/>
          <w:spacing w:val="0"/>
          <w:sz w:val="21"/>
          <w:szCs w:val="21"/>
          <w:shd w:val="clear" w:fill="FFFFFF"/>
        </w:rPr>
        <w:t>/day × 1 day, cyclophosphamide 750mg/m</w:t>
      </w:r>
      <w:r>
        <w:rPr>
          <w:rFonts w:hint="default" w:ascii="Times New Roman" w:hAnsi="Times New Roman" w:eastAsia="Segoe UI" w:cs="Times New Roman"/>
          <w:i w:val="0"/>
          <w:iCs w:val="0"/>
          <w:caps w:val="0"/>
          <w:spacing w:val="0"/>
          <w:sz w:val="21"/>
          <w:szCs w:val="21"/>
          <w:shd w:val="clear" w:fill="FFFFFF"/>
          <w:vertAlign w:val="superscript"/>
        </w:rPr>
        <w:t>2</w:t>
      </w:r>
      <w:r>
        <w:rPr>
          <w:rFonts w:hint="default" w:ascii="Times New Roman" w:hAnsi="Times New Roman" w:eastAsia="Segoe UI" w:cs="Times New Roman"/>
          <w:i w:val="0"/>
          <w:iCs w:val="0"/>
          <w:caps w:val="0"/>
          <w:spacing w:val="0"/>
          <w:sz w:val="21"/>
          <w:szCs w:val="21"/>
          <w:shd w:val="clear" w:fill="FFFFFF"/>
        </w:rPr>
        <w:t>/day × 1 day).</w:t>
      </w:r>
    </w:p>
    <w:p w14:paraId="67D9EC3B">
      <w:pPr>
        <w:widowControl w:val="0"/>
        <w:numPr>
          <w:numId w:val="0"/>
        </w:numPr>
        <w:jc w:val="both"/>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CAR-T cells infusion</w:t>
      </w:r>
    </w:p>
    <w:p w14:paraId="777A12C8">
      <w:pPr>
        <w:widowControl w:val="0"/>
        <w:numPr>
          <w:numId w:val="0"/>
        </w:numPr>
        <w:jc w:val="both"/>
        <w:rPr>
          <w:rFonts w:hint="default" w:ascii="Times New Roman" w:hAnsi="Times New Roman" w:eastAsia="Segoe UI" w:cs="Times New Roman"/>
          <w:i w:val="0"/>
          <w:iCs w:val="0"/>
          <w:caps w:val="0"/>
          <w:spacing w:val="0"/>
          <w:sz w:val="21"/>
          <w:szCs w:val="21"/>
          <w:shd w:val="clear" w:fill="FFFFFF"/>
        </w:rPr>
      </w:pPr>
      <w:r>
        <w:rPr>
          <w:rFonts w:hint="default" w:ascii="Times New Roman" w:hAnsi="Times New Roman" w:eastAsia="Segoe UI" w:cs="Times New Roman"/>
          <w:i w:val="0"/>
          <w:iCs w:val="0"/>
          <w:caps w:val="0"/>
          <w:spacing w:val="0"/>
          <w:sz w:val="21"/>
          <w:szCs w:val="21"/>
          <w:shd w:val="clear" w:fill="FFFFFF"/>
        </w:rPr>
        <w:t>CAR-T cell</w:t>
      </w:r>
      <w:r>
        <w:rPr>
          <w:rFonts w:hint="default" w:ascii="Times New Roman" w:hAnsi="Times New Roman" w:eastAsia="宋体" w:cs="Times New Roman"/>
          <w:i w:val="0"/>
          <w:iCs w:val="0"/>
          <w:caps w:val="0"/>
          <w:spacing w:val="0"/>
          <w:sz w:val="21"/>
          <w:szCs w:val="21"/>
          <w:shd w:val="clear" w:fill="FFFFFF"/>
          <w:lang w:val="en-US" w:eastAsia="zh-CN"/>
        </w:rPr>
        <w:t>s</w:t>
      </w:r>
      <w:r>
        <w:rPr>
          <w:rFonts w:hint="default" w:ascii="Times New Roman" w:hAnsi="Times New Roman" w:eastAsia="Segoe UI" w:cs="Times New Roman"/>
          <w:i w:val="0"/>
          <w:iCs w:val="0"/>
          <w:caps w:val="0"/>
          <w:spacing w:val="0"/>
          <w:sz w:val="21"/>
          <w:szCs w:val="21"/>
          <w:shd w:val="clear" w:fill="FFFFFF"/>
        </w:rPr>
        <w:t xml:space="preserve"> </w:t>
      </w:r>
      <w:r>
        <w:rPr>
          <w:rFonts w:hint="default" w:ascii="Times New Roman" w:hAnsi="Times New Roman" w:eastAsia="宋体" w:cs="Times New Roman"/>
          <w:i w:val="0"/>
          <w:iCs w:val="0"/>
          <w:caps w:val="0"/>
          <w:spacing w:val="0"/>
          <w:sz w:val="21"/>
          <w:szCs w:val="21"/>
          <w:shd w:val="clear" w:fill="FFFFFF"/>
          <w:lang w:val="en-US" w:eastAsia="zh-CN"/>
        </w:rPr>
        <w:t>are</w:t>
      </w:r>
      <w:r>
        <w:rPr>
          <w:rFonts w:hint="default" w:ascii="Times New Roman" w:hAnsi="Times New Roman" w:eastAsia="Segoe UI" w:cs="Times New Roman"/>
          <w:i w:val="0"/>
          <w:iCs w:val="0"/>
          <w:caps w:val="0"/>
          <w:spacing w:val="0"/>
          <w:sz w:val="21"/>
          <w:szCs w:val="21"/>
          <w:shd w:val="clear" w:fill="FFFFFF"/>
        </w:rPr>
        <w:t xml:space="preserve"> administered intravenously as a single dose. The treatment dose range of the study drug is 0.5</w:t>
      </w:r>
      <w:r>
        <w:rPr>
          <w:rFonts w:hint="default" w:ascii="Times New Roman" w:hAnsi="Times New Roman" w:eastAsia="宋体" w:cs="Times New Roman"/>
          <w:i w:val="0"/>
          <w:iCs w:val="0"/>
          <w:caps w:val="0"/>
          <w:spacing w:val="0"/>
          <w:sz w:val="21"/>
          <w:szCs w:val="21"/>
          <w:shd w:val="clear" w:fill="FFFFFF"/>
          <w:lang w:val="en-US" w:eastAsia="zh-CN"/>
        </w:rPr>
        <w:t>*</w:t>
      </w:r>
      <w:r>
        <w:rPr>
          <w:rStyle w:val="7"/>
          <w:rFonts w:hint="default" w:ascii="Times New Roman" w:hAnsi="Times New Roman" w:eastAsia="Segoe UI" w:cs="Times New Roman"/>
          <w:caps w:val="0"/>
          <w:spacing w:val="0"/>
          <w:sz w:val="21"/>
          <w:szCs w:val="21"/>
          <w:shd w:val="clear" w:fill="FFFFFF"/>
        </w:rPr>
        <w:t>10</w:t>
      </w:r>
      <w:r>
        <w:rPr>
          <w:rStyle w:val="7"/>
          <w:rFonts w:hint="default" w:ascii="Times New Roman" w:hAnsi="Times New Roman" w:eastAsia="Segoe UI" w:cs="Times New Roman"/>
          <w:caps w:val="0"/>
          <w:spacing w:val="0"/>
          <w:sz w:val="21"/>
          <w:szCs w:val="21"/>
          <w:shd w:val="clear" w:fill="FFFFFF"/>
          <w:vertAlign w:val="superscript"/>
        </w:rPr>
        <w:t>6</w:t>
      </w:r>
      <w:r>
        <w:rPr>
          <w:rStyle w:val="7"/>
          <w:rFonts w:hint="default" w:ascii="Times New Roman" w:hAnsi="Times New Roman" w:eastAsia="Segoe UI" w:cs="Times New Roman"/>
          <w:caps w:val="0"/>
          <w:spacing w:val="0"/>
          <w:sz w:val="21"/>
          <w:szCs w:val="21"/>
          <w:shd w:val="clear" w:fill="FFFFFF"/>
        </w:rPr>
        <w:t xml:space="preserve">/kg - </w:t>
      </w:r>
      <w:r>
        <w:rPr>
          <w:rStyle w:val="7"/>
          <w:rFonts w:hint="default" w:ascii="Times New Roman" w:hAnsi="Times New Roman" w:eastAsia="宋体" w:cs="Times New Roman"/>
          <w:caps w:val="0"/>
          <w:spacing w:val="0"/>
          <w:sz w:val="21"/>
          <w:szCs w:val="21"/>
          <w:shd w:val="clear" w:fill="FFFFFF"/>
          <w:lang w:val="en-US" w:eastAsia="zh-CN"/>
        </w:rPr>
        <w:t>1.5*</w:t>
      </w:r>
      <w:r>
        <w:rPr>
          <w:rFonts w:hint="default" w:ascii="Times New Roman" w:hAnsi="Times New Roman" w:eastAsia="Segoe UI" w:cs="Times New Roman"/>
          <w:i w:val="0"/>
          <w:iCs w:val="0"/>
          <w:caps w:val="0"/>
          <w:spacing w:val="0"/>
          <w:sz w:val="21"/>
          <w:szCs w:val="21"/>
          <w:shd w:val="clear" w:fill="FFFFFF"/>
        </w:rPr>
        <w:t>10</w:t>
      </w:r>
      <w:r>
        <w:rPr>
          <w:rFonts w:hint="default" w:ascii="Times New Roman" w:hAnsi="Times New Roman" w:eastAsia="宋体" w:cs="Times New Roman"/>
          <w:i w:val="0"/>
          <w:iCs w:val="0"/>
          <w:caps w:val="0"/>
          <w:spacing w:val="0"/>
          <w:sz w:val="21"/>
          <w:szCs w:val="21"/>
          <w:shd w:val="clear" w:fill="FFFFFF"/>
          <w:vertAlign w:val="superscript"/>
          <w:lang w:val="en-US" w:eastAsia="zh-CN"/>
        </w:rPr>
        <w:t>6</w:t>
      </w:r>
      <w:r>
        <w:rPr>
          <w:rFonts w:hint="default" w:ascii="Times New Roman" w:hAnsi="Times New Roman" w:eastAsia="Segoe UI" w:cs="Times New Roman"/>
          <w:i w:val="0"/>
          <w:iCs w:val="0"/>
          <w:caps w:val="0"/>
          <w:spacing w:val="0"/>
          <w:sz w:val="21"/>
          <w:szCs w:val="21"/>
          <w:shd w:val="clear" w:fill="FFFFFF"/>
        </w:rPr>
        <w:t>/kg.</w:t>
      </w:r>
    </w:p>
    <w:p w14:paraId="5148C55C">
      <w:pPr>
        <w:widowControl w:val="0"/>
        <w:numPr>
          <w:numId w:val="0"/>
        </w:numPr>
        <w:jc w:val="both"/>
        <w:rPr>
          <w:rFonts w:hint="default" w:ascii="Times New Roman" w:hAnsi="Times New Roman" w:eastAsia="宋体" w:cs="Times New Roman"/>
          <w:i w:val="0"/>
          <w:iCs w:val="0"/>
          <w:caps w:val="0"/>
          <w:spacing w:val="0"/>
          <w:sz w:val="21"/>
          <w:szCs w:val="21"/>
          <w:shd w:val="clear" w:fill="FFFFFF"/>
          <w:lang w:val="en-US" w:eastAsia="zh-CN"/>
        </w:rPr>
      </w:pPr>
    </w:p>
    <w:p w14:paraId="0DB3D4DA">
      <w:pPr>
        <w:widowControl w:val="0"/>
        <w:numPr>
          <w:numId w:val="0"/>
        </w:numPr>
        <w:jc w:val="both"/>
        <w:rPr>
          <w:rFonts w:hint="default" w:ascii="Times New Roman" w:hAnsi="Times New Roman" w:eastAsia="宋体" w:cs="Times New Roman"/>
          <w:b/>
          <w:bCs/>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Dose-limited toxicity and maximum tolerated dose</w:t>
      </w:r>
    </w:p>
    <w:p w14:paraId="2A7CABDF">
      <w:pPr>
        <w:keepNext w:val="0"/>
        <w:keepLines w:val="0"/>
        <w:widowControl/>
        <w:suppressLineNumbers w:val="0"/>
        <w:shd w:val="clear" w:fill="FFFFFF"/>
        <w:spacing w:before="0" w:beforeAutospacing="0"/>
        <w:ind w:left="0" w:firstLine="0"/>
        <w:jc w:val="left"/>
        <w:rPr>
          <w:rFonts w:hint="default" w:ascii="Times New Roman" w:hAnsi="Times New Roman" w:cs="Times New Roman"/>
          <w:sz w:val="21"/>
          <w:szCs w:val="21"/>
        </w:rPr>
      </w:pPr>
      <w:r>
        <w:rPr>
          <w:rFonts w:hint="default" w:ascii="Times New Roman" w:hAnsi="Times New Roman" w:eastAsia="Segoe UI" w:cs="Times New Roman"/>
          <w:i w:val="0"/>
          <w:iCs w:val="0"/>
          <w:caps w:val="0"/>
          <w:spacing w:val="0"/>
          <w:kern w:val="0"/>
          <w:sz w:val="21"/>
          <w:szCs w:val="21"/>
          <w:shd w:val="clear" w:fill="FFFFFF"/>
          <w:lang w:val="en-US" w:eastAsia="zh-CN" w:bidi="ar"/>
        </w:rPr>
        <w:t xml:space="preserve">The severity of adverse events is </w:t>
      </w:r>
      <w:r>
        <w:rPr>
          <w:rFonts w:hint="default" w:ascii="Times New Roman" w:hAnsi="Times New Roman" w:eastAsia="Segoe UI" w:cs="Times New Roman"/>
          <w:i w:val="0"/>
          <w:iCs w:val="0"/>
          <w:caps w:val="0"/>
          <w:spacing w:val="0"/>
          <w:kern w:val="0"/>
          <w:sz w:val="21"/>
          <w:szCs w:val="21"/>
          <w:shd w:val="clear" w:fill="FFFFFF"/>
          <w:lang w:val="en-US" w:eastAsia="zh-CN" w:bidi="ar"/>
        </w:rPr>
        <w:t>assessed</w:t>
      </w:r>
      <w:r>
        <w:rPr>
          <w:rFonts w:hint="default" w:ascii="Times New Roman" w:hAnsi="Times New Roman" w:eastAsia="Segoe UI" w:cs="Times New Roman"/>
          <w:i w:val="0"/>
          <w:iCs w:val="0"/>
          <w:caps w:val="0"/>
          <w:spacing w:val="0"/>
          <w:kern w:val="0"/>
          <w:sz w:val="21"/>
          <w:szCs w:val="21"/>
          <w:shd w:val="clear" w:fill="FFFFFF"/>
          <w:lang w:val="en-US" w:eastAsia="zh-CN" w:bidi="ar"/>
        </w:rPr>
        <w:t xml:space="preserve"> according to NCI-CTCAE version 5.0. The investigator determines whether the subject has dose-limit</w:t>
      </w:r>
      <w:r>
        <w:rPr>
          <w:rFonts w:hint="default" w:ascii="Times New Roman" w:hAnsi="Times New Roman" w:eastAsia="Segoe UI" w:cs="Times New Roman"/>
          <w:i w:val="0"/>
          <w:iCs w:val="0"/>
          <w:caps w:val="0"/>
          <w:spacing w:val="0"/>
          <w:kern w:val="0"/>
          <w:sz w:val="21"/>
          <w:szCs w:val="21"/>
          <w:shd w:val="clear" w:fill="FFFFFF"/>
          <w:lang w:val="en-US" w:eastAsia="zh-CN" w:bidi="ar"/>
        </w:rPr>
        <w:t>ed</w:t>
      </w:r>
      <w:r>
        <w:rPr>
          <w:rFonts w:hint="default" w:ascii="Times New Roman" w:hAnsi="Times New Roman" w:eastAsia="Segoe UI" w:cs="Times New Roman"/>
          <w:i w:val="0"/>
          <w:iCs w:val="0"/>
          <w:caps w:val="0"/>
          <w:spacing w:val="0"/>
          <w:kern w:val="0"/>
          <w:sz w:val="21"/>
          <w:szCs w:val="21"/>
          <w:shd w:val="clear" w:fill="FFFFFF"/>
          <w:lang w:val="en-US" w:eastAsia="zh-CN" w:bidi="ar"/>
        </w:rPr>
        <w:t xml:space="preserve"> toxicity (DLT). DLT is defined as any of the following conditions that may be related/likely related/definitely related to cell infusion despite treatment measures:</w:t>
      </w:r>
    </w:p>
    <w:p w14:paraId="157E8E1E">
      <w:pPr>
        <w:keepNext w:val="0"/>
        <w:keepLines w:val="0"/>
        <w:widowControl/>
        <w:numPr>
          <w:ilvl w:val="0"/>
          <w:numId w:val="2"/>
        </w:numPr>
        <w:suppressLineNumbers w:val="0"/>
        <w:pBdr>
          <w:left w:val="none" w:color="auto" w:sz="0" w:space="0"/>
        </w:pBdr>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4 or 5 cytokine release syndrome caused by CAR-T injection treatment.</w:t>
      </w:r>
    </w:p>
    <w:p w14:paraId="1B4C18B4">
      <w:pPr>
        <w:keepNext w:val="0"/>
        <w:keepLines w:val="0"/>
        <w:widowControl/>
        <w:numPr>
          <w:ilvl w:val="0"/>
          <w:numId w:val="2"/>
        </w:numPr>
        <w:suppressLineNumbers w:val="0"/>
        <w:pBdr>
          <w:left w:val="none" w:color="auto" w:sz="0" w:space="0"/>
        </w:pBdr>
        <w:spacing w:before="120" w:beforeAutospacing="0"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3 cytokine release syndrome caused by CAR-T injection treatment and not relieved to grade 2 or below within 7 days.</w:t>
      </w:r>
    </w:p>
    <w:p w14:paraId="1A01CC6D">
      <w:pPr>
        <w:keepNext w:val="0"/>
        <w:keepLines w:val="0"/>
        <w:widowControl/>
        <w:numPr>
          <w:ilvl w:val="0"/>
          <w:numId w:val="2"/>
        </w:numPr>
        <w:suppressLineNumbers w:val="0"/>
        <w:pBdr>
          <w:left w:val="none" w:color="auto" w:sz="0" w:space="0"/>
        </w:pBdr>
        <w:spacing w:before="0" w:beforeAutospacing="1" w:after="0" w:afterAutospacing="1"/>
        <w:ind w:left="720" w:leftChars="0" w:hanging="360" w:firstLineChars="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3-5 allergic reaction related to CAR-T injection treatment.</w:t>
      </w:r>
    </w:p>
    <w:p w14:paraId="4D15EA59">
      <w:pPr>
        <w:keepNext w:val="0"/>
        <w:keepLines w:val="0"/>
        <w:widowControl/>
        <w:numPr>
          <w:ilvl w:val="0"/>
          <w:numId w:val="2"/>
        </w:numPr>
        <w:suppressLineNumbers w:val="0"/>
        <w:pBdr>
          <w:left w:val="none" w:color="auto" w:sz="0" w:space="0"/>
        </w:pBdr>
        <w:spacing w:before="120" w:beforeAutospacing="0" w:after="0" w:afterAutospacing="1"/>
        <w:ind w:left="720" w:leftChars="0" w:hanging="360" w:firstLineChars="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3 and above organ toxicity reaction related to CAR-T injection treatment.</w:t>
      </w:r>
    </w:p>
    <w:p w14:paraId="3AADC965">
      <w:pPr>
        <w:keepNext w:val="0"/>
        <w:keepLines w:val="0"/>
        <w:widowControl/>
        <w:numPr>
          <w:ilvl w:val="0"/>
          <w:numId w:val="2"/>
        </w:numPr>
        <w:suppressLineNumbers w:val="0"/>
        <w:pBdr>
          <w:left w:val="none" w:color="auto" w:sz="0" w:space="0"/>
        </w:pBdr>
        <w:spacing w:before="120" w:beforeAutospacing="0" w:after="0" w:afterAutospacing="1"/>
        <w:ind w:left="720" w:leftChars="0" w:hanging="360" w:firstLineChars="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3 neurotoxicity caused by CAR-T injection treatment and not relieved to grade 2 or below within 3 days or grade 4 neurotoxicity.</w:t>
      </w:r>
    </w:p>
    <w:p w14:paraId="7CA9802D">
      <w:pPr>
        <w:keepNext w:val="0"/>
        <w:keepLines w:val="0"/>
        <w:widowControl/>
        <w:numPr>
          <w:ilvl w:val="0"/>
          <w:numId w:val="2"/>
        </w:numPr>
        <w:suppressLineNumbers w:val="0"/>
        <w:pBdr>
          <w:left w:val="none" w:color="auto" w:sz="0" w:space="0"/>
        </w:pBdr>
        <w:spacing w:before="120" w:beforeAutospacing="0" w:after="0" w:afterAutospacing="1"/>
        <w:ind w:left="720" w:leftChars="0" w:hanging="360" w:firstLineChars="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Any unexpected toxicity that requires termination of the study according to the judgment of the investigator or collaborating unit.</w:t>
      </w:r>
    </w:p>
    <w:p w14:paraId="37A859EA">
      <w:pPr>
        <w:keepNext w:val="0"/>
        <w:keepLines w:val="0"/>
        <w:widowControl/>
        <w:suppressLineNumbers w:val="0"/>
        <w:shd w:val="clear" w:fill="FFFFFF"/>
        <w:spacing w:before="0" w:beforeAutospacing="0"/>
        <w:ind w:left="0" w:firstLine="0"/>
        <w:jc w:val="left"/>
        <w:rPr>
          <w:rFonts w:hint="default" w:ascii="Times New Roman" w:hAnsi="Times New Roman" w:cs="Times New Roman"/>
          <w:sz w:val="21"/>
          <w:szCs w:val="21"/>
        </w:rPr>
      </w:pPr>
      <w:r>
        <w:rPr>
          <w:rFonts w:hint="default" w:ascii="Times New Roman" w:hAnsi="Times New Roman" w:eastAsia="Segoe UI" w:cs="Times New Roman"/>
          <w:i w:val="0"/>
          <w:iCs w:val="0"/>
          <w:caps w:val="0"/>
          <w:spacing w:val="0"/>
          <w:kern w:val="0"/>
          <w:sz w:val="21"/>
          <w:szCs w:val="21"/>
          <w:shd w:val="clear" w:fill="FFFFFF"/>
          <w:lang w:val="en-US" w:eastAsia="zh-CN" w:bidi="ar"/>
        </w:rPr>
        <w:t>The following situations are excluded:</w:t>
      </w:r>
    </w:p>
    <w:p w14:paraId="4EC91B22">
      <w:pPr>
        <w:keepNext w:val="0"/>
        <w:keepLines w:val="0"/>
        <w:widowControl/>
        <w:numPr>
          <w:ilvl w:val="0"/>
          <w:numId w:val="3"/>
        </w:numPr>
        <w:suppressLineNumbers w:val="0"/>
        <w:pBdr>
          <w:left w:val="none" w:color="auto" w:sz="0" w:space="0"/>
        </w:pBdr>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Grade 3 to 4 tumor lysis syndrome lasting &lt;7 days.</w:t>
      </w:r>
    </w:p>
    <w:p w14:paraId="2F4CDF7B">
      <w:pPr>
        <w:keepNext w:val="0"/>
        <w:keepLines w:val="0"/>
        <w:widowControl/>
        <w:numPr>
          <w:ilvl w:val="0"/>
          <w:numId w:val="3"/>
        </w:numPr>
        <w:suppressLineNumbers w:val="0"/>
        <w:pBdr>
          <w:left w:val="none" w:color="auto" w:sz="0" w:space="0"/>
        </w:pBdr>
        <w:spacing w:before="120" w:beforeAutospacing="0"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Non-hematologic toxicities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Fever of any grade, including febrile neutropenia.</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Grade 3 diarrhea lasting &lt;72 hours.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Grade 3 nausea and/or vomiting &lt;72 hours.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Grade 3 fatigue lasting &lt;7 days.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Grade 3 to 4 elevation of transaminases, bilirubin, creatine kinase, urea or creatinine lasting &lt;7 days.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Any rapidly reversible (resolving to baseline or grade 2 or lower within 7 days) grade 3 adverse event not related to hematology.</w:t>
      </w:r>
    </w:p>
    <w:p w14:paraId="54A7F4A8">
      <w:pPr>
        <w:keepNext w:val="0"/>
        <w:keepLines w:val="0"/>
        <w:widowControl/>
        <w:numPr>
          <w:ilvl w:val="0"/>
          <w:numId w:val="3"/>
        </w:numPr>
        <w:suppressLineNumbers w:val="0"/>
        <w:pBdr>
          <w:left w:val="none" w:color="auto" w:sz="0" w:space="0"/>
        </w:pBdr>
        <w:spacing w:before="0" w:beforeAutospacing="1" w:after="0" w:afterAutospacing="1"/>
        <w:ind w:left="720" w:leftChars="0" w:hanging="360" w:firstLineChars="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Aphasia/language impairment or confusion/cognitive impairment resolves to grade 1 or lower within 2 weeks and to baseline level within 4 weeks.</w:t>
      </w:r>
    </w:p>
    <w:p w14:paraId="29912079">
      <w:pPr>
        <w:widowControl w:val="0"/>
        <w:numPr>
          <w:numId w:val="0"/>
        </w:numPr>
        <w:jc w:val="both"/>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Segoe UI" w:cs="Times New Roman"/>
          <w:i w:val="0"/>
          <w:iCs w:val="0"/>
          <w:caps w:val="0"/>
          <w:color w:val="222222"/>
          <w:spacing w:val="0"/>
          <w:sz w:val="21"/>
          <w:szCs w:val="21"/>
          <w:shd w:val="clear" w:fill="FFFFFF"/>
        </w:rPr>
        <w:t>Rapid allergic reactions occurring within 2 hours of cell infusion (fever, chills, rash, urticaria, dyspnea, hypotension and/or nausea related to cell infusion) are relieved to grade 2 or lower after standard treatment.</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The maximum tolerated dose (MTD) is defined as the highest dose at which no more than 2 of 6 patients experience DLT. If DLT events are still not observed in the 3 subjects in the highest dose group, due to the particularity of cell products, although only 3 subjects are enrolled in the highest dose group, the highest dose group is still defined as MTD.</w:t>
      </w:r>
    </w:p>
    <w:p w14:paraId="6CF47573">
      <w:pPr>
        <w:widowControl w:val="0"/>
        <w:numPr>
          <w:numId w:val="0"/>
        </w:numPr>
        <w:jc w:val="both"/>
        <w:rPr>
          <w:rFonts w:hint="default" w:ascii="Times New Roman" w:hAnsi="Times New Roman" w:eastAsia="宋体" w:cs="Times New Roman"/>
          <w:i w:val="0"/>
          <w:iCs w:val="0"/>
          <w:caps w:val="0"/>
          <w:spacing w:val="0"/>
          <w:sz w:val="21"/>
          <w:szCs w:val="21"/>
          <w:shd w:val="clear" w:fill="FFFFFF"/>
          <w:lang w:val="en-US" w:eastAsia="zh-CN"/>
        </w:rPr>
      </w:pPr>
    </w:p>
    <w:p w14:paraId="13FB8F71">
      <w:pPr>
        <w:widowControl w:val="0"/>
        <w:numPr>
          <w:numId w:val="0"/>
        </w:numPr>
        <w:jc w:val="both"/>
        <w:rPr>
          <w:rFonts w:hint="default" w:ascii="Times New Roman" w:hAnsi="Times New Roman" w:eastAsia="宋体" w:cs="Times New Roman"/>
          <w:b/>
          <w:bCs/>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Statistical analysis</w:t>
      </w:r>
    </w:p>
    <w:p w14:paraId="5B3044A5">
      <w:pPr>
        <w:keepNext w:val="0"/>
        <w:keepLines w:val="0"/>
        <w:widowControl/>
        <w:suppressLineNumbers w:val="0"/>
        <w:shd w:val="clear" w:fill="FFFFFF"/>
        <w:spacing w:before="0" w:beforeAutospacing="0"/>
        <w:ind w:left="0" w:firstLine="0"/>
        <w:jc w:val="both"/>
        <w:rPr>
          <w:rFonts w:hint="default" w:ascii="Times New Roman" w:hAnsi="Times New Roman" w:cs="Times New Roman"/>
          <w:sz w:val="21"/>
          <w:szCs w:val="21"/>
        </w:rPr>
      </w:pPr>
      <w:r>
        <w:rPr>
          <w:rFonts w:hint="default" w:ascii="Times New Roman" w:hAnsi="Times New Roman" w:eastAsia="Segoe UI" w:cs="Times New Roman"/>
          <w:i w:val="0"/>
          <w:iCs w:val="0"/>
          <w:caps w:val="0"/>
          <w:spacing w:val="0"/>
          <w:kern w:val="0"/>
          <w:sz w:val="21"/>
          <w:szCs w:val="21"/>
          <w:shd w:val="clear" w:fill="FFFFFF"/>
          <w:lang w:val="en-US" w:eastAsia="zh-CN" w:bidi="ar"/>
        </w:rPr>
        <w:t>Continuous variables are summarized using descriptive statistics (number of subjects, mean, median, standard deviation, minimum, and maximum), and categorical variables are summarized using frequencies and percentages. Data will be presented by dose group.</w:t>
      </w:r>
      <w:r>
        <w:rPr>
          <w:rFonts w:hint="default" w:ascii="Times New Roman" w:hAnsi="Times New Roman" w:eastAsia="Segoe UI" w:cs="Times New Roman"/>
          <w:i w:val="0"/>
          <w:iCs w:val="0"/>
          <w:caps w:val="0"/>
          <w:spacing w:val="0"/>
          <w:kern w:val="0"/>
          <w:sz w:val="21"/>
          <w:szCs w:val="21"/>
          <w:shd w:val="clear" w:fill="FFFFFF"/>
          <w:lang w:val="en-US" w:eastAsia="zh-CN" w:bidi="ar"/>
        </w:rPr>
        <w:br w:type="textWrapping"/>
      </w:r>
      <w:r>
        <w:rPr>
          <w:rFonts w:hint="default" w:ascii="Times New Roman" w:hAnsi="Times New Roman" w:eastAsia="Segoe UI" w:cs="Times New Roman"/>
          <w:i w:val="0"/>
          <w:iCs w:val="0"/>
          <w:caps w:val="0"/>
          <w:spacing w:val="0"/>
          <w:kern w:val="0"/>
          <w:sz w:val="21"/>
          <w:szCs w:val="21"/>
          <w:shd w:val="clear" w:fill="FFFFFF"/>
          <w:lang w:val="en-US" w:eastAsia="zh-CN" w:bidi="ar"/>
        </w:rPr>
        <w:t xml:space="preserve">The analysis </w:t>
      </w:r>
      <w:r>
        <w:rPr>
          <w:rFonts w:hint="default" w:ascii="Times New Roman" w:hAnsi="Times New Roman" w:eastAsia="Segoe UI" w:cs="Times New Roman"/>
          <w:i w:val="0"/>
          <w:iCs w:val="0"/>
          <w:caps w:val="0"/>
          <w:spacing w:val="0"/>
          <w:kern w:val="0"/>
          <w:sz w:val="21"/>
          <w:szCs w:val="21"/>
          <w:shd w:val="clear" w:fill="FFFFFF"/>
          <w:lang w:val="en-US" w:eastAsia="zh-CN" w:bidi="ar"/>
        </w:rPr>
        <w:t>group</w:t>
      </w:r>
      <w:r>
        <w:rPr>
          <w:rFonts w:hint="default" w:ascii="Times New Roman" w:hAnsi="Times New Roman" w:eastAsia="Segoe UI" w:cs="Times New Roman"/>
          <w:i w:val="0"/>
          <w:iCs w:val="0"/>
          <w:caps w:val="0"/>
          <w:spacing w:val="0"/>
          <w:kern w:val="0"/>
          <w:sz w:val="21"/>
          <w:szCs w:val="21"/>
          <w:shd w:val="clear" w:fill="FFFFFF"/>
          <w:lang w:val="en-US" w:eastAsia="zh-CN" w:bidi="ar"/>
        </w:rPr>
        <w:t>s include the full analysis set (FAS), safety analysis set (SS), and PK analysis set (PKS).</w:t>
      </w:r>
    </w:p>
    <w:p w14:paraId="1C0D3E91">
      <w:pPr>
        <w:keepNext w:val="0"/>
        <w:keepLines w:val="0"/>
        <w:widowControl/>
        <w:numPr>
          <w:ilvl w:val="0"/>
          <w:numId w:val="4"/>
        </w:numPr>
        <w:suppressLineNumbers w:val="0"/>
        <w:pBdr>
          <w:left w:val="none" w:color="auto" w:sz="0" w:space="0"/>
        </w:pBdr>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Baseline characteristics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宋体" w:cs="Times New Roman"/>
          <w:i w:val="0"/>
          <w:iCs w:val="0"/>
          <w:caps w:val="0"/>
          <w:color w:val="222222"/>
          <w:spacing w:val="0"/>
          <w:sz w:val="21"/>
          <w:szCs w:val="21"/>
          <w:shd w:val="clear" w:fill="FFFFFF"/>
          <w:lang w:val="en-US" w:eastAsia="zh-CN"/>
        </w:rPr>
        <w:t>D</w:t>
      </w:r>
      <w:r>
        <w:rPr>
          <w:rFonts w:hint="default" w:ascii="Times New Roman" w:hAnsi="Times New Roman" w:eastAsia="Segoe UI" w:cs="Times New Roman"/>
          <w:i w:val="0"/>
          <w:iCs w:val="0"/>
          <w:caps w:val="0"/>
          <w:color w:val="222222"/>
          <w:spacing w:val="0"/>
          <w:sz w:val="21"/>
          <w:szCs w:val="21"/>
          <w:shd w:val="clear" w:fill="FFFFFF"/>
        </w:rPr>
        <w:t>emographic variables and baseline characteristics (such as gender, date of birth, weight, disease category, concomitant medications, previous treatment history, vital signs, etc.)</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are s</w:t>
      </w:r>
      <w:r>
        <w:rPr>
          <w:rFonts w:hint="default" w:ascii="Times New Roman" w:hAnsi="Times New Roman" w:eastAsia="Segoe UI" w:cs="Times New Roman"/>
          <w:i w:val="0"/>
          <w:iCs w:val="0"/>
          <w:caps w:val="0"/>
          <w:color w:val="222222"/>
          <w:spacing w:val="0"/>
          <w:sz w:val="21"/>
          <w:szCs w:val="21"/>
          <w:shd w:val="clear" w:fill="FFFFFF"/>
        </w:rPr>
        <w:t>ummarize</w:t>
      </w:r>
      <w:r>
        <w:rPr>
          <w:rFonts w:hint="default" w:ascii="Times New Roman" w:hAnsi="Times New Roman" w:eastAsia="宋体" w:cs="Times New Roman"/>
          <w:i w:val="0"/>
          <w:iCs w:val="0"/>
          <w:caps w:val="0"/>
          <w:color w:val="222222"/>
          <w:spacing w:val="0"/>
          <w:sz w:val="21"/>
          <w:szCs w:val="21"/>
          <w:shd w:val="clear" w:fill="FFFFFF"/>
          <w:lang w:val="en-US" w:eastAsia="zh-CN"/>
        </w:rPr>
        <w:t>d</w:t>
      </w:r>
      <w:r>
        <w:rPr>
          <w:rFonts w:hint="default" w:ascii="Times New Roman" w:hAnsi="Times New Roman" w:eastAsia="Segoe UI" w:cs="Times New Roman"/>
          <w:i w:val="0"/>
          <w:iCs w:val="0"/>
          <w:caps w:val="0"/>
          <w:color w:val="222222"/>
          <w:spacing w:val="0"/>
          <w:sz w:val="21"/>
          <w:szCs w:val="21"/>
          <w:shd w:val="clear" w:fill="FFFFFF"/>
        </w:rPr>
        <w:t xml:space="preserve"> by dose group.</w:t>
      </w:r>
    </w:p>
    <w:p w14:paraId="47892602">
      <w:pPr>
        <w:keepNext w:val="0"/>
        <w:keepLines w:val="0"/>
        <w:widowControl/>
        <w:numPr>
          <w:ilvl w:val="0"/>
          <w:numId w:val="4"/>
        </w:numPr>
        <w:suppressLineNumbers w:val="0"/>
        <w:pBdr>
          <w:left w:val="none" w:color="auto" w:sz="0" w:space="0"/>
        </w:pBdr>
        <w:spacing w:before="120" w:beforeAutospacing="0"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Safety analysis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Safety statistical analysis includes descriptive statistics of adverse events, vital signs, ECOG performance status, laboratory test values, DLT, etc.</w:t>
      </w:r>
    </w:p>
    <w:p w14:paraId="003E6966">
      <w:pPr>
        <w:keepNext w:val="0"/>
        <w:keepLines w:val="0"/>
        <w:widowControl/>
        <w:numPr>
          <w:ilvl w:val="0"/>
          <w:numId w:val="4"/>
        </w:numPr>
        <w:suppressLineNumbers w:val="0"/>
        <w:pBdr>
          <w:left w:val="none" w:color="auto" w:sz="0" w:space="0"/>
        </w:pBdr>
        <w:spacing w:before="120" w:beforeAutospacing="0" w:after="0" w:afterAutospacing="1"/>
        <w:ind w:left="720" w:hanging="360"/>
        <w:rPr>
          <w:rFonts w:hint="default" w:ascii="Times New Roman" w:hAnsi="Times New Roman" w:cs="Times New Roman"/>
          <w:sz w:val="21"/>
          <w:szCs w:val="21"/>
        </w:rPr>
      </w:pPr>
      <w:r>
        <w:rPr>
          <w:rFonts w:hint="default" w:ascii="Times New Roman" w:hAnsi="Times New Roman" w:eastAsia="Segoe UI" w:cs="Times New Roman"/>
          <w:i w:val="0"/>
          <w:iCs w:val="0"/>
          <w:caps w:val="0"/>
          <w:color w:val="222222"/>
          <w:spacing w:val="0"/>
          <w:sz w:val="21"/>
          <w:szCs w:val="21"/>
          <w:shd w:val="clear" w:fill="FFFFFF"/>
        </w:rPr>
        <w:t>Anti-tumor efficacy analysis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Segoe UI" w:cs="Times New Roman"/>
          <w:i w:val="0"/>
          <w:iCs w:val="0"/>
          <w:caps w:val="0"/>
          <w:color w:val="222222"/>
          <w:spacing w:val="0"/>
          <w:sz w:val="21"/>
          <w:szCs w:val="21"/>
          <w:shd w:val="clear" w:fill="FFFFFF"/>
        </w:rPr>
        <w:t xml:space="preserve">Tumor lesion measurements and changes relative to baseline will be summarized by cycle and dose group. </w:t>
      </w:r>
      <w:r>
        <w:rPr>
          <w:rFonts w:hint="default" w:ascii="Times New Roman" w:hAnsi="Times New Roman" w:eastAsia="宋体" w:cs="Times New Roman"/>
          <w:i w:val="0"/>
          <w:iCs w:val="0"/>
          <w:caps w:val="0"/>
          <w:color w:val="222222"/>
          <w:spacing w:val="0"/>
          <w:sz w:val="21"/>
          <w:szCs w:val="21"/>
          <w:shd w:val="clear" w:fill="FFFFFF"/>
          <w:lang w:val="en-US" w:eastAsia="zh-CN"/>
        </w:rPr>
        <w:t>O</w:t>
      </w:r>
      <w:r>
        <w:rPr>
          <w:rFonts w:hint="default" w:ascii="Times New Roman" w:hAnsi="Times New Roman" w:eastAsia="Segoe UI" w:cs="Times New Roman"/>
          <w:i w:val="0"/>
          <w:iCs w:val="0"/>
          <w:caps w:val="0"/>
          <w:color w:val="222222"/>
          <w:spacing w:val="0"/>
          <w:sz w:val="21"/>
          <w:szCs w:val="21"/>
          <w:shd w:val="clear" w:fill="FFFFFF"/>
        </w:rPr>
        <w:t>bjective tumor response rate (CR and PR), duration of objective tumor response and progression-free survival</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are presented</w:t>
      </w:r>
      <w:r>
        <w:rPr>
          <w:rFonts w:hint="default" w:ascii="Times New Roman" w:hAnsi="Times New Roman" w:eastAsia="Segoe UI" w:cs="Times New Roman"/>
          <w:i w:val="0"/>
          <w:iCs w:val="0"/>
          <w:caps w:val="0"/>
          <w:color w:val="222222"/>
          <w:spacing w:val="0"/>
          <w:sz w:val="21"/>
          <w:szCs w:val="21"/>
          <w:shd w:val="clear" w:fill="FFFFFF"/>
        </w:rPr>
        <w:t>.</w:t>
      </w:r>
    </w:p>
    <w:p w14:paraId="6E99E88A">
      <w:pPr>
        <w:keepNext w:val="0"/>
        <w:keepLines w:val="0"/>
        <w:widowControl/>
        <w:numPr>
          <w:ilvl w:val="0"/>
          <w:numId w:val="4"/>
        </w:numPr>
        <w:suppressLineNumbers w:val="0"/>
        <w:pBdr>
          <w:left w:val="none" w:color="auto" w:sz="0" w:space="0"/>
        </w:pBdr>
        <w:spacing w:before="120" w:beforeAutospacing="0" w:after="0" w:afterAutospacing="1"/>
        <w:ind w:left="720" w:hanging="360"/>
        <w:rPr>
          <w:rFonts w:hint="default" w:ascii="Times New Roman" w:hAnsi="Times New Roman" w:eastAsia="Segoe UI" w:cs="Times New Roman"/>
          <w:b/>
          <w:bCs/>
          <w:i w:val="0"/>
          <w:iCs w:val="0"/>
          <w:caps w:val="0"/>
          <w:color w:val="1C1F23"/>
          <w:spacing w:val="0"/>
          <w:kern w:val="0"/>
          <w:sz w:val="21"/>
          <w:szCs w:val="21"/>
          <w:shd w:val="clear" w:fill="FFFFFF"/>
          <w:lang w:val="en-US" w:eastAsia="zh-CN" w:bidi="ar"/>
        </w:rPr>
      </w:pPr>
      <w:r>
        <w:rPr>
          <w:rFonts w:hint="default" w:ascii="Times New Roman" w:hAnsi="Times New Roman" w:eastAsia="Segoe UI" w:cs="Times New Roman"/>
          <w:i w:val="0"/>
          <w:iCs w:val="0"/>
          <w:caps w:val="0"/>
          <w:color w:val="222222"/>
          <w:spacing w:val="0"/>
          <w:sz w:val="21"/>
          <w:szCs w:val="21"/>
          <w:shd w:val="clear" w:fill="FFFFFF"/>
        </w:rPr>
        <w:t>Biomarker analysis</w:t>
      </w:r>
      <w:r>
        <w:rPr>
          <w:rFonts w:hint="default" w:ascii="Times New Roman" w:hAnsi="Times New Roman" w:eastAsia="Segoe UI" w:cs="Times New Roman"/>
          <w:i w:val="0"/>
          <w:iCs w:val="0"/>
          <w:caps w:val="0"/>
          <w:color w:val="222222"/>
          <w:spacing w:val="0"/>
          <w:sz w:val="21"/>
          <w:szCs w:val="21"/>
          <w:shd w:val="clear" w:fill="FFFFFF"/>
        </w:rPr>
        <w:br w:type="textWrapping"/>
      </w:r>
      <w:r>
        <w:rPr>
          <w:rFonts w:hint="default" w:ascii="Times New Roman" w:hAnsi="Times New Roman" w:eastAsia="宋体" w:cs="Times New Roman"/>
          <w:i w:val="0"/>
          <w:iCs w:val="0"/>
          <w:caps w:val="0"/>
          <w:color w:val="222222"/>
          <w:spacing w:val="0"/>
          <w:sz w:val="21"/>
          <w:szCs w:val="21"/>
          <w:shd w:val="clear" w:fill="FFFFFF"/>
          <w:lang w:val="en-US" w:eastAsia="zh-CN"/>
        </w:rPr>
        <w:t>C</w:t>
      </w:r>
      <w:r>
        <w:rPr>
          <w:rFonts w:hint="default" w:ascii="Times New Roman" w:hAnsi="Times New Roman" w:eastAsia="Segoe UI" w:cs="Times New Roman"/>
          <w:i w:val="0"/>
          <w:iCs w:val="0"/>
          <w:caps w:val="0"/>
          <w:color w:val="222222"/>
          <w:spacing w:val="0"/>
          <w:sz w:val="21"/>
          <w:szCs w:val="21"/>
          <w:shd w:val="clear" w:fill="FFFFFF"/>
        </w:rPr>
        <w:t>hanges in biomarkers relative to baseline</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are l</w:t>
      </w:r>
      <w:r>
        <w:rPr>
          <w:rFonts w:hint="default" w:ascii="Times New Roman" w:hAnsi="Times New Roman" w:eastAsia="Segoe UI" w:cs="Times New Roman"/>
          <w:i w:val="0"/>
          <w:iCs w:val="0"/>
          <w:caps w:val="0"/>
          <w:color w:val="222222"/>
          <w:spacing w:val="0"/>
          <w:sz w:val="21"/>
          <w:szCs w:val="21"/>
          <w:shd w:val="clear" w:fill="FFFFFF"/>
        </w:rPr>
        <w:t>ist</w:t>
      </w:r>
      <w:r>
        <w:rPr>
          <w:rFonts w:hint="default" w:ascii="Times New Roman" w:hAnsi="Times New Roman" w:eastAsia="宋体" w:cs="Times New Roman"/>
          <w:i w:val="0"/>
          <w:iCs w:val="0"/>
          <w:caps w:val="0"/>
          <w:color w:val="222222"/>
          <w:spacing w:val="0"/>
          <w:sz w:val="21"/>
          <w:szCs w:val="21"/>
          <w:shd w:val="clear" w:fill="FFFFFF"/>
          <w:lang w:val="en-US" w:eastAsia="zh-CN"/>
        </w:rPr>
        <w:t>ed</w:t>
      </w:r>
      <w:r>
        <w:rPr>
          <w:rFonts w:hint="default" w:ascii="Times New Roman" w:hAnsi="Times New Roman" w:eastAsia="Segoe UI" w:cs="Times New Roman"/>
          <w:i w:val="0"/>
          <w:iCs w:val="0"/>
          <w:caps w:val="0"/>
          <w:color w:val="222222"/>
          <w:spacing w:val="0"/>
          <w:sz w:val="21"/>
          <w:szCs w:val="21"/>
          <w:shd w:val="clear" w:fill="FFFFFF"/>
        </w:rPr>
        <w:t xml:space="preserve"> and summarize</w:t>
      </w:r>
      <w:r>
        <w:rPr>
          <w:rFonts w:hint="default" w:ascii="Times New Roman" w:hAnsi="Times New Roman" w:eastAsia="宋体" w:cs="Times New Roman"/>
          <w:i w:val="0"/>
          <w:iCs w:val="0"/>
          <w:caps w:val="0"/>
          <w:color w:val="222222"/>
          <w:spacing w:val="0"/>
          <w:sz w:val="21"/>
          <w:szCs w:val="21"/>
          <w:shd w:val="clear" w:fill="FFFFFF"/>
          <w:lang w:val="en-US" w:eastAsia="zh-CN"/>
        </w:rPr>
        <w:t>d</w:t>
      </w:r>
      <w:r>
        <w:rPr>
          <w:rFonts w:hint="default" w:ascii="Times New Roman" w:hAnsi="Times New Roman" w:eastAsia="Segoe UI" w:cs="Times New Roman"/>
          <w:i w:val="0"/>
          <w:iCs w:val="0"/>
          <w:caps w:val="0"/>
          <w:color w:val="222222"/>
          <w:spacing w:val="0"/>
          <w:sz w:val="21"/>
          <w:szCs w:val="21"/>
          <w:shd w:val="clear" w:fill="FFFFFF"/>
        </w:rPr>
        <w:t>. If data permits, the degree of biomarker inhibition for individual subjects or different dose groups</w:t>
      </w:r>
      <w:r>
        <w:rPr>
          <w:rFonts w:hint="default" w:ascii="Times New Roman" w:hAnsi="Times New Roman" w:eastAsia="宋体" w:cs="Times New Roman"/>
          <w:i w:val="0"/>
          <w:iCs w:val="0"/>
          <w:caps w:val="0"/>
          <w:color w:val="222222"/>
          <w:spacing w:val="0"/>
          <w:sz w:val="21"/>
          <w:szCs w:val="21"/>
          <w:shd w:val="clear" w:fill="FFFFFF"/>
          <w:lang w:val="en-US" w:eastAsia="zh-CN"/>
        </w:rPr>
        <w:t xml:space="preserve"> is </w:t>
      </w:r>
      <w:r>
        <w:rPr>
          <w:rFonts w:hint="default" w:ascii="Times New Roman" w:hAnsi="Times New Roman" w:eastAsia="Segoe UI" w:cs="Times New Roman"/>
          <w:i w:val="0"/>
          <w:iCs w:val="0"/>
          <w:caps w:val="0"/>
          <w:color w:val="222222"/>
          <w:spacing w:val="0"/>
          <w:sz w:val="21"/>
          <w:szCs w:val="21"/>
          <w:shd w:val="clear" w:fill="FFFFFF"/>
        </w:rPr>
        <w:t>plot</w:t>
      </w:r>
      <w:r>
        <w:rPr>
          <w:rFonts w:hint="default" w:ascii="Times New Roman" w:hAnsi="Times New Roman" w:eastAsia="宋体" w:cs="Times New Roman"/>
          <w:i w:val="0"/>
          <w:iCs w:val="0"/>
          <w:caps w:val="0"/>
          <w:color w:val="222222"/>
          <w:spacing w:val="0"/>
          <w:sz w:val="21"/>
          <w:szCs w:val="21"/>
          <w:shd w:val="clear" w:fill="FFFFFF"/>
          <w:lang w:val="en-US" w:eastAsia="zh-CN"/>
        </w:rPr>
        <w:t>ted</w:t>
      </w:r>
      <w:r>
        <w:rPr>
          <w:rFonts w:hint="default" w:ascii="Times New Roman" w:hAnsi="Times New Roman" w:eastAsia="Segoe UI" w:cs="Times New Roman"/>
          <w:i w:val="0"/>
          <w:iCs w:val="0"/>
          <w:caps w:val="0"/>
          <w:color w:val="222222"/>
          <w:spacing w:val="0"/>
          <w:sz w:val="21"/>
          <w:szCs w:val="21"/>
          <w:shd w:val="clear" w:fill="FFFFFF"/>
        </w:rPr>
        <w:t>.</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MS Reference Sans Serif">
    <w:panose1 w:val="020B0604030504040204"/>
    <w:charset w:val="00"/>
    <w:family w:val="auto"/>
    <w:pitch w:val="default"/>
    <w:sig w:usb0="00000287"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E00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5C50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65C50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08E2C"/>
    <w:multiLevelType w:val="multilevel"/>
    <w:tmpl w:val="17908E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3823B809"/>
    <w:multiLevelType w:val="multilevel"/>
    <w:tmpl w:val="3823B80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38F72E26"/>
    <w:multiLevelType w:val="singleLevel"/>
    <w:tmpl w:val="38F72E26"/>
    <w:lvl w:ilvl="0" w:tentative="0">
      <w:start w:val="8"/>
      <w:numFmt w:val="decimal"/>
      <w:suff w:val="space"/>
      <w:lvlText w:val="(%1)"/>
      <w:lvlJc w:val="left"/>
    </w:lvl>
  </w:abstractNum>
  <w:abstractNum w:abstractNumId="3">
    <w:nsid w:val="76E4C2B3"/>
    <w:multiLevelType w:val="multilevel"/>
    <w:tmpl w:val="76E4C2B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jdmZGNmM2Q5NTdjN2MyN2I5YTBhNzA2YTI4MTAifQ=="/>
  </w:docVars>
  <w:rsids>
    <w:rsidRoot w:val="00000000"/>
    <w:rsid w:val="070F5BB9"/>
    <w:rsid w:val="09342E11"/>
    <w:rsid w:val="0B463FCA"/>
    <w:rsid w:val="246825C0"/>
    <w:rsid w:val="349E4CF3"/>
    <w:rsid w:val="39934616"/>
    <w:rsid w:val="3A3E6C77"/>
    <w:rsid w:val="3E9C46FA"/>
    <w:rsid w:val="4DEC5827"/>
    <w:rsid w:val="64514BDD"/>
    <w:rsid w:val="674E2F8C"/>
    <w:rsid w:val="6A70612A"/>
    <w:rsid w:val="6AF91C7B"/>
    <w:rsid w:val="70BE53AC"/>
    <w:rsid w:val="755328D0"/>
    <w:rsid w:val="7FE94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1642</Words>
  <Characters>9181</Characters>
  <Lines>0</Lines>
  <Paragraphs>0</Paragraphs>
  <TotalTime>22</TotalTime>
  <ScaleCrop>false</ScaleCrop>
  <LinksUpToDate>false</LinksUpToDate>
  <CharactersWithSpaces>10728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2024-10-11T03:44:00Z</dcterms:created>
  <dc:creator>Administrator</dc:creator>
  <cp:lastModifiedBy>Ming sun</cp:lastModifiedBy>
  <dcterms:modified xsi:type="dcterms:W3CDTF">2024-10-13T14:02:40Z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81FE2EFE4D2C4930A27A3A2EB37FCBEA_12</vt:lpwstr>
  </property>
</Properties>
</file>