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5FE2A" w14:textId="77777777" w:rsidR="00F36A1A" w:rsidRPr="00795DA5" w:rsidRDefault="00000000" w:rsidP="00D238E4">
      <w:pPr>
        <w:pStyle w:val="Heading3"/>
        <w:adjustRightInd w:val="0"/>
        <w:snapToGrid w:val="0"/>
        <w:spacing w:before="0" w:after="0" w:line="480" w:lineRule="auto"/>
        <w:rPr>
          <w:b/>
          <w:color w:val="auto"/>
          <w:sz w:val="26"/>
          <w:szCs w:val="26"/>
        </w:rPr>
      </w:pPr>
      <w:bookmarkStart w:id="0" w:name="_yj92z31mev4h" w:colFirst="0" w:colLast="0"/>
      <w:bookmarkEnd w:id="0"/>
      <w:r w:rsidRPr="00795DA5">
        <w:rPr>
          <w:b/>
          <w:color w:val="auto"/>
          <w:sz w:val="26"/>
          <w:szCs w:val="26"/>
        </w:rPr>
        <w:t>Supplementary Materials</w:t>
      </w:r>
    </w:p>
    <w:p w14:paraId="04DA0F32" w14:textId="29BF02CF" w:rsidR="000F6507" w:rsidRPr="00795DA5" w:rsidRDefault="000F6507" w:rsidP="00D238E4">
      <w:pPr>
        <w:adjustRightInd w:val="0"/>
        <w:snapToGrid w:val="0"/>
        <w:spacing w:line="480" w:lineRule="auto"/>
        <w:rPr>
          <w:b/>
          <w:bCs/>
          <w:sz w:val="26"/>
          <w:szCs w:val="26"/>
        </w:rPr>
      </w:pPr>
      <w:r w:rsidRPr="00795DA5">
        <w:rPr>
          <w:b/>
          <w:bCs/>
          <w:sz w:val="26"/>
          <w:szCs w:val="26"/>
        </w:rPr>
        <w:t>Methods</w:t>
      </w:r>
    </w:p>
    <w:p w14:paraId="5FD7EA0E" w14:textId="77777777" w:rsidR="000F6507" w:rsidRPr="00795DA5" w:rsidRDefault="000F6507" w:rsidP="00D238E4">
      <w:pPr>
        <w:adjustRightInd w:val="0"/>
        <w:snapToGrid w:val="0"/>
        <w:spacing w:line="480" w:lineRule="auto"/>
        <w:rPr>
          <w:b/>
        </w:rPr>
      </w:pPr>
    </w:p>
    <w:p w14:paraId="7496EC2A" w14:textId="58AC2A19" w:rsidR="000F6507" w:rsidRPr="00795DA5" w:rsidRDefault="000F6507" w:rsidP="00D238E4">
      <w:pPr>
        <w:adjustRightInd w:val="0"/>
        <w:snapToGrid w:val="0"/>
        <w:spacing w:line="480" w:lineRule="auto"/>
        <w:rPr>
          <w:b/>
        </w:rPr>
      </w:pPr>
      <w:r w:rsidRPr="00795DA5">
        <w:rPr>
          <w:b/>
        </w:rPr>
        <w:t>Nucleic acid extraction and Illumina sequencing</w:t>
      </w:r>
    </w:p>
    <w:p w14:paraId="5CEEED02" w14:textId="4E734703" w:rsidR="000F6507" w:rsidRPr="00795DA5" w:rsidRDefault="000F6507" w:rsidP="00D238E4">
      <w:pPr>
        <w:adjustRightInd w:val="0"/>
        <w:snapToGrid w:val="0"/>
        <w:spacing w:line="480" w:lineRule="auto"/>
        <w:rPr>
          <w:lang w:val="en-US"/>
        </w:rPr>
      </w:pPr>
      <w:r w:rsidRPr="00795DA5">
        <w:rPr>
          <w:lang w:val="en-US"/>
        </w:rPr>
        <w:t xml:space="preserve">For the skin swab samples and cultured isolates described in Application 2, DNA was extracted using the Zymo </w:t>
      </w:r>
      <w:r w:rsidR="00F776F9">
        <w:rPr>
          <w:lang w:val="en-US"/>
        </w:rPr>
        <w:t>P</w:t>
      </w:r>
      <w:r w:rsidRPr="00795DA5">
        <w:rPr>
          <w:lang w:val="en-US"/>
        </w:rPr>
        <w:t xml:space="preserve">athogen </w:t>
      </w:r>
      <w:r w:rsidR="00F776F9">
        <w:rPr>
          <w:lang w:val="en-US"/>
        </w:rPr>
        <w:t>M</w:t>
      </w:r>
      <w:r w:rsidRPr="00795DA5">
        <w:rPr>
          <w:lang w:val="en-US"/>
        </w:rPr>
        <w:t xml:space="preserve">agbead kit (Zymo Research) according to manufacturer’s instructions. Sequencing libraries were then prepared from 20ng of input DNA using the </w:t>
      </w:r>
      <w:proofErr w:type="spellStart"/>
      <w:r w:rsidRPr="00795DA5">
        <w:rPr>
          <w:lang w:val="en-US"/>
        </w:rPr>
        <w:t>NEBNext</w:t>
      </w:r>
      <w:proofErr w:type="spellEnd"/>
      <w:r w:rsidRPr="00795DA5">
        <w:rPr>
          <w:lang w:val="en-US"/>
        </w:rPr>
        <w:t xml:space="preserve"> Ultra-II DNA kit (New England Biolabs) following manufacturer’s instructions</w:t>
      </w:r>
      <w:r w:rsidR="008C3CE0" w:rsidRPr="00795DA5">
        <w:rPr>
          <w:lang w:val="en-US"/>
        </w:rPr>
        <w:t xml:space="preserve"> </w:t>
      </w:r>
      <w:r w:rsidRPr="00795DA5">
        <w:fldChar w:fldCharType="begin"/>
      </w:r>
      <w:r w:rsidR="00E14BAA">
        <w:instrText xml:space="preserve"> ADDIN ZOTERO_ITEM CSL_CITATION {"citationID":"LDM9StMQ","properties":{"formattedCitation":"[1]","plainCitation":"[1]","noteIndex":0},"citationItems":[{"id":58,"uris":["http://zotero.org/users/local/DhX1jpPM/items/QNW2QC5E","http://zotero.org/users/16907682/items/QNW2QC5E"],"itemData":{"id":58,"type":"article-journal","abstract":"Transfusion-transmitted infections cause significant morbidity and are challenging to prevent and diagnose. We found that culture-independent metagenomic sequencing of blood products afforded rapid and precise assessment of pathogen identity, abundance, and genetic relatedness, enhancing traditional hospital infection control strategies.","container-title":"Clinical Infectious Diseases: An Official Publication of the Infectious Diseases Society of America","DOI":"10.1093/cid/ciz960","ISSN":"1058-4838","issue":"5","journalAbbreviation":"Clin Infect Dis","note":"PMID: 31563940\nPMCID: PMC7442849","page":"1179-1185","source":"PubMed Central","title":"Investigating Transfusion-related Sepsis Using Culture-Independent Metagenomic Sequencing","volume":"71","author":[{"family":"Crawford","given":"Emily"},{"family":"Kamm","given":"Jack"},{"family":"Miller","given":"Steve"},{"family":"Li","given":"Lucy M"},{"family":"Caldera","given":"Saharai"},{"family":"Lyden","given":"Amy"},{"family":"Yokoe","given":"Deborah"},{"family":"Nichols","given":"Amy"},{"family":"Tran","given":"Nam K"},{"family":"Barnard","given":"Sarah E"},{"family":"Conner","given":"Peter M"},{"family":"Nambiar","given":"Ashok"},{"family":"Zinter","given":"Matt S"},{"family":"Moayeri","given":"Morvarid"},{"family":"Serpa","given":"Paula Hayakawa"},{"family":"Prince","given":"Brian C"},{"family":"Quan","given":"Jenai"},{"family":"Sit","given":"Rene"},{"family":"Tan","given":"Michelle"},{"family":"Phelps","given":"Maira"},{"family":"Derisi","given":"Joseph L"},{"family":"Tato","given":"Cristina M"},{"family":"Langelier","given":"Charles"}],"issued":{"date-parts":[["2020",9,1]]}}}],"schema":"https://github.com/citation-style-language/schema/raw/master/csl-citation.json"} </w:instrText>
      </w:r>
      <w:r w:rsidRPr="00795DA5">
        <w:fldChar w:fldCharType="separate"/>
      </w:r>
      <w:r w:rsidR="00E14BAA">
        <w:rPr>
          <w:noProof/>
          <w:lang w:val="en-US"/>
        </w:rPr>
        <w:t>[1]</w:t>
      </w:r>
      <w:r w:rsidRPr="00795DA5">
        <w:fldChar w:fldCharType="end"/>
      </w:r>
      <w:r w:rsidRPr="00795DA5">
        <w:rPr>
          <w:lang w:val="en-US"/>
        </w:rPr>
        <w:t xml:space="preserve">. For the tracheal aspirate samples described in Application 4, RNA was extracted using the Qiagen </w:t>
      </w:r>
      <w:proofErr w:type="spellStart"/>
      <w:r w:rsidRPr="00795DA5">
        <w:rPr>
          <w:lang w:val="en-US"/>
        </w:rPr>
        <w:t>Allprep</w:t>
      </w:r>
      <w:proofErr w:type="spellEnd"/>
      <w:r w:rsidRPr="00795DA5">
        <w:rPr>
          <w:lang w:val="en-US"/>
        </w:rPr>
        <w:t xml:space="preserve"> kit (Qiagen) following manufacturer’s instructions. Sequencing libraries were prepared using the </w:t>
      </w:r>
      <w:proofErr w:type="spellStart"/>
      <w:r w:rsidRPr="00795DA5">
        <w:rPr>
          <w:lang w:val="en-US"/>
        </w:rPr>
        <w:t>NEBNext</w:t>
      </w:r>
      <w:proofErr w:type="spellEnd"/>
      <w:r w:rsidRPr="00795DA5">
        <w:rPr>
          <w:lang w:val="en-US"/>
        </w:rPr>
        <w:t xml:space="preserve"> Ultra-II RNA kit (New England Biolabs) according to a previously described protocol</w:t>
      </w:r>
      <w:r w:rsidR="005562FD" w:rsidRPr="00795DA5">
        <w:rPr>
          <w:vertAlign w:val="superscript"/>
          <w:lang w:val="en-US"/>
        </w:rPr>
        <w:t xml:space="preserve"> </w:t>
      </w:r>
      <w:r w:rsidRPr="00795DA5">
        <w:rPr>
          <w:vertAlign w:val="superscript"/>
        </w:rPr>
        <w:fldChar w:fldCharType="begin"/>
      </w:r>
      <w:r w:rsidR="00E14BAA">
        <w:rPr>
          <w:vertAlign w:val="superscript"/>
        </w:rPr>
        <w:instrText xml:space="preserve"> ADDIN ZOTERO_ITEM CSL_CITATION {"citationID":"SHNl5Q1s","properties":{"formattedCitation":"[2]","plainCitation":"[2]","noteIndex":0},"citationItems":[{"id":70,"uris":["http://zotero.org/users/local/DhX1jpPM/items/F9TL6V2P","http://zotero.org/users/16907682/items/F9TL6V2P"],"itemData":{"id":70,"type":"article-journal","abstract":"BACKGROUND: Lower respiratory tract infections (LRTI) are a leading cause of critical illness and mortality in mechanically ventilated children; however, the pathogenic microbes frequently remain unknown. We combined traditional diagnostics with metagenomic next generation sequencing (mNGS) to evaluate the cause of LRTI in critically ill children.\nMETHODS: We conducted a prospective, multicentre cohort study of critically ill children aged 31 days to 17 years with respiratory failure requiring mechanical ventilation (&gt;72 h) in the USA. By combining bacterial culture and upper respiratory viral PCR testing with mNGS of tracheal aspirate collected from all patients within 24 h of intubation, we determined the prevalence, age distribution, and seasonal variation of viral and bacterial respiratory pathogens detected by either method in children with or without LRTI.\nFINDINGS: Between Feb 26, 2015, and Dec 31, 2017, of the 514 enrolled patients, 397 were eligible and included in the study (276 children with LRTI and 121 with no evidence of LRTI). A presumptive microbiological cause was identified in 255 (92%) children with LRTI, with respiratory syncytial virus (127 [46%]), Haemophilus influenzae (70 [25%]), and Moraxella catarrhalis (65 [24%]) being most prevalent. mNGS identified uncommon pathogens including Ureaplasma parvum and Bocavirus. Co-detection of viral and bacterial pathogens occurred in 144 (52%) patients. Incidental carriage of potentially pathogenic microbes occurred in 82 (68%) children without LRTI, with rhinovirus (30 [25%]) being most prevalent. Respiratory syncytial virus (p&lt;0·0001), H influenzae (p=0·0006), and M catarrhalis (p=0·0002) were most common in children younger than 5 years. Viral and bacterial LRTI occurred predominantly during winter months.\nINTERPRETATION: These findings demonstrate that respiratory syncytial virus, H influenzae, and M catarrhalis contribute disproportionately to severe paediatric LRTI, co-infections are common, and incidental carriage of potentially pathogenic microbes occurs frequently. Further, we provide a framework for future epidemiological and emerging pathogen surveillance studies, highlighting the potential for metagenomics to enhance clinical diagnosis.\nFUNDING: US National Institutes of Health and CZ Biohub.","container-title":"The Lancet. Microbe","DOI":"10.1016/S2666-5247(21)00304-9","ISSN":"2666-5247","issue":"4","journalAbbreviation":"Lancet Microbe","language":"eng","note":"PMID: 35544065\nPMCID: PMC9446282","page":"e284-e293","source":"PubMed","title":"Lower respiratory tract infections in children requiring mechanical ventilation: a multicentre prospective surveillance study incorporating airway metagenomics","title-short":"Lower respiratory tract infections in children requiring mechanical ventilation","volume":"3","author":[{"family":"Tsitsiklis","given":"Alexandra"},{"family":"Osborne","given":"Christina M."},{"family":"Kamm","given":"Jack"},{"family":"Williamson","given":"Kayla"},{"family":"Kalantar","given":"Katrina"},{"family":"Dudas","given":"Gytis"},{"family":"Caldera","given":"Saharai"},{"family":"Lyden","given":"Amy"},{"family":"Tan","given":"Michelle"},{"family":"Neff","given":"Norma"},{"family":"Soesanto","given":"Victoria"},{"family":"Harris","given":"J. Kirk"},{"family":"Ambroggio","given":"Lilliam"},{"family":"Maddux","given":"Aline B."},{"family":"Carpenter","given":"Todd C."},{"family":"Reeder","given":"Ron W."},{"family":"Locandro","given":"Chris"},{"family":"Simões","given":"Eric A. F."},{"family":"Leroue","given":"Matthew K."},{"family":"Hall","given":"Mark W."},{"family":"Zuppa","given":"Athena F."},{"family":"Carcillo","given":"Joseph"},{"family":"Meert","given":"Kathleen L."},{"family":"Sapru","given":"Anil"},{"family":"Pollack","given":"Murray M."},{"family":"McQuillen","given":"Patrick S."},{"family":"Notterman","given":"Daniel A."},{"family":"Dean","given":"J. Michael"},{"family":"Zinter","given":"Matt S."},{"family":"Wagner","given":"Brandie D."},{"family":"DeRisi","given":"Joseph L."},{"family":"Mourani","given":"Peter M."},{"family":"Langelier","given":"Charles R."}],"issued":{"date-parts":[["2022",4]]}}}],"schema":"https://github.com/citation-style-language/schema/raw/master/csl-citation.json"} </w:instrText>
      </w:r>
      <w:r w:rsidRPr="00795DA5">
        <w:rPr>
          <w:vertAlign w:val="superscript"/>
        </w:rPr>
        <w:fldChar w:fldCharType="separate"/>
      </w:r>
      <w:r w:rsidR="00E14BAA">
        <w:rPr>
          <w:noProof/>
          <w:lang w:val="en-US"/>
        </w:rPr>
        <w:t>[2]</w:t>
      </w:r>
      <w:r w:rsidRPr="00795DA5">
        <w:rPr>
          <w:vertAlign w:val="superscript"/>
        </w:rPr>
        <w:fldChar w:fldCharType="end"/>
      </w:r>
      <w:r w:rsidRPr="00795DA5">
        <w:rPr>
          <w:lang w:val="en-US"/>
        </w:rPr>
        <w:t xml:space="preserve">. Paired end 150 base pair </w:t>
      </w:r>
      <w:proofErr w:type="spellStart"/>
      <w:r w:rsidRPr="00795DA5">
        <w:rPr>
          <w:lang w:val="en-US"/>
        </w:rPr>
        <w:t>illumina</w:t>
      </w:r>
      <w:proofErr w:type="spellEnd"/>
      <w:r w:rsidRPr="00795DA5">
        <w:rPr>
          <w:lang w:val="en-US"/>
        </w:rPr>
        <w:t xml:space="preserve"> sequencing was performed on all samples using Illumina </w:t>
      </w:r>
      <w:proofErr w:type="spellStart"/>
      <w:r w:rsidRPr="00795DA5">
        <w:rPr>
          <w:lang w:val="en-US"/>
        </w:rPr>
        <w:t>NextSeq</w:t>
      </w:r>
      <w:proofErr w:type="spellEnd"/>
      <w:r w:rsidRPr="00795DA5">
        <w:rPr>
          <w:lang w:val="en-US"/>
        </w:rPr>
        <w:t xml:space="preserve"> 550 or </w:t>
      </w:r>
      <w:proofErr w:type="spellStart"/>
      <w:r w:rsidRPr="00795DA5">
        <w:rPr>
          <w:lang w:val="en-US"/>
        </w:rPr>
        <w:t>NovaSeq</w:t>
      </w:r>
      <w:proofErr w:type="spellEnd"/>
      <w:r w:rsidRPr="00795DA5">
        <w:rPr>
          <w:lang w:val="en-US"/>
        </w:rPr>
        <w:t xml:space="preserve"> 6000.</w:t>
      </w:r>
    </w:p>
    <w:p w14:paraId="55075931" w14:textId="77777777" w:rsidR="000F6507" w:rsidRPr="00795DA5" w:rsidRDefault="000F6507" w:rsidP="00D238E4">
      <w:pPr>
        <w:adjustRightInd w:val="0"/>
        <w:snapToGrid w:val="0"/>
        <w:spacing w:line="480" w:lineRule="auto"/>
        <w:rPr>
          <w:b/>
        </w:rPr>
      </w:pPr>
    </w:p>
    <w:p w14:paraId="15F5831F" w14:textId="77777777" w:rsidR="000F6507" w:rsidRPr="00795DA5" w:rsidRDefault="000F6507" w:rsidP="00D238E4">
      <w:pPr>
        <w:adjustRightInd w:val="0"/>
        <w:snapToGrid w:val="0"/>
        <w:spacing w:line="480" w:lineRule="auto"/>
        <w:rPr>
          <w:b/>
        </w:rPr>
      </w:pPr>
      <w:r w:rsidRPr="00795DA5">
        <w:rPr>
          <w:b/>
        </w:rPr>
        <w:t>AMR gene identification</w:t>
      </w:r>
    </w:p>
    <w:p w14:paraId="06B3F955" w14:textId="43D7A13A" w:rsidR="000F6507" w:rsidRPr="00795DA5" w:rsidRDefault="000F6507" w:rsidP="00D238E4">
      <w:pPr>
        <w:adjustRightInd w:val="0"/>
        <w:snapToGrid w:val="0"/>
        <w:spacing w:line="480" w:lineRule="auto"/>
        <w:rPr>
          <w:lang w:val="en-US"/>
        </w:rPr>
      </w:pPr>
      <w:r w:rsidRPr="00795DA5">
        <w:rPr>
          <w:lang w:val="en-US"/>
        </w:rPr>
        <w:t>We downloaded the tabular results from the</w:t>
      </w:r>
      <w:r w:rsidR="00EC7A30">
        <w:rPr>
          <w:lang w:val="en-US"/>
        </w:rPr>
        <w:t xml:space="preserve"> CZ ID</w:t>
      </w:r>
      <w:r w:rsidRPr="00795DA5">
        <w:rPr>
          <w:lang w:val="en-US"/>
        </w:rPr>
        <w:t xml:space="preserve"> AMR module</w:t>
      </w:r>
      <w:r w:rsidR="00EC7A30">
        <w:rPr>
          <w:lang w:val="en-US"/>
        </w:rPr>
        <w:t xml:space="preserve"> </w:t>
      </w:r>
      <w:r w:rsidR="00EC7A30" w:rsidRPr="328E9B2C">
        <w:rPr>
          <w:lang w:val="en-US"/>
        </w:rPr>
        <w:t xml:space="preserve">(the project can be accessed at </w:t>
      </w:r>
      <w:hyperlink r:id="rId7">
        <w:r w:rsidR="00EC7A30" w:rsidRPr="328E9B2C">
          <w:rPr>
            <w:rStyle w:val="Hyperlink"/>
            <w:color w:val="auto"/>
            <w:lang w:val="en-US"/>
          </w:rPr>
          <w:t>https://czid.org/home?project_id=5929</w:t>
        </w:r>
      </w:hyperlink>
      <w:r w:rsidR="00EC7A30" w:rsidRPr="328E9B2C">
        <w:rPr>
          <w:lang w:val="en-US"/>
        </w:rPr>
        <w:t xml:space="preserve"> after logging in)</w:t>
      </w:r>
      <w:r w:rsidRPr="00795DA5">
        <w:rPr>
          <w:lang w:val="en-US"/>
        </w:rPr>
        <w:t xml:space="preserve"> and applied quality filters to ensure robust AMR gene identification. Specifically, for mNGS data, we required all AMR genes (from contig and read approaches) to have coverage breadth &gt; 10% and for read mappings we additionally required &gt; 5 reads mapping to the AMR gene. For</w:t>
      </w:r>
      <w:r w:rsidR="00F11521" w:rsidRPr="00795DA5">
        <w:rPr>
          <w:lang w:val="en-US"/>
        </w:rPr>
        <w:t xml:space="preserve"> single-isolate</w:t>
      </w:r>
      <w:r w:rsidRPr="00795DA5">
        <w:rPr>
          <w:lang w:val="en-US"/>
        </w:rPr>
        <w:t xml:space="preserve"> WGS data, we required all AMR genes (from contig and read approaches), to have coverage breadth &gt; 50% and </w:t>
      </w:r>
      <w:r w:rsidR="001A7FB2" w:rsidRPr="00795DA5">
        <w:rPr>
          <w:lang w:val="en-US"/>
        </w:rPr>
        <w:t>additionally required</w:t>
      </w:r>
      <w:r w:rsidRPr="00795DA5">
        <w:rPr>
          <w:lang w:val="en-US"/>
        </w:rPr>
        <w:t xml:space="preserve"> &gt; 5 reads mapping to the AMR gene for read results. Across all analyses, Nudged results were treated the same way as contig results. For studies with corresponding water controls, we applied the above filters to the water </w:t>
      </w:r>
      <w:proofErr w:type="gramStart"/>
      <w:r w:rsidRPr="00795DA5">
        <w:rPr>
          <w:lang w:val="en-US"/>
        </w:rPr>
        <w:t>controls, and</w:t>
      </w:r>
      <w:proofErr w:type="gramEnd"/>
      <w:r w:rsidRPr="00795DA5">
        <w:rPr>
          <w:lang w:val="en-US"/>
        </w:rPr>
        <w:t xml:space="preserve"> then </w:t>
      </w:r>
      <w:r w:rsidRPr="00795DA5">
        <w:rPr>
          <w:lang w:val="en-US"/>
        </w:rPr>
        <w:lastRenderedPageBreak/>
        <w:t xml:space="preserve">removed AMR genes or gene families (depending on what was plotted) also found in water controls from experimental samples. </w:t>
      </w:r>
    </w:p>
    <w:p w14:paraId="4170E6C7" w14:textId="77777777" w:rsidR="000F6507" w:rsidRPr="00795DA5" w:rsidRDefault="000F6507" w:rsidP="00D238E4">
      <w:pPr>
        <w:adjustRightInd w:val="0"/>
        <w:snapToGrid w:val="0"/>
        <w:spacing w:line="480" w:lineRule="auto"/>
      </w:pPr>
    </w:p>
    <w:p w14:paraId="23524346" w14:textId="77777777" w:rsidR="000F6507" w:rsidRPr="00795DA5" w:rsidRDefault="000F6507" w:rsidP="00D238E4">
      <w:pPr>
        <w:adjustRightInd w:val="0"/>
        <w:snapToGrid w:val="0"/>
        <w:spacing w:line="480" w:lineRule="auto"/>
        <w:rPr>
          <w:b/>
        </w:rPr>
      </w:pPr>
      <w:r w:rsidRPr="00795DA5">
        <w:rPr>
          <w:b/>
        </w:rPr>
        <w:t>AMR gene heatmaps</w:t>
      </w:r>
    </w:p>
    <w:p w14:paraId="25EBAC3F" w14:textId="630E632C" w:rsidR="000F6507" w:rsidRPr="00795DA5" w:rsidRDefault="000F6507" w:rsidP="00D238E4">
      <w:pPr>
        <w:adjustRightInd w:val="0"/>
        <w:snapToGrid w:val="0"/>
        <w:spacing w:line="480" w:lineRule="auto"/>
        <w:rPr>
          <w:u w:val="single"/>
          <w:lang w:val="en-US"/>
        </w:rPr>
      </w:pPr>
      <w:r w:rsidRPr="00795DA5">
        <w:rPr>
          <w:lang w:val="en-US"/>
        </w:rPr>
        <w:t xml:space="preserve">All plots were generated in R using </w:t>
      </w:r>
      <w:proofErr w:type="spellStart"/>
      <w:r w:rsidRPr="00795DA5">
        <w:rPr>
          <w:lang w:val="en-US"/>
        </w:rPr>
        <w:t>Tidyverse</w:t>
      </w:r>
      <w:proofErr w:type="spellEnd"/>
      <w:r w:rsidR="005562FD" w:rsidRPr="00795DA5">
        <w:rPr>
          <w:lang w:val="en-US"/>
        </w:rPr>
        <w:t xml:space="preserve"> </w:t>
      </w:r>
      <w:r w:rsidRPr="00795DA5">
        <w:fldChar w:fldCharType="begin"/>
      </w:r>
      <w:r w:rsidR="00E14BAA">
        <w:instrText xml:space="preserve"> ADDIN ZOTERO_ITEM CSL_CITATION {"citationID":"SY4PGpqv","properties":{"formattedCitation":"[3]","plainCitation":"[3]","noteIndex":0},"citationItems":[{"id":84,"uris":["http://zotero.org/users/local/DhX1jpPM/items/BH5GUCST","http://zotero.org/users/16907682/items/BH5GUCST"],"itemData":{"id":84,"type":"article-journal","abstract":"Wickham et al., (2019). Welcome to the Tidyverse. Journal of Open Source Software, 4(43), 1686, https://doi.org/10.21105/joss.01686","container-title":"Journal of Open Source Software","DOI":"10.21105/joss.01686","ISSN":"2475-9066","issue":"43","language":"en","page":"1686","source":"joss.theoj.org","title":"Welcome to the Tidyverse","volume":"4","author":[{"family":"Wickham","given":"Hadley"},{"family":"Averick","given":"Mara"},{"family":"Bryan","given":"Jennifer"},{"family":"Chang","given":"Winston"},{"family":"McGowan","given":"Lucy D'Agostino"},{"family":"François","given":"Romain"},{"family":"Grolemund","given":"Garrett"},{"family":"Hayes","given":"Alex"},{"family":"Henry","given":"Lionel"},{"family":"Hester","given":"Jim"},{"family":"Kuhn","given":"Max"},{"family":"Pedersen","given":"Thomas Lin"},{"family":"Miller","given":"Evan"},{"family":"Bache","given":"Stephan Milton"},{"family":"Müller","given":"Kirill"},{"family":"Ooms","given":"Jeroen"},{"family":"Robinson","given":"David"},{"family":"Seidel","given":"Dana Paige"},{"family":"Spinu","given":"Vitalie"},{"family":"Takahashi","given":"Kohske"},{"family":"Vaughan","given":"Davis"},{"family":"Wilke","given":"Claus"},{"family":"Woo","given":"Kara"},{"family":"Yutani","given":"Hiroaki"}],"issued":{"date-parts":[["2019",11,21]]}}}],"schema":"https://github.com/citation-style-language/schema/raw/master/csl-citation.json"} </w:instrText>
      </w:r>
      <w:r w:rsidRPr="00795DA5">
        <w:fldChar w:fldCharType="separate"/>
      </w:r>
      <w:r w:rsidR="00E14BAA">
        <w:rPr>
          <w:noProof/>
          <w:lang w:val="en-US"/>
        </w:rPr>
        <w:t>[3]</w:t>
      </w:r>
      <w:r w:rsidRPr="00795DA5">
        <w:fldChar w:fldCharType="end"/>
      </w:r>
      <w:r w:rsidRPr="00795DA5">
        <w:rPr>
          <w:lang w:val="en-US"/>
        </w:rPr>
        <w:t>, patchwork</w:t>
      </w:r>
      <w:r w:rsidR="005562FD" w:rsidRPr="00795DA5">
        <w:rPr>
          <w:lang w:val="en-US"/>
        </w:rPr>
        <w:t xml:space="preserve"> </w:t>
      </w:r>
      <w:r w:rsidRPr="00795DA5">
        <w:fldChar w:fldCharType="begin"/>
      </w:r>
      <w:r w:rsidR="00E14BAA">
        <w:instrText xml:space="preserve"> ADDIN ZOTERO_ITEM CSL_CITATION {"citationID":"DnMaEj6p","properties":{"formattedCitation":"[4]","plainCitation":"[4]","noteIndex":0},"citationItems":[{"id":87,"uris":["http://zotero.org/users/local/DhX1jpPM/items/LY599KLA","http://zotero.org/users/16907682/items/LY599KLA"],"itemData":{"id":87,"type":"article-journal","container-title":"R package version 1.2.0.9000, https://github.com/thomasp85/patchwork","title":"patchwork: The Composer of Plots","URL":"https://patchwork.data-imaginist.com","author":[{"literal":"Thomas Lin Pedersen"}],"issued":{"date-parts":[["2024"]]}}}],"schema":"https://github.com/citation-style-language/schema/raw/master/csl-citation.json"} </w:instrText>
      </w:r>
      <w:r w:rsidRPr="00795DA5">
        <w:fldChar w:fldCharType="separate"/>
      </w:r>
      <w:r w:rsidR="00E14BAA">
        <w:rPr>
          <w:noProof/>
          <w:lang w:val="en-US"/>
        </w:rPr>
        <w:t>[4]</w:t>
      </w:r>
      <w:r w:rsidRPr="00795DA5">
        <w:fldChar w:fldCharType="end"/>
      </w:r>
      <w:r w:rsidRPr="00795DA5">
        <w:rPr>
          <w:lang w:val="en-US"/>
        </w:rPr>
        <w:t xml:space="preserve"> and </w:t>
      </w:r>
      <w:proofErr w:type="spellStart"/>
      <w:r w:rsidRPr="00795DA5">
        <w:rPr>
          <w:lang w:val="en-US"/>
        </w:rPr>
        <w:t>ComplexHeatmap</w:t>
      </w:r>
      <w:proofErr w:type="spellEnd"/>
      <w:r w:rsidR="005562FD" w:rsidRPr="00795DA5">
        <w:rPr>
          <w:lang w:val="en-US"/>
        </w:rPr>
        <w:t xml:space="preserve"> </w:t>
      </w:r>
      <w:r w:rsidRPr="00795DA5">
        <w:fldChar w:fldCharType="begin"/>
      </w:r>
      <w:r w:rsidR="00E14BAA">
        <w:instrText xml:space="preserve"> ADDIN ZOTERO_ITEM CSL_CITATION {"citationID":"tvyaU350","properties":{"formattedCitation":"[5]","plainCitation":"[5]","noteIndex":0},"citationItems":[{"id":90,"uris":["http://zotero.org/users/local/DhX1jpPM/items/PJKZYZW7","http://zotero.org/users/16907682/items/PJKZYZW7"],"itemData":{"id":90,"type":"article-journal","abstract":"Parallel heatmaps with carefully designed annotation graphics are powerful for efficient visualization of patterns and relationships among high dimensional genomic data. Here we present the ComplexHeatmap package that provides rich functionalities for customizing heatmaps, arranging multiple parallel heatmaps and including user-defined annotation graphics. We demonstrate the power of ComplexHeatmap to easily reveal patterns and correlations among multiple sources of information with four real-world datasets.\nAVAILABILITY AND IMPLEMENTATION: The ComplexHeatmap package and documentation are freely available from the Bioconductor project: http://www.bioconductor.org/packages/devel/bioc/html/ComplexHeatmap.html\nCONTACT: m.schlesner@dkfz.de\nSUPPLEMENTARY INFORMATION: Supplementary data are available at Bioinformatics online.","container-title":"Bioinformatics (Oxford, England)","DOI":"10.1093/bioinformatics/btw313","ISSN":"1367-4811","issue":"18","journalAbbreviation":"Bioinformatics","language":"eng","note":"PMID: 27207943","page":"2847-2849","source":"PubMed","title":"Complex heatmaps reveal patterns and correlations in multidimensional genomic data","volume":"32","author":[{"family":"Gu","given":"Zuguang"},{"family":"Eils","given":"Roland"},{"family":"Schlesner","given":"Matthias"}],"issued":{"date-parts":[["2016",9,15]]}}}],"schema":"https://github.com/citation-style-language/schema/raw/master/csl-citation.json"} </w:instrText>
      </w:r>
      <w:r w:rsidRPr="00795DA5">
        <w:fldChar w:fldCharType="separate"/>
      </w:r>
      <w:r w:rsidR="00E14BAA">
        <w:rPr>
          <w:noProof/>
          <w:lang w:val="en-US"/>
        </w:rPr>
        <w:t>[5]</w:t>
      </w:r>
      <w:r w:rsidRPr="00795DA5">
        <w:fldChar w:fldCharType="end"/>
      </w:r>
      <w:r w:rsidRPr="00795DA5">
        <w:rPr>
          <w:lang w:val="en-US"/>
        </w:rPr>
        <w:t xml:space="preserve">. While making the plots, we did an additional filtering to focus the analysis within the context of the use-case and limit the size of the plots for the paper. In particular, we included only CARD’s protein homolog and protein variation models (see </w:t>
      </w:r>
      <w:hyperlink r:id="rId8">
        <w:r w:rsidRPr="00795DA5">
          <w:rPr>
            <w:rStyle w:val="Hyperlink"/>
            <w:color w:val="auto"/>
            <w:lang w:val="en-US"/>
          </w:rPr>
          <w:t>https://github.com/arpcard/rgi</w:t>
        </w:r>
      </w:hyperlink>
      <w:r w:rsidRPr="00795DA5">
        <w:rPr>
          <w:lang w:val="en-US"/>
        </w:rPr>
        <w:t xml:space="preserve">), and included only medically relevant antibiotics drug classes by removing disinfecting agents and antiseptics, antibacterial free fatty acids, and aminocoumarin, diaminopyrimidine, </w:t>
      </w:r>
      <w:proofErr w:type="spellStart"/>
      <w:r w:rsidRPr="00795DA5">
        <w:rPr>
          <w:lang w:val="en-US"/>
        </w:rPr>
        <w:t>elfamycin</w:t>
      </w:r>
      <w:proofErr w:type="spellEnd"/>
      <w:r w:rsidRPr="00795DA5">
        <w:rPr>
          <w:lang w:val="en-US"/>
        </w:rPr>
        <w:t xml:space="preserve">, </w:t>
      </w:r>
      <w:proofErr w:type="spellStart"/>
      <w:r w:rsidRPr="00795DA5">
        <w:rPr>
          <w:lang w:val="en-US"/>
        </w:rPr>
        <w:t>fusidane</w:t>
      </w:r>
      <w:proofErr w:type="spellEnd"/>
      <w:r w:rsidRPr="00795DA5">
        <w:rPr>
          <w:lang w:val="en-US"/>
        </w:rPr>
        <w:t>, phosphonic acid, nucleoside, and pleuromutilin antibiotics. In Fig. 5B and Fig. 8, we also excluded efflux pumps to reduce plot size.</w:t>
      </w:r>
    </w:p>
    <w:p w14:paraId="5D3BC23B" w14:textId="77777777" w:rsidR="000F6507" w:rsidRPr="00795DA5" w:rsidRDefault="000F6507" w:rsidP="00D238E4">
      <w:pPr>
        <w:adjustRightInd w:val="0"/>
        <w:snapToGrid w:val="0"/>
        <w:spacing w:line="480" w:lineRule="auto"/>
      </w:pPr>
    </w:p>
    <w:p w14:paraId="58972700" w14:textId="6A602C6A" w:rsidR="000F6507" w:rsidRPr="00795DA5" w:rsidRDefault="35EC105C" w:rsidP="00D238E4">
      <w:pPr>
        <w:adjustRightInd w:val="0"/>
        <w:snapToGrid w:val="0"/>
        <w:spacing w:line="480" w:lineRule="auto"/>
        <w:rPr>
          <w:lang w:val="en-US"/>
        </w:rPr>
      </w:pPr>
      <w:r w:rsidRPr="35EC105C">
        <w:rPr>
          <w:lang w:val="en-US"/>
        </w:rPr>
        <w:t>Then, we applied a series of heuristics to make this structured data amenable to heatmap visualization. Given the nature of a heatmap visualization, each AMR annotation in each sample can have only one representing tile, so we plotted the result with the highest confidence</w:t>
      </w:r>
      <w:r w:rsidR="00EC7A30">
        <w:rPr>
          <w:lang w:val="en-US"/>
        </w:rPr>
        <w:t>:</w:t>
      </w:r>
      <w:r w:rsidRPr="35EC105C">
        <w:rPr>
          <w:lang w:val="en-US"/>
        </w:rPr>
        <w:t xml:space="preserve"> </w:t>
      </w:r>
      <w:r w:rsidR="00EC7A30">
        <w:rPr>
          <w:lang w:val="en-US"/>
        </w:rPr>
        <w:t>w</w:t>
      </w:r>
      <w:r w:rsidRPr="35EC105C">
        <w:rPr>
          <w:lang w:val="en-US"/>
        </w:rPr>
        <w:t xml:space="preserve">e considered AMR genes identified through the contig approach with Perfect or Strict cutoffs as higher confidence than those with the Nudged cutoff, which were then of higher confidence than AMR genes found by reads alone. Finally, given the challenges for gene attribution presented by homology between genes in the same gene family, we developed a systematic approach for collapsing the visualization to a single </w:t>
      </w:r>
      <w:r w:rsidR="00EC7A30">
        <w:rPr>
          <w:lang w:val="en-US"/>
        </w:rPr>
        <w:t xml:space="preserve">AMR </w:t>
      </w:r>
      <w:r w:rsidRPr="35EC105C">
        <w:rPr>
          <w:lang w:val="en-US"/>
        </w:rPr>
        <w:t xml:space="preserve">candidate per </w:t>
      </w:r>
      <w:r w:rsidR="00EC7A30">
        <w:rPr>
          <w:lang w:val="en-US"/>
        </w:rPr>
        <w:t xml:space="preserve">gene family per </w:t>
      </w:r>
      <w:r w:rsidRPr="35EC105C">
        <w:rPr>
          <w:lang w:val="en-US"/>
        </w:rPr>
        <w:t xml:space="preserve">sample. For all figures except for Fig. 6, if in the same sample one AMR gene was found by the read approach and a different AMR gene from the same gene family was found by the contig approach, the first AMR gene was omitted and only the second AMR gene was plotted. The rationale for this prioritization stems from the fact that sometimes short reads alone cannot sufficiently distinguish between highly similar alleles or genes from the same gene family. Contigs, which typically </w:t>
      </w:r>
      <w:r w:rsidRPr="35EC105C">
        <w:rPr>
          <w:lang w:val="en-US"/>
        </w:rPr>
        <w:lastRenderedPageBreak/>
        <w:t xml:space="preserve">provide greater sequence length are often of higher confidence. This approach should be considered on a per gene or per gene family basis, due to variability in the extent of sequence similarity within genes and gene </w:t>
      </w:r>
      <w:proofErr w:type="gramStart"/>
      <w:r w:rsidRPr="35EC105C">
        <w:rPr>
          <w:lang w:val="en-US"/>
        </w:rPr>
        <w:t>families, and</w:t>
      </w:r>
      <w:proofErr w:type="gramEnd"/>
      <w:r w:rsidRPr="35EC105C">
        <w:rPr>
          <w:lang w:val="en-US"/>
        </w:rPr>
        <w:t xml:space="preserve"> also be modified for specific use cases. For </w:t>
      </w:r>
      <w:r w:rsidR="001A7FB2" w:rsidRPr="35EC105C">
        <w:rPr>
          <w:lang w:val="en-US"/>
        </w:rPr>
        <w:t>example,</w:t>
      </w:r>
      <w:r w:rsidRPr="35EC105C">
        <w:rPr>
          <w:lang w:val="en-US"/>
        </w:rPr>
        <w:t xml:space="preserve"> in Fig. 6B, even though </w:t>
      </w:r>
      <w:r w:rsidRPr="35EC105C">
        <w:rPr>
          <w:i/>
          <w:iCs/>
          <w:lang w:val="en-US"/>
        </w:rPr>
        <w:t>mecR1</w:t>
      </w:r>
      <w:r w:rsidRPr="35EC105C">
        <w:rPr>
          <w:lang w:val="en-US"/>
        </w:rPr>
        <w:t xml:space="preserve"> and </w:t>
      </w:r>
      <w:proofErr w:type="spellStart"/>
      <w:r w:rsidRPr="35EC105C">
        <w:rPr>
          <w:i/>
          <w:iCs/>
          <w:lang w:val="en-US"/>
        </w:rPr>
        <w:t>mecA</w:t>
      </w:r>
      <w:proofErr w:type="spellEnd"/>
      <w:r w:rsidRPr="35EC105C">
        <w:rPr>
          <w:lang w:val="en-US"/>
        </w:rPr>
        <w:t xml:space="preserve"> are from the same gene family, they do not have highly similar </w:t>
      </w:r>
      <w:proofErr w:type="gramStart"/>
      <w:r w:rsidRPr="35EC105C">
        <w:rPr>
          <w:lang w:val="en-US"/>
        </w:rPr>
        <w:t>sequences</w:t>
      </w:r>
      <w:proofErr w:type="gramEnd"/>
      <w:r w:rsidRPr="35EC105C">
        <w:rPr>
          <w:lang w:val="en-US"/>
        </w:rPr>
        <w:t xml:space="preserve"> and we did not apply this step. </w:t>
      </w:r>
    </w:p>
    <w:p w14:paraId="50F327A1" w14:textId="1C4F90C0" w:rsidR="35EC105C" w:rsidRDefault="35EC105C" w:rsidP="35EC105C">
      <w:pPr>
        <w:spacing w:line="480" w:lineRule="auto"/>
        <w:rPr>
          <w:lang w:val="en-US"/>
        </w:rPr>
      </w:pPr>
    </w:p>
    <w:p w14:paraId="39C01579" w14:textId="77777777" w:rsidR="000F6507" w:rsidRPr="00795DA5" w:rsidRDefault="000F6507" w:rsidP="00D238E4">
      <w:pPr>
        <w:adjustRightInd w:val="0"/>
        <w:snapToGrid w:val="0"/>
        <w:spacing w:line="480" w:lineRule="auto"/>
        <w:rPr>
          <w:b/>
        </w:rPr>
      </w:pPr>
      <w:r w:rsidRPr="00795DA5">
        <w:rPr>
          <w:b/>
        </w:rPr>
        <w:t>Species identification</w:t>
      </w:r>
    </w:p>
    <w:p w14:paraId="1904A112" w14:textId="77777777" w:rsidR="000F6507" w:rsidRPr="00795DA5" w:rsidRDefault="000F6507" w:rsidP="00D238E4">
      <w:pPr>
        <w:adjustRightInd w:val="0"/>
        <w:snapToGrid w:val="0"/>
        <w:spacing w:line="480" w:lineRule="auto"/>
        <w:rPr>
          <w:lang w:val="en-US"/>
        </w:rPr>
      </w:pPr>
      <w:r w:rsidRPr="00795DA5">
        <w:rPr>
          <w:lang w:val="en-US"/>
        </w:rPr>
        <w:t>For results from the CZ ID mNGS module, filters were again applied to ensure high-quality results. Specifically, for Fig. 3 and Fig. 7, which each focused on a single species, the NT rpM calculated by the mNGS module was used with no extra filtering. For Fig. 5 and Fig. 6A, which focused on species composition, the species detected by the mNGS module were filtered with: NT rpM &gt; 10 and NR rpM &gt; 10 to implement a minimal abundance requirement for taxonomic identification, NT alignment length &gt; 50 to ensure alignment specificity and NT Z-score &gt; 2 using a background model calculated with the corresponding study-specific water samples to ensure significance of taxa above levels of possible background contamination. Finally, for Fig. 6B, which had low read coverage, abundance filters were omitted and only the significance filter of NT Z-score &gt; 2 was applied, using a background model calculated with the corresponding water samples.</w:t>
      </w:r>
    </w:p>
    <w:p w14:paraId="61A3E868" w14:textId="77777777" w:rsidR="000F6507" w:rsidRPr="00795DA5" w:rsidRDefault="000F6507" w:rsidP="00D238E4">
      <w:pPr>
        <w:adjustRightInd w:val="0"/>
        <w:snapToGrid w:val="0"/>
        <w:spacing w:line="480" w:lineRule="auto"/>
      </w:pPr>
    </w:p>
    <w:p w14:paraId="6817D8D0" w14:textId="77777777" w:rsidR="000F6507" w:rsidRPr="00795DA5" w:rsidRDefault="000F6507" w:rsidP="00D238E4">
      <w:pPr>
        <w:adjustRightInd w:val="0"/>
        <w:snapToGrid w:val="0"/>
        <w:spacing w:line="480" w:lineRule="auto"/>
        <w:rPr>
          <w:b/>
        </w:rPr>
      </w:pPr>
      <w:r w:rsidRPr="00795DA5">
        <w:rPr>
          <w:b/>
        </w:rPr>
        <w:t>SNP distance analysis</w:t>
      </w:r>
    </w:p>
    <w:p w14:paraId="75E58724" w14:textId="4F547D6C" w:rsidR="000F6507" w:rsidRPr="00795DA5" w:rsidRDefault="000F6507" w:rsidP="00D238E4">
      <w:pPr>
        <w:adjustRightInd w:val="0"/>
        <w:snapToGrid w:val="0"/>
        <w:spacing w:line="480" w:lineRule="auto"/>
        <w:rPr>
          <w:b/>
          <w:bCs/>
          <w:lang w:val="en-US"/>
        </w:rPr>
      </w:pPr>
      <w:r w:rsidRPr="00795DA5">
        <w:rPr>
          <w:lang w:val="en-US"/>
        </w:rPr>
        <w:t>Host-filtered reads were downloaded from the CZ ID mNGS module. SNP distance were calculated with SKA2 0.3.2</w:t>
      </w:r>
      <w:r w:rsidR="005562FD" w:rsidRPr="00795DA5">
        <w:rPr>
          <w:lang w:val="en-US"/>
        </w:rPr>
        <w:t xml:space="preserve"> </w:t>
      </w:r>
      <w:r w:rsidR="00E14BAA">
        <w:rPr>
          <w:lang w:val="en-US"/>
        </w:rPr>
        <w:fldChar w:fldCharType="begin"/>
      </w:r>
      <w:r w:rsidR="00E14BAA">
        <w:rPr>
          <w:lang w:val="en-US"/>
        </w:rPr>
        <w:instrText xml:space="preserve"> ADDIN ZOTERO_ITEM CSL_CITATION {"citationID":"s0DXkgFo","properties":{"formattedCitation":"[6]","plainCitation":"[6]","noteIndex":0},"citationItems":[{"id":145,"uris":["http://zotero.org/users/16907682/items/57HBYCXC"],"itemData":{"id":145,"type":"article-journal","abstract":"Sequence variation observed in populations of pathogens can be used for important public health and evolutionary genomic analyses, especially outbreak analysis and transmission reconstruction. Identifying this variation is typically achieved by aligning sequence reads to a reference genome, but this approach is susceptible to reference biases and requires careful filtering of called genotypes. There is a need for tools that can process this growing volume of bacterial genome data, providing rapid results, but that remain simple so they can be used without highly trained bioinformaticians, expensive data analysis, and long-term storage and processing of large files. Here we describe split k-mer analysis (SKA2), a method that supports both reference-free and reference-based mapping to quickly and accurately genotype populations of bacteria using sequencing reads or genome assemblies. SKA2 is highly accurate for closely related samples, and in outbreak simulations, we show superior variant recall compared with reference-based methods, with no false positives. SKA2 can also accurately map variants to a reference and be used with recombination detection methods to rapidly reconstruct vertical evolutionary history. SKA2 is many times faster than comparable methods and can be used to add new genomes to an existing call set, allowing sequential use without the need to reanalyze entire collections. With an inherent absence of reference bias, high accuracy, and a robust implementation, SKA2 has the potential to become the tool of choice for genotyping bacteria. SKA2 is implemented in Rust and is freely available as open-source software.","container-title":"Genome Research","DOI":"10.1101/gr.279449.124","ISSN":"1088-9051, 1549-5469","issue":"10","journalAbbreviation":"Genome Res.","language":"en","note":"Company: Cold Spring Harbor Laboratory Press\nDistributor: Cold Spring Harbor Laboratory Press\nInstitution: Cold Spring Harbor Laboratory Press\nLabel: Cold Spring Harbor Laboratory Press\npublisher: Cold Spring Harbor Lab\nPMID: 39406504","page":"1661-1673","source":"genome.cshlp.org","title":"Seamless, rapid, and accurate analyses of outbreak genomic data using split k-mer analysis","volume":"34","author":[{"family":"Derelle","given":"Romain"},{"family":"Wachsmann","given":"Johanna","dropping-particle":"von"},{"family":"Mäklin","given":"Tommi"},{"family":"Hellewell","given":"Joel"},{"family":"Russell","given":"Timothy"},{"family":"Lalvani","given":"Ajit"},{"family":"Chindelevitch","given":"Leonid"},{"family":"Croucher","given":"Nicholas J."},{"family":"Harris","given":"Simon R."},{"family":"Lees","given":"John A."}],"issued":{"date-parts":[["2024",10,1]]}}}],"schema":"https://github.com/citation-style-language/schema/raw/master/csl-citation.json"} </w:instrText>
      </w:r>
      <w:r w:rsidR="00E14BAA">
        <w:rPr>
          <w:lang w:val="en-US"/>
        </w:rPr>
        <w:fldChar w:fldCharType="separate"/>
      </w:r>
      <w:r w:rsidR="00E14BAA">
        <w:rPr>
          <w:noProof/>
          <w:lang w:val="en-US"/>
        </w:rPr>
        <w:t>[6]</w:t>
      </w:r>
      <w:r w:rsidR="00E14BAA">
        <w:rPr>
          <w:lang w:val="en-US"/>
        </w:rPr>
        <w:fldChar w:fldCharType="end"/>
      </w:r>
      <w:r w:rsidRPr="00795DA5">
        <w:rPr>
          <w:lang w:val="en-US"/>
        </w:rPr>
        <w:t xml:space="preserve"> using ska build --min-count 4 --threads 4 --min-qual 20 -k 31 --qual-filter strict and ska distance --filter-ambiguous. The heatmap plot was generated with </w:t>
      </w:r>
      <w:proofErr w:type="spellStart"/>
      <w:r w:rsidRPr="00795DA5">
        <w:rPr>
          <w:lang w:val="en-US"/>
        </w:rPr>
        <w:t>ComplexHeatmap</w:t>
      </w:r>
      <w:proofErr w:type="spellEnd"/>
      <w:r w:rsidR="005562FD" w:rsidRPr="00795DA5">
        <w:rPr>
          <w:lang w:val="en-US"/>
        </w:rPr>
        <w:t xml:space="preserve"> </w:t>
      </w:r>
      <w:r w:rsidR="005562FD" w:rsidRPr="00795DA5">
        <w:fldChar w:fldCharType="begin"/>
      </w:r>
      <w:r w:rsidR="00E14BAA">
        <w:instrText xml:space="preserve"> ADDIN ZOTERO_ITEM CSL_CITATION {"citationID":"hiZlVMdg","properties":{"formattedCitation":"[5]","plainCitation":"[5]","noteIndex":0},"citationItems":[{"id":90,"uris":["http://zotero.org/users/local/DhX1jpPM/items/PJKZYZW7","http://zotero.org/users/16907682/items/PJKZYZW7"],"itemData":{"id":90,"type":"article-journal","abstract":"Parallel heatmaps with carefully designed annotation graphics are powerful for efficient visualization of patterns and relationships among high dimensional genomic data. Here we present the ComplexHeatmap package that provides rich functionalities for customizing heatmaps, arranging multiple parallel heatmaps and including user-defined annotation graphics. We demonstrate the power of ComplexHeatmap to easily reveal patterns and correlations among multiple sources of information with four real-world datasets.\nAVAILABILITY AND IMPLEMENTATION: The ComplexHeatmap package and documentation are freely available from the Bioconductor project: http://www.bioconductor.org/packages/devel/bioc/html/ComplexHeatmap.html\nCONTACT: m.schlesner@dkfz.de\nSUPPLEMENTARY INFORMATION: Supplementary data are available at Bioinformatics online.","container-title":"Bioinformatics (Oxford, England)","DOI":"10.1093/bioinformatics/btw313","ISSN":"1367-4811","issue":"18","journalAbbreviation":"Bioinformatics","language":"eng","note":"PMID: 27207943","page":"2847-2849","source":"PubMed","title":"Complex heatmaps reveal patterns and correlations in multidimensional genomic data","volume":"32","author":[{"family":"Gu","given":"Zuguang"},{"family":"Eils","given":"Roland"},{"family":"Schlesner","given":"Matthias"}],"issued":{"date-parts":[["2016",9,15]]}}}],"schema":"https://github.com/citation-style-language/schema/raw/master/csl-citation.json"} </w:instrText>
      </w:r>
      <w:r w:rsidR="005562FD" w:rsidRPr="00795DA5">
        <w:fldChar w:fldCharType="separate"/>
      </w:r>
      <w:r w:rsidR="00E14BAA">
        <w:rPr>
          <w:noProof/>
          <w:lang w:val="en-US"/>
        </w:rPr>
        <w:t>[5]</w:t>
      </w:r>
      <w:r w:rsidR="005562FD" w:rsidRPr="00795DA5">
        <w:fldChar w:fldCharType="end"/>
      </w:r>
      <w:r w:rsidR="00B64505" w:rsidRPr="00795DA5">
        <w:rPr>
          <w:lang w:val="en-US"/>
        </w:rPr>
        <w:t xml:space="preserve"> using default distance (“Euclidean”) and hierarchical clustering method (“complete")</w:t>
      </w:r>
      <w:r w:rsidR="005562FD" w:rsidRPr="00795DA5">
        <w:rPr>
          <w:lang w:val="en-US"/>
        </w:rPr>
        <w:t>.</w:t>
      </w:r>
    </w:p>
    <w:p w14:paraId="7A60A2F5" w14:textId="77777777" w:rsidR="000F6507" w:rsidRDefault="000F6507" w:rsidP="00D238E4">
      <w:pPr>
        <w:adjustRightInd w:val="0"/>
        <w:snapToGrid w:val="0"/>
        <w:spacing w:line="480" w:lineRule="auto"/>
      </w:pPr>
    </w:p>
    <w:p w14:paraId="579A7FF8" w14:textId="0F256CC9" w:rsidR="00C26F3B" w:rsidRPr="00C26F3B" w:rsidRDefault="00C26F3B" w:rsidP="00D238E4">
      <w:pPr>
        <w:adjustRightInd w:val="0"/>
        <w:snapToGrid w:val="0"/>
        <w:spacing w:line="480" w:lineRule="auto"/>
        <w:rPr>
          <w:b/>
          <w:bCs/>
          <w:sz w:val="26"/>
          <w:szCs w:val="26"/>
        </w:rPr>
      </w:pPr>
      <w:r w:rsidRPr="00C26F3B">
        <w:rPr>
          <w:b/>
          <w:bCs/>
          <w:sz w:val="26"/>
          <w:szCs w:val="26"/>
        </w:rPr>
        <w:lastRenderedPageBreak/>
        <w:t>Software versions</w:t>
      </w:r>
    </w:p>
    <w:p w14:paraId="369141F5" w14:textId="77777777" w:rsidR="00C26F3B" w:rsidRDefault="00C26F3B" w:rsidP="00C26F3B">
      <w:pPr>
        <w:adjustRightInd w:val="0"/>
        <w:snapToGrid w:val="0"/>
        <w:spacing w:line="480" w:lineRule="auto"/>
        <w:rPr>
          <w:lang w:val="en-US"/>
        </w:rPr>
      </w:pPr>
    </w:p>
    <w:p w14:paraId="6D1DF166" w14:textId="1CCEB4B3" w:rsidR="00C26F3B" w:rsidRPr="00750049" w:rsidRDefault="00C26F3B" w:rsidP="00C26F3B">
      <w:pPr>
        <w:adjustRightInd w:val="0"/>
        <w:snapToGrid w:val="0"/>
        <w:spacing w:line="480" w:lineRule="auto"/>
        <w:rPr>
          <w:rFonts w:eastAsia="Arial"/>
          <w:lang w:val="en-US"/>
        </w:rPr>
      </w:pPr>
      <w:r w:rsidRPr="00750049">
        <w:rPr>
          <w:lang w:val="en-US"/>
        </w:rPr>
        <w:t xml:space="preserve">The following software versions were used for this manuscript: CZ ID </w:t>
      </w:r>
      <w:proofErr w:type="spellStart"/>
      <w:r w:rsidRPr="00750049">
        <w:rPr>
          <w:lang w:val="en-US"/>
        </w:rPr>
        <w:t>mNGS</w:t>
      </w:r>
      <w:proofErr w:type="spellEnd"/>
      <w:r w:rsidRPr="00750049">
        <w:rPr>
          <w:lang w:val="en-US"/>
        </w:rPr>
        <w:t xml:space="preserve"> workflow version 8.2.5, CZ ID AMR workflow version 1.4.2 based on CARD RGI version 6.0.3, CARD database versions 3.2.6 and the CARD Resistomes, Variants &amp; Prevalence database: 4.0.0</w:t>
      </w:r>
      <w:r>
        <w:rPr>
          <w:lang w:val="en-US"/>
        </w:rPr>
        <w:t xml:space="preserve"> </w:t>
      </w:r>
      <w:r>
        <w:rPr>
          <w:lang w:val="en-US"/>
        </w:rPr>
        <w:fldChar w:fldCharType="begin"/>
      </w:r>
      <w:r>
        <w:rPr>
          <w:lang w:val="en-US"/>
        </w:rPr>
        <w:instrText xml:space="preserve"> ADDIN ZOTERO_ITEM CSL_CITATION {"citationID":"ObUyM3yw","properties":{"formattedCitation":"[7]","plainCitation":"[7]","noteIndex":0},"citationItems":[{"id":148,"uris":["http://zotero.org/users/16907682/items/VB7A2QXV"],"itemData":{"id":148,"type":"article-journal","abstract":"The Comprehensive Antibiotic Resistance Database (CARD; card.mcmaster.ca) combines the Antibiotic Resistance Ontology (ARO) with curated AMR gene (ARG) sequences and resistance-conferring mutations to provide an informatics framework for annotation and interpretation of resistomes. As of version 3.2.4, CARD encompasses 6627 ontology terms, 5010 reference sequences, 1933 mutations, 3004 publications, and 5057 AMR detection models that can be used by the accompanying Resistance Gene Identifier (RGI) software to annotate genomic or metagenomic sequences. Focused curation enhancements since 2020 include expanded β-lactamase curation, incorporation of likelihood-based AMR mutations for Mycobacterium tuberculosis, addition of disinfectants and antiseptics plus their associated ARGs, and systematic curation of resistance-modifying agents. This expanded curation includes 180 new AMR gene families, 15 new drug classes, 1 new resistance mechanism, and two new ontological relationships: evolutionary_variant_of and is_small_molecule_inhibitor. In silico prediction of resistomes and prevalence statistics of ARGs has been expanded to 377 pathogens, 21,079 chromosomes, 2,662 genomic islands, 41,828 plasmids and 155,606 whole-genome shotgun assemblies, resulting in collation of 322,710 unique ARG allele sequences. New features include the CARD:Live collection of community submitted isolate resistome data and the introduction of standardized 15 character CARD Short Names for ARGs to support machine learning efforts.","container-title":"Nucleic Acids Research","DOI":"10.1093/nar/gkac920","ISSN":"1362-4962","issue":"D1","journalAbbreviation":"Nucleic Acids Res","language":"eng","note":"PMID: 36263822\nPMCID: PMC9825576","page":"D690-D699","source":"PubMed","title":"CARD 2023: expanded curation, support for machine learning, and resistome prediction at the Comprehensive Antibiotic Resistance Database","title-short":"CARD 2023","volume":"51","author":[{"family":"Alcock","given":"Brian P."},{"family":"Huynh","given":"William"},{"family":"Chalil","given":"Romeo"},{"family":"Smith","given":"Keaton W."},{"family":"Raphenya","given":"Amogelang R."},{"family":"Wlodarski","given":"Mateusz A."},{"family":"Edalatmand","given":"Arman"},{"family":"Petkau","given":"Aaron"},{"family":"Syed","given":"Sohaib A."},{"family":"Tsang","given":"Kara K."},{"family":"Baker","given":"Sheridan J. C."},{"family":"Dave","given":"Mugdha"},{"family":"McCarthy","given":"Madeline C."},{"family":"Mukiri","given":"Karyn M."},{"family":"Nasir","given":"Jalees A."},{"family":"Golbon","given":"Bahar"},{"family":"Imtiaz","given":"Hamna"},{"family":"Jiang","given":"Xingjian"},{"family":"Kaur","given":"Komal"},{"family":"Kwong","given":"Megan"},{"family":"Liang","given":"Zi Cheng"},{"family":"Niu","given":"Keyu C."},{"family":"Shan","given":"Prabakar"},{"family":"Yang","given":"Jasmine Y. J."},{"family":"Gray","given":"Kristen L."},{"family":"Hoad","given":"Gemma R."},{"family":"Jia","given":"Baofeng"},{"family":"Bhando","given":"Timsy"},{"family":"Carfrae","given":"Lindsey A."},{"family":"Farha","given":"Maya A."},{"family":"French","given":"Shawn"},{"family":"Gordzevich","given":"Rodion"},{"family":"Rachwalski","given":"Kenneth"},{"family":"Tu","given":"Megan M."},{"family":"Bordeleau","given":"Emily"},{"family":"Dooley","given":"Damion"},{"family":"Griffiths","given":"Emma"},{"family":"Zubyk","given":"Haley L."},{"family":"Brown","given":"Eric D."},{"family":"Maguire","given":"Finlay"},{"family":"Beiko","given":"Robert G."},{"family":"Hsiao","given":"William W. L."},{"family":"Brinkman","given":"Fiona S. L."},{"family":"Van Domselaar","given":"Gary"},{"family":"McArthur","given":"Andrew G."}],"issued":{"date-parts":[["2023",1,6]]}}}],"schema":"https://github.com/citation-style-language/schema/raw/master/csl-citation.json"} </w:instrText>
      </w:r>
      <w:r>
        <w:rPr>
          <w:lang w:val="en-US"/>
        </w:rPr>
        <w:fldChar w:fldCharType="separate"/>
      </w:r>
      <w:r>
        <w:rPr>
          <w:noProof/>
          <w:lang w:val="en-US"/>
        </w:rPr>
        <w:t>[7]</w:t>
      </w:r>
      <w:r>
        <w:rPr>
          <w:lang w:val="en-US"/>
        </w:rPr>
        <w:fldChar w:fldCharType="end"/>
      </w:r>
      <w:r w:rsidRPr="00750049">
        <w:rPr>
          <w:lang w:val="en-US"/>
        </w:rPr>
        <w:t>. SKA2 version 0.3.2</w:t>
      </w:r>
      <w:r>
        <w:rPr>
          <w:lang w:val="en-US"/>
        </w:rPr>
        <w:t xml:space="preserve"> </w:t>
      </w:r>
      <w:r>
        <w:rPr>
          <w:lang w:val="en-US"/>
        </w:rPr>
        <w:fldChar w:fldCharType="begin"/>
      </w:r>
      <w:r>
        <w:rPr>
          <w:lang w:val="en-US"/>
        </w:rPr>
        <w:instrText xml:space="preserve"> ADDIN ZOTERO_ITEM CSL_CITATION {"citationID":"g8IxsAze","properties":{"formattedCitation":"[6]","plainCitation":"[6]","noteIndex":0},"citationItems":[{"id":145,"uris":["http://zotero.org/users/16907682/items/57HBYCXC"],"itemData":{"id":145,"type":"article-journal","abstract":"Sequence variation observed in populations of pathogens can be used for important public health and evolutionary genomic analyses, especially outbreak analysis and transmission reconstruction. Identifying this variation is typically achieved by aligning sequence reads to a reference genome, but this approach is susceptible to reference biases and requires careful filtering of called genotypes. There is a need for tools that can process this growing volume of bacterial genome data, providing rapid results, but that remain simple so they can be used without highly trained bioinformaticians, expensive data analysis, and long-term storage and processing of large files. Here we describe split k-mer analysis (SKA2), a method that supports both reference-free and reference-based mapping to quickly and accurately genotype populations of bacteria using sequencing reads or genome assemblies. SKA2 is highly accurate for closely related samples, and in outbreak simulations, we show superior variant recall compared with reference-based methods, with no false positives. SKA2 can also accurately map variants to a reference and be used with recombination detection methods to rapidly reconstruct vertical evolutionary history. SKA2 is many times faster than comparable methods and can be used to add new genomes to an existing call set, allowing sequential use without the need to reanalyze entire collections. With an inherent absence of reference bias, high accuracy, and a robust implementation, SKA2 has the potential to become the tool of choice for genotyping bacteria. SKA2 is implemented in Rust and is freely available as open-source software.","container-title":"Genome Research","DOI":"10.1101/gr.279449.124","ISSN":"1088-9051, 1549-5469","issue":"10","journalAbbreviation":"Genome Res.","language":"en","note":"Company: Cold Spring Harbor Laboratory Press\nDistributor: Cold Spring Harbor Laboratory Press\nInstitution: Cold Spring Harbor Laboratory Press\nLabel: Cold Spring Harbor Laboratory Press\npublisher: Cold Spring Harbor Lab\nPMID: 39406504","page":"1661-1673","source":"genome.cshlp.org","title":"Seamless, rapid, and accurate analyses of outbreak genomic data using split k-mer analysis","volume":"34","author":[{"family":"Derelle","given":"Romain"},{"family":"Wachsmann","given":"Johanna","dropping-particle":"von"},{"family":"Mäklin","given":"Tommi"},{"family":"Hellewell","given":"Joel"},{"family":"Russell","given":"Timothy"},{"family":"Lalvani","given":"Ajit"},{"family":"Chindelevitch","given":"Leonid"},{"family":"Croucher","given":"Nicholas J."},{"family":"Harris","given":"Simon R."},{"family":"Lees","given":"John A."}],"issued":{"date-parts":[["2024",10,1]]}}}],"schema":"https://github.com/citation-style-language/schema/raw/master/csl-citation.json"} </w:instrText>
      </w:r>
      <w:r>
        <w:rPr>
          <w:lang w:val="en-US"/>
        </w:rPr>
        <w:fldChar w:fldCharType="separate"/>
      </w:r>
      <w:r>
        <w:rPr>
          <w:noProof/>
          <w:lang w:val="en-US"/>
        </w:rPr>
        <w:t>[6]</w:t>
      </w:r>
      <w:r>
        <w:rPr>
          <w:lang w:val="en-US"/>
        </w:rPr>
        <w:fldChar w:fldCharType="end"/>
      </w:r>
      <w:r w:rsidRPr="00750049">
        <w:rPr>
          <w:lang w:val="en-US"/>
        </w:rPr>
        <w:t>.</w:t>
      </w:r>
    </w:p>
    <w:p w14:paraId="6C825FCE" w14:textId="77777777" w:rsidR="00C26F3B" w:rsidRPr="00795DA5" w:rsidRDefault="00C26F3B" w:rsidP="00D238E4">
      <w:pPr>
        <w:adjustRightInd w:val="0"/>
        <w:snapToGrid w:val="0"/>
        <w:spacing w:line="480" w:lineRule="auto"/>
      </w:pPr>
    </w:p>
    <w:p w14:paraId="3DE434B3" w14:textId="6683F00D" w:rsidR="00F36A1A" w:rsidRPr="00795DA5" w:rsidRDefault="00134277" w:rsidP="0679AEE6">
      <w:pPr>
        <w:adjustRightInd w:val="0"/>
        <w:snapToGrid w:val="0"/>
        <w:spacing w:line="480" w:lineRule="auto"/>
      </w:pPr>
      <w:r>
        <w:rPr>
          <w:noProof/>
        </w:rPr>
        <w:lastRenderedPageBreak/>
        <w:drawing>
          <wp:inline distT="0" distB="0" distL="0" distR="0" wp14:anchorId="45DCB805" wp14:editId="354F52FE">
            <wp:extent cx="5614045" cy="6511460"/>
            <wp:effectExtent l="0" t="0" r="0" b="3810"/>
            <wp:docPr id="2112148857" name="Picture 2112148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35628" cy="6536493"/>
                    </a:xfrm>
                    <a:prstGeom prst="rect">
                      <a:avLst/>
                    </a:prstGeom>
                  </pic:spPr>
                </pic:pic>
              </a:graphicData>
            </a:graphic>
          </wp:inline>
        </w:drawing>
      </w:r>
    </w:p>
    <w:p w14:paraId="76C68DA5" w14:textId="37E49AF0" w:rsidR="00F36A1A" w:rsidRPr="00795DA5" w:rsidRDefault="00000000" w:rsidP="00D238E4">
      <w:pPr>
        <w:adjustRightInd w:val="0"/>
        <w:snapToGrid w:val="0"/>
        <w:spacing w:line="480" w:lineRule="auto"/>
        <w:rPr>
          <w:b/>
          <w:bCs/>
          <w:lang w:val="en-US"/>
        </w:rPr>
      </w:pPr>
      <w:r w:rsidRPr="00795DA5">
        <w:rPr>
          <w:b/>
          <w:bCs/>
          <w:lang w:val="en-US"/>
        </w:rPr>
        <w:t>Fig</w:t>
      </w:r>
      <w:r w:rsidR="00EE5D68">
        <w:rPr>
          <w:b/>
          <w:bCs/>
          <w:lang w:val="en-US"/>
        </w:rPr>
        <w:t>.</w:t>
      </w:r>
      <w:r w:rsidRPr="00795DA5">
        <w:rPr>
          <w:b/>
          <w:bCs/>
          <w:lang w:val="en-US"/>
        </w:rPr>
        <w:t xml:space="preserve"> S1. Detailed flow diagram highlighting the integrated AMR and mNGS modules</w:t>
      </w:r>
      <w:r w:rsidR="009A67F2" w:rsidRPr="00795DA5">
        <w:rPr>
          <w:b/>
          <w:bCs/>
          <w:lang w:val="en-US"/>
        </w:rPr>
        <w:t xml:space="preserve"> </w:t>
      </w:r>
      <w:r w:rsidRPr="00795DA5">
        <w:rPr>
          <w:b/>
          <w:bCs/>
          <w:lang w:val="en-US"/>
        </w:rPr>
        <w:t xml:space="preserve">within the CZ </w:t>
      </w:r>
      <w:r w:rsidRPr="001A7FB2">
        <w:rPr>
          <w:b/>
          <w:bCs/>
          <w:lang w:val="en-US"/>
        </w:rPr>
        <w:t xml:space="preserve">ID </w:t>
      </w:r>
      <w:r w:rsidR="008966ED" w:rsidRPr="001A7FB2">
        <w:rPr>
          <w:b/>
          <w:bCs/>
          <w:lang w:val="en-US"/>
        </w:rPr>
        <w:t>workflow</w:t>
      </w:r>
      <w:r w:rsidRPr="001A7FB2">
        <w:rPr>
          <w:b/>
          <w:bCs/>
          <w:lang w:val="en-US"/>
        </w:rPr>
        <w:t>.</w:t>
      </w:r>
    </w:p>
    <w:p w14:paraId="3A34E2E3" w14:textId="77777777" w:rsidR="00F36A1A" w:rsidRPr="00795DA5" w:rsidRDefault="00F36A1A" w:rsidP="00D238E4">
      <w:pPr>
        <w:adjustRightInd w:val="0"/>
        <w:snapToGrid w:val="0"/>
        <w:spacing w:line="480" w:lineRule="auto"/>
      </w:pPr>
    </w:p>
    <w:p w14:paraId="19F0E02E" w14:textId="77777777" w:rsidR="00F36A1A" w:rsidRPr="00795DA5" w:rsidRDefault="00000000" w:rsidP="00D238E4">
      <w:pPr>
        <w:pStyle w:val="Heading3"/>
        <w:adjustRightInd w:val="0"/>
        <w:snapToGrid w:val="0"/>
        <w:spacing w:before="0" w:after="0" w:line="480" w:lineRule="auto"/>
        <w:rPr>
          <w:b/>
          <w:color w:val="auto"/>
          <w:sz w:val="22"/>
          <w:szCs w:val="22"/>
        </w:rPr>
      </w:pPr>
      <w:bookmarkStart w:id="1" w:name="_n2wfzsf9fbg2" w:colFirst="0" w:colLast="0"/>
      <w:bookmarkEnd w:id="1"/>
      <w:r w:rsidRPr="00795DA5">
        <w:rPr>
          <w:b/>
          <w:color w:val="auto"/>
          <w:sz w:val="22"/>
          <w:szCs w:val="22"/>
        </w:rPr>
        <w:lastRenderedPageBreak/>
        <w:t>References:</w:t>
      </w:r>
    </w:p>
    <w:p w14:paraId="5BAB6FB6" w14:textId="77777777" w:rsidR="00C26F3B" w:rsidRPr="00C26F3B" w:rsidRDefault="001E1E71" w:rsidP="00C26F3B">
      <w:pPr>
        <w:pStyle w:val="Bibliography"/>
      </w:pPr>
      <w:r w:rsidRPr="00795DA5">
        <w:fldChar w:fldCharType="begin"/>
      </w:r>
      <w:r w:rsidR="00E14BAA">
        <w:instrText xml:space="preserve"> ADDIN ZOTERO_BIBL {"uncited":[],"omitted":[],"custom":[]} CSL_BIBLIOGRAPHY </w:instrText>
      </w:r>
      <w:r w:rsidRPr="00795DA5">
        <w:fldChar w:fldCharType="separate"/>
      </w:r>
      <w:r w:rsidR="00C26F3B" w:rsidRPr="00C26F3B">
        <w:t xml:space="preserve">1. Crawford E, Kamm J, Miller S, Li LM, Caldera S, Lyden A, et al. Investigating Transfusion-related Sepsis Using Culture-Independent Metagenomic Sequencing. Clin Infect Dis. </w:t>
      </w:r>
      <w:proofErr w:type="gramStart"/>
      <w:r w:rsidR="00C26F3B" w:rsidRPr="00C26F3B">
        <w:t>2020;71:1179</w:t>
      </w:r>
      <w:proofErr w:type="gramEnd"/>
      <w:r w:rsidR="00C26F3B" w:rsidRPr="00C26F3B">
        <w:t xml:space="preserve">–85. </w:t>
      </w:r>
    </w:p>
    <w:p w14:paraId="5AE97487" w14:textId="77777777" w:rsidR="00C26F3B" w:rsidRPr="00C26F3B" w:rsidRDefault="00C26F3B" w:rsidP="00C26F3B">
      <w:pPr>
        <w:pStyle w:val="Bibliography"/>
      </w:pPr>
      <w:r w:rsidRPr="00C26F3B">
        <w:t xml:space="preserve">2. </w:t>
      </w:r>
      <w:proofErr w:type="spellStart"/>
      <w:r w:rsidRPr="00C26F3B">
        <w:t>Tsitsiklis</w:t>
      </w:r>
      <w:proofErr w:type="spellEnd"/>
      <w:r w:rsidRPr="00C26F3B">
        <w:t xml:space="preserve"> A, Osborne CM, Kamm J, Williamson K, Kalantar K, Dudas G, et al. Lower respiratory tract infections in children requiring mechanical ventilation: a </w:t>
      </w:r>
      <w:proofErr w:type="spellStart"/>
      <w:r w:rsidRPr="00C26F3B">
        <w:t>multicentre</w:t>
      </w:r>
      <w:proofErr w:type="spellEnd"/>
      <w:r w:rsidRPr="00C26F3B">
        <w:t xml:space="preserve"> prospective surveillance study incorporating airway metagenomics. Lancet Microbe. 2022;</w:t>
      </w:r>
      <w:proofErr w:type="gramStart"/>
      <w:r w:rsidRPr="00C26F3B">
        <w:t>3:e</w:t>
      </w:r>
      <w:proofErr w:type="gramEnd"/>
      <w:r w:rsidRPr="00C26F3B">
        <w:t xml:space="preserve">284–93. </w:t>
      </w:r>
    </w:p>
    <w:p w14:paraId="49284FF6" w14:textId="77777777" w:rsidR="00C26F3B" w:rsidRPr="00C26F3B" w:rsidRDefault="00C26F3B" w:rsidP="00C26F3B">
      <w:pPr>
        <w:pStyle w:val="Bibliography"/>
      </w:pPr>
      <w:r w:rsidRPr="00C26F3B">
        <w:t xml:space="preserve">3. Wickham H, Averick M, Bryan J, Chang W, McGowan LD, François R, et al. Welcome to the </w:t>
      </w:r>
      <w:proofErr w:type="spellStart"/>
      <w:r w:rsidRPr="00C26F3B">
        <w:t>Tidyverse</w:t>
      </w:r>
      <w:proofErr w:type="spellEnd"/>
      <w:r w:rsidRPr="00C26F3B">
        <w:t xml:space="preserve">. Journal of </w:t>
      </w:r>
      <w:proofErr w:type="gramStart"/>
      <w:r w:rsidRPr="00C26F3B">
        <w:t>Open Source</w:t>
      </w:r>
      <w:proofErr w:type="gramEnd"/>
      <w:r w:rsidRPr="00C26F3B">
        <w:t xml:space="preserve"> Software. </w:t>
      </w:r>
      <w:proofErr w:type="gramStart"/>
      <w:r w:rsidRPr="00C26F3B">
        <w:t>2019;4:1686</w:t>
      </w:r>
      <w:proofErr w:type="gramEnd"/>
      <w:r w:rsidRPr="00C26F3B">
        <w:t xml:space="preserve">. </w:t>
      </w:r>
    </w:p>
    <w:p w14:paraId="2A905FF1" w14:textId="77777777" w:rsidR="00C26F3B" w:rsidRPr="00C26F3B" w:rsidRDefault="00C26F3B" w:rsidP="00C26F3B">
      <w:pPr>
        <w:pStyle w:val="Bibliography"/>
      </w:pPr>
      <w:r w:rsidRPr="00C26F3B">
        <w:t>4. Thomas Lin Pedersen. patchwork: The Composer of Plots. R package version 1209000, https://github.com/thomasp85/patchwork [Internet]. 2024; Available from: https://patchwork.data-imaginist.com</w:t>
      </w:r>
    </w:p>
    <w:p w14:paraId="7FBD76A4" w14:textId="77777777" w:rsidR="00C26F3B" w:rsidRPr="00C26F3B" w:rsidRDefault="00C26F3B" w:rsidP="00C26F3B">
      <w:pPr>
        <w:pStyle w:val="Bibliography"/>
      </w:pPr>
      <w:r w:rsidRPr="00C26F3B">
        <w:t xml:space="preserve">5. Gu Z, </w:t>
      </w:r>
      <w:proofErr w:type="spellStart"/>
      <w:r w:rsidRPr="00C26F3B">
        <w:t>Eils</w:t>
      </w:r>
      <w:proofErr w:type="spellEnd"/>
      <w:r w:rsidRPr="00C26F3B">
        <w:t xml:space="preserve"> R, Schlesner M. Complex heatmaps reveal patterns and correlations in multidimensional genomic data. Bioinformatics. </w:t>
      </w:r>
      <w:proofErr w:type="gramStart"/>
      <w:r w:rsidRPr="00C26F3B">
        <w:t>2016;32:2847</w:t>
      </w:r>
      <w:proofErr w:type="gramEnd"/>
      <w:r w:rsidRPr="00C26F3B">
        <w:t xml:space="preserve">–9. </w:t>
      </w:r>
    </w:p>
    <w:p w14:paraId="227D6678" w14:textId="77777777" w:rsidR="00C26F3B" w:rsidRPr="00C26F3B" w:rsidRDefault="00C26F3B" w:rsidP="00C26F3B">
      <w:pPr>
        <w:pStyle w:val="Bibliography"/>
      </w:pPr>
      <w:r w:rsidRPr="00C26F3B">
        <w:t xml:space="preserve">6. Derelle R, Wachsmann J von, </w:t>
      </w:r>
      <w:proofErr w:type="spellStart"/>
      <w:r w:rsidRPr="00C26F3B">
        <w:t>Mäklin</w:t>
      </w:r>
      <w:proofErr w:type="spellEnd"/>
      <w:r w:rsidRPr="00C26F3B">
        <w:t xml:space="preserve"> T, Hellewell J, Russell T, </w:t>
      </w:r>
      <w:proofErr w:type="spellStart"/>
      <w:r w:rsidRPr="00C26F3B">
        <w:t>Lalvani</w:t>
      </w:r>
      <w:proofErr w:type="spellEnd"/>
      <w:r w:rsidRPr="00C26F3B">
        <w:t xml:space="preserve"> A, et al. Seamless, rapid, and accurate analyses of outbreak genomic data using split k-</w:t>
      </w:r>
      <w:proofErr w:type="spellStart"/>
      <w:r w:rsidRPr="00C26F3B">
        <w:t>mer</w:t>
      </w:r>
      <w:proofErr w:type="spellEnd"/>
      <w:r w:rsidRPr="00C26F3B">
        <w:t xml:space="preserve"> analysis. Genome Res. </w:t>
      </w:r>
      <w:proofErr w:type="gramStart"/>
      <w:r w:rsidRPr="00C26F3B">
        <w:t>2024;34:1661</w:t>
      </w:r>
      <w:proofErr w:type="gramEnd"/>
      <w:r w:rsidRPr="00C26F3B">
        <w:t xml:space="preserve">–73. </w:t>
      </w:r>
    </w:p>
    <w:p w14:paraId="3FD0CADB" w14:textId="77777777" w:rsidR="00C26F3B" w:rsidRPr="00C26F3B" w:rsidRDefault="00C26F3B" w:rsidP="00C26F3B">
      <w:pPr>
        <w:pStyle w:val="Bibliography"/>
      </w:pPr>
      <w:r w:rsidRPr="00C26F3B">
        <w:t xml:space="preserve">7. Alcock BP, Huynh W, Chalil R, Smith KW, </w:t>
      </w:r>
      <w:proofErr w:type="spellStart"/>
      <w:r w:rsidRPr="00C26F3B">
        <w:t>Raphenya</w:t>
      </w:r>
      <w:proofErr w:type="spellEnd"/>
      <w:r w:rsidRPr="00C26F3B">
        <w:t xml:space="preserve"> AR, Wlodarski MA, et al. CARD 2023: expanded curation, support for machine learning, and </w:t>
      </w:r>
      <w:proofErr w:type="spellStart"/>
      <w:r w:rsidRPr="00C26F3B">
        <w:t>resistome</w:t>
      </w:r>
      <w:proofErr w:type="spellEnd"/>
      <w:r w:rsidRPr="00C26F3B">
        <w:t xml:space="preserve"> prediction at the Comprehensive Antibiotic Resistance Database. Nucleic Acids Res. 2023;</w:t>
      </w:r>
      <w:proofErr w:type="gramStart"/>
      <w:r w:rsidRPr="00C26F3B">
        <w:t>51:D</w:t>
      </w:r>
      <w:proofErr w:type="gramEnd"/>
      <w:r w:rsidRPr="00C26F3B">
        <w:t xml:space="preserve">690–9. </w:t>
      </w:r>
    </w:p>
    <w:p w14:paraId="38C20DF1" w14:textId="1BE0078C" w:rsidR="00F36A1A" w:rsidRPr="00795DA5" w:rsidRDefault="001E1E71" w:rsidP="00D238E4">
      <w:pPr>
        <w:pStyle w:val="Bibliography"/>
        <w:adjustRightInd w:val="0"/>
        <w:snapToGrid w:val="0"/>
        <w:spacing w:after="0" w:line="480" w:lineRule="auto"/>
      </w:pPr>
      <w:r w:rsidRPr="00795DA5">
        <w:fldChar w:fldCharType="end"/>
      </w:r>
    </w:p>
    <w:sectPr w:rsidR="00F36A1A" w:rsidRPr="00795DA5">
      <w:headerReference w:type="default" r:id="rId10"/>
      <w:pgSz w:w="12240" w:h="15840"/>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81566" w14:textId="77777777" w:rsidR="005F1090" w:rsidRDefault="005F1090">
      <w:pPr>
        <w:spacing w:line="240" w:lineRule="auto"/>
      </w:pPr>
      <w:r>
        <w:separator/>
      </w:r>
    </w:p>
  </w:endnote>
  <w:endnote w:type="continuationSeparator" w:id="0">
    <w:p w14:paraId="0CACA8FF" w14:textId="77777777" w:rsidR="005F1090" w:rsidRDefault="005F10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31C0C" w14:textId="77777777" w:rsidR="005F1090" w:rsidRDefault="005F1090">
      <w:pPr>
        <w:spacing w:line="240" w:lineRule="auto"/>
      </w:pPr>
      <w:r>
        <w:separator/>
      </w:r>
    </w:p>
  </w:footnote>
  <w:footnote w:type="continuationSeparator" w:id="0">
    <w:p w14:paraId="3F4A0EE3" w14:textId="77777777" w:rsidR="005F1090" w:rsidRDefault="005F10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EE16" w14:textId="77777777" w:rsidR="00F36A1A" w:rsidRDefault="00F36A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436F4C"/>
    <w:multiLevelType w:val="multilevel"/>
    <w:tmpl w:val="2AC0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71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A1A"/>
    <w:rsid w:val="000068C0"/>
    <w:rsid w:val="00010DC4"/>
    <w:rsid w:val="00071D47"/>
    <w:rsid w:val="00081E7C"/>
    <w:rsid w:val="00087E03"/>
    <w:rsid w:val="00093863"/>
    <w:rsid w:val="000A2426"/>
    <w:rsid w:val="000D2570"/>
    <w:rsid w:val="000E0FB0"/>
    <w:rsid w:val="000E44C1"/>
    <w:rsid w:val="000F6507"/>
    <w:rsid w:val="001141E6"/>
    <w:rsid w:val="00134277"/>
    <w:rsid w:val="00166A9B"/>
    <w:rsid w:val="001769B5"/>
    <w:rsid w:val="00186102"/>
    <w:rsid w:val="00190D11"/>
    <w:rsid w:val="00190F76"/>
    <w:rsid w:val="001A7FB2"/>
    <w:rsid w:val="001E18A2"/>
    <w:rsid w:val="001E1E71"/>
    <w:rsid w:val="001E2DFD"/>
    <w:rsid w:val="001E59E3"/>
    <w:rsid w:val="001E68E8"/>
    <w:rsid w:val="001E95CD"/>
    <w:rsid w:val="002356A1"/>
    <w:rsid w:val="002654BC"/>
    <w:rsid w:val="00275153"/>
    <w:rsid w:val="002850EB"/>
    <w:rsid w:val="002A65A5"/>
    <w:rsid w:val="002C0AB7"/>
    <w:rsid w:val="002E04C5"/>
    <w:rsid w:val="002E3ABB"/>
    <w:rsid w:val="002E434C"/>
    <w:rsid w:val="002E6765"/>
    <w:rsid w:val="002E71E2"/>
    <w:rsid w:val="002F1E51"/>
    <w:rsid w:val="003320DD"/>
    <w:rsid w:val="00366EB2"/>
    <w:rsid w:val="003A5558"/>
    <w:rsid w:val="003B2B50"/>
    <w:rsid w:val="003C16F0"/>
    <w:rsid w:val="003C67E6"/>
    <w:rsid w:val="003C77C8"/>
    <w:rsid w:val="003D3044"/>
    <w:rsid w:val="003D5CF9"/>
    <w:rsid w:val="003F413A"/>
    <w:rsid w:val="00425700"/>
    <w:rsid w:val="0042BD48"/>
    <w:rsid w:val="0044342C"/>
    <w:rsid w:val="004534D2"/>
    <w:rsid w:val="0046177A"/>
    <w:rsid w:val="004C18CE"/>
    <w:rsid w:val="004E676D"/>
    <w:rsid w:val="005407A6"/>
    <w:rsid w:val="005562FD"/>
    <w:rsid w:val="00561834"/>
    <w:rsid w:val="0056789E"/>
    <w:rsid w:val="005837A4"/>
    <w:rsid w:val="00584572"/>
    <w:rsid w:val="00596C75"/>
    <w:rsid w:val="005A5527"/>
    <w:rsid w:val="005B426D"/>
    <w:rsid w:val="005D2CF3"/>
    <w:rsid w:val="005D6AE6"/>
    <w:rsid w:val="005F1090"/>
    <w:rsid w:val="00600F73"/>
    <w:rsid w:val="00627AF5"/>
    <w:rsid w:val="00630332"/>
    <w:rsid w:val="00640CFA"/>
    <w:rsid w:val="00697064"/>
    <w:rsid w:val="006B0490"/>
    <w:rsid w:val="006B6E7E"/>
    <w:rsid w:val="006D4354"/>
    <w:rsid w:val="006D79B8"/>
    <w:rsid w:val="006E6C79"/>
    <w:rsid w:val="007000C4"/>
    <w:rsid w:val="00705727"/>
    <w:rsid w:val="007575A7"/>
    <w:rsid w:val="007721F4"/>
    <w:rsid w:val="00773CD5"/>
    <w:rsid w:val="007818EE"/>
    <w:rsid w:val="00795DA5"/>
    <w:rsid w:val="007A2639"/>
    <w:rsid w:val="007B1575"/>
    <w:rsid w:val="007F325D"/>
    <w:rsid w:val="007F6168"/>
    <w:rsid w:val="00863425"/>
    <w:rsid w:val="00875BD4"/>
    <w:rsid w:val="00886EFC"/>
    <w:rsid w:val="0089450F"/>
    <w:rsid w:val="008966ED"/>
    <w:rsid w:val="008C3CE0"/>
    <w:rsid w:val="008E7BB6"/>
    <w:rsid w:val="008F3DAD"/>
    <w:rsid w:val="008F6747"/>
    <w:rsid w:val="00914F54"/>
    <w:rsid w:val="00924E2B"/>
    <w:rsid w:val="009270C3"/>
    <w:rsid w:val="00957137"/>
    <w:rsid w:val="009735A0"/>
    <w:rsid w:val="00981B11"/>
    <w:rsid w:val="00982D3B"/>
    <w:rsid w:val="00990708"/>
    <w:rsid w:val="00990F85"/>
    <w:rsid w:val="009A67F2"/>
    <w:rsid w:val="00A20C9E"/>
    <w:rsid w:val="00A54FED"/>
    <w:rsid w:val="00A76F29"/>
    <w:rsid w:val="00AA469F"/>
    <w:rsid w:val="00AB0934"/>
    <w:rsid w:val="00AD18DB"/>
    <w:rsid w:val="00AD686F"/>
    <w:rsid w:val="00B01384"/>
    <w:rsid w:val="00B0619A"/>
    <w:rsid w:val="00B13B1A"/>
    <w:rsid w:val="00B40644"/>
    <w:rsid w:val="00B40791"/>
    <w:rsid w:val="00B42E8E"/>
    <w:rsid w:val="00B64176"/>
    <w:rsid w:val="00B64505"/>
    <w:rsid w:val="00B74D76"/>
    <w:rsid w:val="00BA78DF"/>
    <w:rsid w:val="00BD51D6"/>
    <w:rsid w:val="00C10CEA"/>
    <w:rsid w:val="00C11D6B"/>
    <w:rsid w:val="00C22ABD"/>
    <w:rsid w:val="00C26F3B"/>
    <w:rsid w:val="00C274B9"/>
    <w:rsid w:val="00C517BA"/>
    <w:rsid w:val="00C84989"/>
    <w:rsid w:val="00CB248A"/>
    <w:rsid w:val="00CB4AEA"/>
    <w:rsid w:val="00CB679D"/>
    <w:rsid w:val="00CD7360"/>
    <w:rsid w:val="00D03ED9"/>
    <w:rsid w:val="00D23887"/>
    <w:rsid w:val="00D238E4"/>
    <w:rsid w:val="00D2597A"/>
    <w:rsid w:val="00D30C49"/>
    <w:rsid w:val="00D36DE9"/>
    <w:rsid w:val="00D41B08"/>
    <w:rsid w:val="00D65EB7"/>
    <w:rsid w:val="00DA36C8"/>
    <w:rsid w:val="00DA6489"/>
    <w:rsid w:val="00DC77E5"/>
    <w:rsid w:val="00DF30C0"/>
    <w:rsid w:val="00DF3385"/>
    <w:rsid w:val="00E14BAA"/>
    <w:rsid w:val="00E169AB"/>
    <w:rsid w:val="00E223AA"/>
    <w:rsid w:val="00E22EA1"/>
    <w:rsid w:val="00E24A53"/>
    <w:rsid w:val="00E63446"/>
    <w:rsid w:val="00E6570C"/>
    <w:rsid w:val="00E71FE5"/>
    <w:rsid w:val="00EC3037"/>
    <w:rsid w:val="00EC7A30"/>
    <w:rsid w:val="00EE5013"/>
    <w:rsid w:val="00EE5D68"/>
    <w:rsid w:val="00EF083C"/>
    <w:rsid w:val="00F106C1"/>
    <w:rsid w:val="00F11521"/>
    <w:rsid w:val="00F130F8"/>
    <w:rsid w:val="00F36A1A"/>
    <w:rsid w:val="00F57E58"/>
    <w:rsid w:val="00F62688"/>
    <w:rsid w:val="00F70C70"/>
    <w:rsid w:val="00F75DCE"/>
    <w:rsid w:val="00F776F9"/>
    <w:rsid w:val="00F83499"/>
    <w:rsid w:val="00F923BF"/>
    <w:rsid w:val="00FB0396"/>
    <w:rsid w:val="00FB8446"/>
    <w:rsid w:val="00FD0014"/>
    <w:rsid w:val="00FF427A"/>
    <w:rsid w:val="00FF6B12"/>
    <w:rsid w:val="017619E0"/>
    <w:rsid w:val="01BA39FB"/>
    <w:rsid w:val="01F178DC"/>
    <w:rsid w:val="0330DFF6"/>
    <w:rsid w:val="03BA5689"/>
    <w:rsid w:val="043421DE"/>
    <w:rsid w:val="04BA6A70"/>
    <w:rsid w:val="05094A84"/>
    <w:rsid w:val="059D9A79"/>
    <w:rsid w:val="060F8D31"/>
    <w:rsid w:val="0679AEE6"/>
    <w:rsid w:val="07811A9A"/>
    <w:rsid w:val="07B8FE96"/>
    <w:rsid w:val="07CD026A"/>
    <w:rsid w:val="08DACDFB"/>
    <w:rsid w:val="091AB725"/>
    <w:rsid w:val="09FE3CA5"/>
    <w:rsid w:val="0ADCB558"/>
    <w:rsid w:val="0B2806E3"/>
    <w:rsid w:val="0B3232B9"/>
    <w:rsid w:val="0BC90A4A"/>
    <w:rsid w:val="0C411265"/>
    <w:rsid w:val="0C90927E"/>
    <w:rsid w:val="0CA9B123"/>
    <w:rsid w:val="0D629718"/>
    <w:rsid w:val="0D7D42C1"/>
    <w:rsid w:val="0E1C1B0A"/>
    <w:rsid w:val="0E5FBA52"/>
    <w:rsid w:val="0EC0E08C"/>
    <w:rsid w:val="0FC2F168"/>
    <w:rsid w:val="0FE86013"/>
    <w:rsid w:val="107EE2EB"/>
    <w:rsid w:val="10D0CF5D"/>
    <w:rsid w:val="1307013F"/>
    <w:rsid w:val="146C204B"/>
    <w:rsid w:val="157F0B7E"/>
    <w:rsid w:val="15D98CBF"/>
    <w:rsid w:val="16EE3E6A"/>
    <w:rsid w:val="17097994"/>
    <w:rsid w:val="1760A273"/>
    <w:rsid w:val="19B0A788"/>
    <w:rsid w:val="19B2C9D7"/>
    <w:rsid w:val="19CB0EA8"/>
    <w:rsid w:val="1A826067"/>
    <w:rsid w:val="1B5B5CAE"/>
    <w:rsid w:val="1CDC173F"/>
    <w:rsid w:val="1DEBB7F6"/>
    <w:rsid w:val="1DFC3424"/>
    <w:rsid w:val="1E1D32D7"/>
    <w:rsid w:val="1E38C102"/>
    <w:rsid w:val="1E792264"/>
    <w:rsid w:val="1F2FD005"/>
    <w:rsid w:val="1F316E2C"/>
    <w:rsid w:val="229528CF"/>
    <w:rsid w:val="239D4B40"/>
    <w:rsid w:val="2431ECC8"/>
    <w:rsid w:val="2485B3D3"/>
    <w:rsid w:val="2587CCAA"/>
    <w:rsid w:val="259EBDE1"/>
    <w:rsid w:val="25E25A78"/>
    <w:rsid w:val="27429A00"/>
    <w:rsid w:val="291898CD"/>
    <w:rsid w:val="295D9323"/>
    <w:rsid w:val="2AFA113F"/>
    <w:rsid w:val="2B12660B"/>
    <w:rsid w:val="2B75BC26"/>
    <w:rsid w:val="2C9646E3"/>
    <w:rsid w:val="2E01F49E"/>
    <w:rsid w:val="2F8E10E7"/>
    <w:rsid w:val="2FCC7DEB"/>
    <w:rsid w:val="307106BA"/>
    <w:rsid w:val="315217F2"/>
    <w:rsid w:val="328E9B2C"/>
    <w:rsid w:val="32E1584C"/>
    <w:rsid w:val="32FFA595"/>
    <w:rsid w:val="333D360E"/>
    <w:rsid w:val="3499B9A1"/>
    <w:rsid w:val="34D6CE96"/>
    <w:rsid w:val="3575F781"/>
    <w:rsid w:val="3598BE04"/>
    <w:rsid w:val="35EC105C"/>
    <w:rsid w:val="36892CF0"/>
    <w:rsid w:val="369F6065"/>
    <w:rsid w:val="36ABCA8F"/>
    <w:rsid w:val="3791F0A2"/>
    <w:rsid w:val="39448861"/>
    <w:rsid w:val="39759C00"/>
    <w:rsid w:val="39BA905D"/>
    <w:rsid w:val="39E9E700"/>
    <w:rsid w:val="39F5144F"/>
    <w:rsid w:val="3ABC714D"/>
    <w:rsid w:val="3AF96EE5"/>
    <w:rsid w:val="3BA8A55D"/>
    <w:rsid w:val="3C300FC3"/>
    <w:rsid w:val="3DC035A0"/>
    <w:rsid w:val="3E10AD9F"/>
    <w:rsid w:val="3E6D7774"/>
    <w:rsid w:val="3E986675"/>
    <w:rsid w:val="3F9D967E"/>
    <w:rsid w:val="4047F390"/>
    <w:rsid w:val="42A47DE6"/>
    <w:rsid w:val="43BB0DBD"/>
    <w:rsid w:val="44C2B1C6"/>
    <w:rsid w:val="45577371"/>
    <w:rsid w:val="4557FA47"/>
    <w:rsid w:val="462697DD"/>
    <w:rsid w:val="46DC1D87"/>
    <w:rsid w:val="4759FE4A"/>
    <w:rsid w:val="47DF7037"/>
    <w:rsid w:val="47F6D941"/>
    <w:rsid w:val="4826A162"/>
    <w:rsid w:val="488621C0"/>
    <w:rsid w:val="48E6419B"/>
    <w:rsid w:val="49610219"/>
    <w:rsid w:val="4BF0E375"/>
    <w:rsid w:val="4C5C95A2"/>
    <w:rsid w:val="4C600F33"/>
    <w:rsid w:val="4C85516B"/>
    <w:rsid w:val="4D18F166"/>
    <w:rsid w:val="4D81F21D"/>
    <w:rsid w:val="4DB22521"/>
    <w:rsid w:val="4DC7727A"/>
    <w:rsid w:val="4DDDE82F"/>
    <w:rsid w:val="4E96E721"/>
    <w:rsid w:val="4EA46DF3"/>
    <w:rsid w:val="4F1F4FAD"/>
    <w:rsid w:val="501639C0"/>
    <w:rsid w:val="5132774E"/>
    <w:rsid w:val="51A4FE25"/>
    <w:rsid w:val="525B4316"/>
    <w:rsid w:val="52BF2B25"/>
    <w:rsid w:val="52CEA197"/>
    <w:rsid w:val="530B4C43"/>
    <w:rsid w:val="54153986"/>
    <w:rsid w:val="54F5A7A2"/>
    <w:rsid w:val="54FF67BC"/>
    <w:rsid w:val="55E70A69"/>
    <w:rsid w:val="57806B68"/>
    <w:rsid w:val="57962692"/>
    <w:rsid w:val="58305937"/>
    <w:rsid w:val="58B0A1BB"/>
    <w:rsid w:val="58C1C7DC"/>
    <w:rsid w:val="5953205E"/>
    <w:rsid w:val="59965C88"/>
    <w:rsid w:val="5A6E3C1D"/>
    <w:rsid w:val="5ACB3E47"/>
    <w:rsid w:val="5AFD41B6"/>
    <w:rsid w:val="5B4AFFB1"/>
    <w:rsid w:val="5BEF9635"/>
    <w:rsid w:val="5C1F0FB3"/>
    <w:rsid w:val="5C50069A"/>
    <w:rsid w:val="5C51D416"/>
    <w:rsid w:val="5C8381AA"/>
    <w:rsid w:val="5CBADF85"/>
    <w:rsid w:val="5CBE3166"/>
    <w:rsid w:val="5CC0CDA9"/>
    <w:rsid w:val="5CC20C83"/>
    <w:rsid w:val="5D165257"/>
    <w:rsid w:val="5D787A6A"/>
    <w:rsid w:val="5DA8FB3C"/>
    <w:rsid w:val="5DF306D1"/>
    <w:rsid w:val="5E3CC479"/>
    <w:rsid w:val="5EE22F70"/>
    <w:rsid w:val="5F4595B8"/>
    <w:rsid w:val="5F478BE6"/>
    <w:rsid w:val="5FEE402A"/>
    <w:rsid w:val="60CCD296"/>
    <w:rsid w:val="60CE9216"/>
    <w:rsid w:val="60F1BED1"/>
    <w:rsid w:val="6108190F"/>
    <w:rsid w:val="619F81F6"/>
    <w:rsid w:val="61CE1F50"/>
    <w:rsid w:val="62003B2C"/>
    <w:rsid w:val="623B227A"/>
    <w:rsid w:val="63E54022"/>
    <w:rsid w:val="6457D66A"/>
    <w:rsid w:val="649DE6A6"/>
    <w:rsid w:val="64C970A9"/>
    <w:rsid w:val="658D0CCC"/>
    <w:rsid w:val="6667B52A"/>
    <w:rsid w:val="6699B73E"/>
    <w:rsid w:val="66BC319B"/>
    <w:rsid w:val="6737E2A4"/>
    <w:rsid w:val="691371B0"/>
    <w:rsid w:val="6942AB77"/>
    <w:rsid w:val="6992D640"/>
    <w:rsid w:val="6A09F9B6"/>
    <w:rsid w:val="6B6B6D6D"/>
    <w:rsid w:val="6B714F58"/>
    <w:rsid w:val="6BD10466"/>
    <w:rsid w:val="6C2B9169"/>
    <w:rsid w:val="6C893F33"/>
    <w:rsid w:val="6CC19296"/>
    <w:rsid w:val="6CDDB487"/>
    <w:rsid w:val="6E9FD761"/>
    <w:rsid w:val="6F026BE0"/>
    <w:rsid w:val="6F8465E8"/>
    <w:rsid w:val="6FA26D28"/>
    <w:rsid w:val="6FC7C7FC"/>
    <w:rsid w:val="70798105"/>
    <w:rsid w:val="70C435D3"/>
    <w:rsid w:val="70D6CC07"/>
    <w:rsid w:val="7147F385"/>
    <w:rsid w:val="7153AE22"/>
    <w:rsid w:val="7179A402"/>
    <w:rsid w:val="71D82375"/>
    <w:rsid w:val="726F1102"/>
    <w:rsid w:val="72C17853"/>
    <w:rsid w:val="73078DB9"/>
    <w:rsid w:val="73543F59"/>
    <w:rsid w:val="748DDE23"/>
    <w:rsid w:val="75966819"/>
    <w:rsid w:val="761B1D39"/>
    <w:rsid w:val="76E4CD86"/>
    <w:rsid w:val="7711E0D6"/>
    <w:rsid w:val="78299F45"/>
    <w:rsid w:val="7878AF5E"/>
    <w:rsid w:val="78C543CD"/>
    <w:rsid w:val="7C638BAD"/>
    <w:rsid w:val="7D4FE3F3"/>
    <w:rsid w:val="7D740FE8"/>
    <w:rsid w:val="7F2632DD"/>
    <w:rsid w:val="7FB73B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74F598A"/>
  <w15:docId w15:val="{6F15B52C-2883-C442-BE87-D5C272B0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unhideWhenUsed/>
    <w:rsid w:val="00FF427A"/>
    <w:rPr>
      <w:sz w:val="13"/>
    </w:rPr>
  </w:style>
  <w:style w:type="character" w:styleId="Hyperlink">
    <w:name w:val="Hyperlink"/>
    <w:basedOn w:val="DefaultParagraphFont"/>
    <w:uiPriority w:val="99"/>
    <w:unhideWhenUsed/>
    <w:rsid w:val="001E68E8"/>
    <w:rPr>
      <w:color w:val="0000FF" w:themeColor="hyperlink"/>
      <w:u w:val="single"/>
    </w:rPr>
  </w:style>
  <w:style w:type="character" w:styleId="UnresolvedMention">
    <w:name w:val="Unresolved Mention"/>
    <w:basedOn w:val="DefaultParagraphFont"/>
    <w:uiPriority w:val="99"/>
    <w:semiHidden/>
    <w:unhideWhenUsed/>
    <w:rsid w:val="001E68E8"/>
    <w:rPr>
      <w:color w:val="605E5C"/>
      <w:shd w:val="clear" w:color="auto" w:fill="E1DFDD"/>
    </w:rPr>
  </w:style>
  <w:style w:type="character" w:styleId="FollowedHyperlink">
    <w:name w:val="FollowedHyperlink"/>
    <w:basedOn w:val="DefaultParagraphFont"/>
    <w:uiPriority w:val="99"/>
    <w:semiHidden/>
    <w:unhideWhenUsed/>
    <w:rsid w:val="00B40644"/>
    <w:rPr>
      <w:color w:val="800080" w:themeColor="followedHyperlink"/>
      <w:u w:val="single"/>
    </w:rPr>
  </w:style>
  <w:style w:type="paragraph" w:styleId="Revision">
    <w:name w:val="Revision"/>
    <w:hidden/>
    <w:uiPriority w:val="99"/>
    <w:semiHidden/>
    <w:rsid w:val="00990F85"/>
    <w:pPr>
      <w:spacing w:line="240" w:lineRule="auto"/>
    </w:pPr>
  </w:style>
  <w:style w:type="paragraph" w:styleId="NormalWeb">
    <w:name w:val="Normal (Web)"/>
    <w:basedOn w:val="Normal"/>
    <w:uiPriority w:val="99"/>
    <w:semiHidden/>
    <w:unhideWhenUsed/>
    <w:rsid w:val="00990F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1769B5"/>
    <w:rPr>
      <w:sz w:val="16"/>
      <w:szCs w:val="16"/>
    </w:rPr>
  </w:style>
  <w:style w:type="paragraph" w:styleId="CommentText">
    <w:name w:val="annotation text"/>
    <w:basedOn w:val="Normal"/>
    <w:link w:val="CommentTextChar"/>
    <w:uiPriority w:val="99"/>
    <w:semiHidden/>
    <w:unhideWhenUsed/>
    <w:rsid w:val="001769B5"/>
    <w:pPr>
      <w:spacing w:line="240" w:lineRule="auto"/>
    </w:pPr>
    <w:rPr>
      <w:sz w:val="20"/>
      <w:szCs w:val="20"/>
    </w:rPr>
  </w:style>
  <w:style w:type="character" w:customStyle="1" w:styleId="CommentTextChar">
    <w:name w:val="Comment Text Char"/>
    <w:basedOn w:val="DefaultParagraphFont"/>
    <w:link w:val="CommentText"/>
    <w:uiPriority w:val="99"/>
    <w:semiHidden/>
    <w:rsid w:val="001769B5"/>
    <w:rPr>
      <w:sz w:val="20"/>
      <w:szCs w:val="20"/>
    </w:rPr>
  </w:style>
  <w:style w:type="paragraph" w:styleId="CommentSubject">
    <w:name w:val="annotation subject"/>
    <w:basedOn w:val="CommentText"/>
    <w:next w:val="CommentText"/>
    <w:link w:val="CommentSubjectChar"/>
    <w:uiPriority w:val="99"/>
    <w:semiHidden/>
    <w:unhideWhenUsed/>
    <w:rsid w:val="001769B5"/>
    <w:rPr>
      <w:b/>
      <w:bCs/>
    </w:rPr>
  </w:style>
  <w:style w:type="character" w:customStyle="1" w:styleId="CommentSubjectChar">
    <w:name w:val="Comment Subject Char"/>
    <w:basedOn w:val="CommentTextChar"/>
    <w:link w:val="CommentSubject"/>
    <w:uiPriority w:val="99"/>
    <w:semiHidden/>
    <w:rsid w:val="001769B5"/>
    <w:rPr>
      <w:b/>
      <w:bCs/>
      <w:sz w:val="20"/>
      <w:szCs w:val="20"/>
    </w:rPr>
  </w:style>
  <w:style w:type="paragraph" w:styleId="Bibliography">
    <w:name w:val="Bibliography"/>
    <w:basedOn w:val="Normal"/>
    <w:next w:val="Normal"/>
    <w:uiPriority w:val="37"/>
    <w:unhideWhenUsed/>
    <w:rsid w:val="001E1E71"/>
    <w:pPr>
      <w:spacing w:after="240" w:line="240" w:lineRule="auto"/>
    </w:pPr>
  </w:style>
  <w:style w:type="paragraph" w:styleId="FootnoteText">
    <w:name w:val="footnote text"/>
    <w:basedOn w:val="Normal"/>
    <w:link w:val="FootnoteTextChar"/>
    <w:uiPriority w:val="99"/>
    <w:semiHidden/>
    <w:unhideWhenUsed/>
    <w:rsid w:val="005837A4"/>
    <w:pPr>
      <w:spacing w:line="240" w:lineRule="auto"/>
    </w:pPr>
    <w:rPr>
      <w:sz w:val="20"/>
      <w:szCs w:val="20"/>
    </w:rPr>
  </w:style>
  <w:style w:type="character" w:customStyle="1" w:styleId="FootnoteTextChar">
    <w:name w:val="Footnote Text Char"/>
    <w:basedOn w:val="DefaultParagraphFont"/>
    <w:link w:val="FootnoteText"/>
    <w:uiPriority w:val="99"/>
    <w:semiHidden/>
    <w:rsid w:val="005837A4"/>
    <w:rPr>
      <w:sz w:val="20"/>
      <w:szCs w:val="20"/>
    </w:rPr>
  </w:style>
  <w:style w:type="character" w:styleId="FootnoteReference">
    <w:name w:val="footnote reference"/>
    <w:basedOn w:val="DefaultParagraphFont"/>
    <w:uiPriority w:val="99"/>
    <w:semiHidden/>
    <w:unhideWhenUsed/>
    <w:rsid w:val="005837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171479">
      <w:bodyDiv w:val="1"/>
      <w:marLeft w:val="0"/>
      <w:marRight w:val="0"/>
      <w:marTop w:val="0"/>
      <w:marBottom w:val="0"/>
      <w:divBdr>
        <w:top w:val="none" w:sz="0" w:space="0" w:color="auto"/>
        <w:left w:val="none" w:sz="0" w:space="0" w:color="auto"/>
        <w:bottom w:val="none" w:sz="0" w:space="0" w:color="auto"/>
        <w:right w:val="none" w:sz="0" w:space="0" w:color="auto"/>
      </w:divBdr>
    </w:div>
    <w:div w:id="463936144">
      <w:bodyDiv w:val="1"/>
      <w:marLeft w:val="0"/>
      <w:marRight w:val="0"/>
      <w:marTop w:val="0"/>
      <w:marBottom w:val="0"/>
      <w:divBdr>
        <w:top w:val="none" w:sz="0" w:space="0" w:color="auto"/>
        <w:left w:val="none" w:sz="0" w:space="0" w:color="auto"/>
        <w:bottom w:val="none" w:sz="0" w:space="0" w:color="auto"/>
        <w:right w:val="none" w:sz="0" w:space="0" w:color="auto"/>
      </w:divBdr>
    </w:div>
    <w:div w:id="593326242">
      <w:bodyDiv w:val="1"/>
      <w:marLeft w:val="0"/>
      <w:marRight w:val="0"/>
      <w:marTop w:val="0"/>
      <w:marBottom w:val="0"/>
      <w:divBdr>
        <w:top w:val="none" w:sz="0" w:space="0" w:color="auto"/>
        <w:left w:val="none" w:sz="0" w:space="0" w:color="auto"/>
        <w:bottom w:val="none" w:sz="0" w:space="0" w:color="auto"/>
        <w:right w:val="none" w:sz="0" w:space="0" w:color="auto"/>
      </w:divBdr>
    </w:div>
    <w:div w:id="751203029">
      <w:bodyDiv w:val="1"/>
      <w:marLeft w:val="0"/>
      <w:marRight w:val="0"/>
      <w:marTop w:val="0"/>
      <w:marBottom w:val="0"/>
      <w:divBdr>
        <w:top w:val="none" w:sz="0" w:space="0" w:color="auto"/>
        <w:left w:val="none" w:sz="0" w:space="0" w:color="auto"/>
        <w:bottom w:val="none" w:sz="0" w:space="0" w:color="auto"/>
        <w:right w:val="none" w:sz="0" w:space="0" w:color="auto"/>
      </w:divBdr>
    </w:div>
    <w:div w:id="995886015">
      <w:bodyDiv w:val="1"/>
      <w:marLeft w:val="0"/>
      <w:marRight w:val="0"/>
      <w:marTop w:val="0"/>
      <w:marBottom w:val="0"/>
      <w:divBdr>
        <w:top w:val="none" w:sz="0" w:space="0" w:color="auto"/>
        <w:left w:val="none" w:sz="0" w:space="0" w:color="auto"/>
        <w:bottom w:val="none" w:sz="0" w:space="0" w:color="auto"/>
        <w:right w:val="none" w:sz="0" w:space="0" w:color="auto"/>
      </w:divBdr>
    </w:div>
    <w:div w:id="1694303517">
      <w:bodyDiv w:val="1"/>
      <w:marLeft w:val="0"/>
      <w:marRight w:val="0"/>
      <w:marTop w:val="0"/>
      <w:marBottom w:val="0"/>
      <w:divBdr>
        <w:top w:val="none" w:sz="0" w:space="0" w:color="auto"/>
        <w:left w:val="none" w:sz="0" w:space="0" w:color="auto"/>
        <w:bottom w:val="none" w:sz="0" w:space="0" w:color="auto"/>
        <w:right w:val="none" w:sz="0" w:space="0" w:color="auto"/>
      </w:divBdr>
    </w:div>
    <w:div w:id="1901750418">
      <w:bodyDiv w:val="1"/>
      <w:marLeft w:val="0"/>
      <w:marRight w:val="0"/>
      <w:marTop w:val="0"/>
      <w:marBottom w:val="0"/>
      <w:divBdr>
        <w:top w:val="none" w:sz="0" w:space="0" w:color="auto"/>
        <w:left w:val="none" w:sz="0" w:space="0" w:color="auto"/>
        <w:bottom w:val="none" w:sz="0" w:space="0" w:color="auto"/>
        <w:right w:val="none" w:sz="0" w:space="0" w:color="auto"/>
      </w:divBdr>
    </w:div>
    <w:div w:id="1963877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ithub.com/arpcard/rgi" TargetMode="External"/><Relationship Id="rId3" Type="http://schemas.openxmlformats.org/officeDocument/2006/relationships/settings" Target="settings.xml"/><Relationship Id="rId7" Type="http://schemas.openxmlformats.org/officeDocument/2006/relationships/hyperlink" Target="https://czid.org/home?project_id=592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4547</Words>
  <Characters>25921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 Lu</cp:lastModifiedBy>
  <cp:revision>3</cp:revision>
  <cp:lastPrinted>2024-04-12T20:03:00Z</cp:lastPrinted>
  <dcterms:created xsi:type="dcterms:W3CDTF">2025-04-22T15:48:00Z</dcterms:created>
  <dcterms:modified xsi:type="dcterms:W3CDTF">2025-04-22T18:03:00Z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id="wYP3m4v5"/&gt;&lt;style id="http://www.zotero.org/styles/genome-medicine" hasBibliography="1" bibliographyStyleHasBeenSet="1"/&gt;&lt;prefs&gt;&lt;pref name="fieldType" value="Field"/&gt;&lt;/prefs&gt;&lt;/data&gt;</vt:lpwstr>
  </property>
</Properties>
</file>