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C6E" w:rsidRPr="00094D58" w:rsidRDefault="00094D58">
      <w:pPr>
        <w:spacing w:before="240" w:after="240"/>
        <w:jc w:val="both"/>
        <w:rPr>
          <w:b/>
        </w:rPr>
      </w:pPr>
      <w:proofErr w:type="gramStart"/>
      <w:r w:rsidRPr="00094D58">
        <w:rPr>
          <w:b/>
        </w:rPr>
        <w:t>Fig.</w:t>
      </w:r>
      <w:proofErr w:type="gramEnd"/>
      <w:r w:rsidRPr="00094D58">
        <w:rPr>
          <w:b/>
        </w:rPr>
        <w:t xml:space="preserve"> S1</w:t>
      </w:r>
    </w:p>
    <w:p w:rsidR="00AD1C6E" w:rsidRPr="00094D58" w:rsidRDefault="00094D58">
      <w:pPr>
        <w:spacing w:before="240" w:after="240"/>
        <w:jc w:val="both"/>
        <w:rPr>
          <w:b/>
        </w:rPr>
      </w:pPr>
      <w:r w:rsidRPr="00094D58">
        <w:rPr>
          <w:b/>
          <w:noProof/>
          <w:lang w:val="en-PH"/>
        </w:rPr>
        <w:drawing>
          <wp:inline distT="114300" distB="114300" distL="114300" distR="114300" wp14:anchorId="57A249A8" wp14:editId="07F09AA3">
            <wp:extent cx="5943600" cy="61976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
                    <a:srcRect/>
                    <a:stretch>
                      <a:fillRect/>
                    </a:stretch>
                  </pic:blipFill>
                  <pic:spPr>
                    <a:xfrm>
                      <a:off x="0" y="0"/>
                      <a:ext cx="5943600" cy="6197600"/>
                    </a:xfrm>
                    <a:prstGeom prst="rect">
                      <a:avLst/>
                    </a:prstGeom>
                    <a:ln/>
                  </pic:spPr>
                </pic:pic>
              </a:graphicData>
            </a:graphic>
          </wp:inline>
        </w:drawing>
      </w:r>
    </w:p>
    <w:p w:rsidR="00AD1C6E" w:rsidRPr="00094D58" w:rsidRDefault="00094D58">
      <w:pPr>
        <w:spacing w:before="240" w:after="240"/>
        <w:jc w:val="both"/>
        <w:rPr>
          <w:b/>
        </w:rPr>
        <w:sectPr w:rsidR="00AD1C6E" w:rsidRPr="00094D58">
          <w:pgSz w:w="12240" w:h="15840"/>
          <w:pgMar w:top="1440" w:right="1440" w:bottom="1440" w:left="1440" w:header="720" w:footer="720" w:gutter="0"/>
          <w:pgNumType w:start="1"/>
          <w:cols w:space="720"/>
        </w:sectPr>
      </w:pPr>
      <w:proofErr w:type="gramStart"/>
      <w:r w:rsidRPr="00094D58">
        <w:rPr>
          <w:b/>
          <w:sz w:val="20"/>
          <w:szCs w:val="20"/>
        </w:rPr>
        <w:t>Fig.</w:t>
      </w:r>
      <w:proofErr w:type="gramEnd"/>
      <w:r w:rsidRPr="00094D58">
        <w:rPr>
          <w:b/>
          <w:sz w:val="20"/>
          <w:szCs w:val="20"/>
        </w:rPr>
        <w:t xml:space="preserve"> S1.</w:t>
      </w:r>
      <w:r w:rsidRPr="00094D58">
        <w:rPr>
          <w:b/>
          <w:sz w:val="20"/>
          <w:szCs w:val="20"/>
        </w:rPr>
        <w:t xml:space="preserve"> Disease course of ICANS patients (cohort 1-3</w:t>
      </w:r>
      <w:proofErr w:type="gramStart"/>
      <w:r w:rsidRPr="00094D58">
        <w:rPr>
          <w:b/>
          <w:sz w:val="20"/>
          <w:szCs w:val="20"/>
        </w:rPr>
        <w:t xml:space="preserve">) </w:t>
      </w:r>
      <w:r w:rsidRPr="00094D58">
        <w:rPr>
          <w:sz w:val="20"/>
          <w:szCs w:val="20"/>
        </w:rPr>
        <w:t xml:space="preserve"> </w:t>
      </w:r>
      <w:r w:rsidRPr="00094D58">
        <w:rPr>
          <w:b/>
          <w:sz w:val="20"/>
          <w:szCs w:val="20"/>
        </w:rPr>
        <w:t>(</w:t>
      </w:r>
      <w:proofErr w:type="gramEnd"/>
      <w:r w:rsidRPr="00094D58">
        <w:rPr>
          <w:b/>
          <w:sz w:val="20"/>
          <w:szCs w:val="20"/>
        </w:rPr>
        <w:t>A)</w:t>
      </w:r>
      <w:r w:rsidRPr="00094D58">
        <w:rPr>
          <w:sz w:val="20"/>
          <w:szCs w:val="20"/>
        </w:rPr>
        <w:t xml:space="preserve"> Swimmer plot depicting the CAR treatment (</w:t>
      </w:r>
      <w:proofErr w:type="spellStart"/>
      <w:r w:rsidRPr="00094D58">
        <w:rPr>
          <w:i/>
          <w:sz w:val="20"/>
          <w:szCs w:val="20"/>
        </w:rPr>
        <w:t>brexu-cel</w:t>
      </w:r>
      <w:proofErr w:type="spellEnd"/>
      <w:r w:rsidRPr="00094D58">
        <w:rPr>
          <w:sz w:val="20"/>
          <w:szCs w:val="20"/>
        </w:rPr>
        <w:t xml:space="preserve"> (blue cross), </w:t>
      </w:r>
      <w:proofErr w:type="spellStart"/>
      <w:r w:rsidRPr="00094D58">
        <w:rPr>
          <w:i/>
          <w:sz w:val="20"/>
          <w:szCs w:val="20"/>
        </w:rPr>
        <w:t>axi-cel</w:t>
      </w:r>
      <w:proofErr w:type="spellEnd"/>
      <w:r w:rsidRPr="00094D58">
        <w:rPr>
          <w:sz w:val="20"/>
          <w:szCs w:val="20"/>
        </w:rPr>
        <w:t xml:space="preserve"> (blue square), </w:t>
      </w:r>
      <w:proofErr w:type="spellStart"/>
      <w:r w:rsidRPr="00094D58">
        <w:rPr>
          <w:i/>
          <w:sz w:val="20"/>
          <w:szCs w:val="20"/>
        </w:rPr>
        <w:t>cilta-cel</w:t>
      </w:r>
      <w:proofErr w:type="spellEnd"/>
      <w:r w:rsidRPr="00094D58">
        <w:rPr>
          <w:sz w:val="20"/>
          <w:szCs w:val="20"/>
        </w:rPr>
        <w:t xml:space="preserve"> (blue circle))  and post CAR treatment follow up (light green bar). Bars depict the clinical signs and symptoms of ICANS (red) and CRS (green). Timeline of CSF withdrawals (CSF) and magnetic resonance imaging (MRI) across the clinical follow up are additi</w:t>
      </w:r>
      <w:r w:rsidRPr="00094D58">
        <w:rPr>
          <w:sz w:val="20"/>
          <w:szCs w:val="20"/>
        </w:rPr>
        <w:t xml:space="preserve">onally shown in light blue. Box plots </w:t>
      </w:r>
      <w:proofErr w:type="gramStart"/>
      <w:r w:rsidRPr="00094D58">
        <w:rPr>
          <w:sz w:val="20"/>
          <w:szCs w:val="20"/>
        </w:rPr>
        <w:t xml:space="preserve">showing  </w:t>
      </w:r>
      <w:r w:rsidRPr="00094D58">
        <w:rPr>
          <w:b/>
          <w:sz w:val="20"/>
          <w:szCs w:val="20"/>
        </w:rPr>
        <w:t>(</w:t>
      </w:r>
      <w:proofErr w:type="gramEnd"/>
      <w:r w:rsidRPr="00094D58">
        <w:rPr>
          <w:b/>
          <w:sz w:val="20"/>
          <w:szCs w:val="20"/>
        </w:rPr>
        <w:t>B)</w:t>
      </w:r>
      <w:r w:rsidRPr="00094D58">
        <w:rPr>
          <w:sz w:val="20"/>
          <w:szCs w:val="20"/>
        </w:rPr>
        <w:t xml:space="preserve"> cell count and (</w:t>
      </w:r>
      <w:r w:rsidRPr="00094D58">
        <w:rPr>
          <w:b/>
          <w:sz w:val="20"/>
          <w:szCs w:val="20"/>
        </w:rPr>
        <w:t>C)</w:t>
      </w:r>
      <w:r w:rsidRPr="00094D58">
        <w:rPr>
          <w:sz w:val="20"/>
          <w:szCs w:val="20"/>
        </w:rPr>
        <w:t xml:space="preserve"> total protein in the CSF of ICANS and control patients </w:t>
      </w:r>
      <w:r w:rsidRPr="00094D58">
        <w:rPr>
          <w:b/>
          <w:sz w:val="20"/>
          <w:szCs w:val="20"/>
        </w:rPr>
        <w:t>(D)</w:t>
      </w:r>
      <w:r w:rsidRPr="00094D58">
        <w:rPr>
          <w:sz w:val="20"/>
          <w:szCs w:val="20"/>
        </w:rPr>
        <w:t xml:space="preserve"> Scatter plot showing a correlation (Spearman) of Serum IL-6 levels relative to the max CRS level.  </w:t>
      </w:r>
    </w:p>
    <w:p w:rsidR="00AD1C6E" w:rsidRPr="00094D58" w:rsidRDefault="00094D58">
      <w:pPr>
        <w:spacing w:before="240" w:after="240"/>
        <w:rPr>
          <w:b/>
        </w:rPr>
      </w:pPr>
      <w:proofErr w:type="gramStart"/>
      <w:r w:rsidRPr="00094D58">
        <w:rPr>
          <w:b/>
        </w:rPr>
        <w:lastRenderedPageBreak/>
        <w:t>Fig.</w:t>
      </w:r>
      <w:proofErr w:type="gramEnd"/>
      <w:r w:rsidRPr="00094D58">
        <w:rPr>
          <w:b/>
        </w:rPr>
        <w:t xml:space="preserve"> S2</w:t>
      </w:r>
    </w:p>
    <w:p w:rsidR="00AD1C6E" w:rsidRPr="00094D58" w:rsidRDefault="00094D58">
      <w:pPr>
        <w:spacing w:before="240" w:after="240"/>
        <w:jc w:val="both"/>
        <w:rPr>
          <w:b/>
        </w:rPr>
      </w:pPr>
      <w:r w:rsidRPr="00094D58">
        <w:rPr>
          <w:b/>
          <w:noProof/>
          <w:lang w:val="en-PH"/>
        </w:rPr>
        <w:drawing>
          <wp:inline distT="114300" distB="114300" distL="114300" distR="114300" wp14:anchorId="34690235" wp14:editId="3B867E6D">
            <wp:extent cx="5395913" cy="7682316"/>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5395913" cy="7682316"/>
                    </a:xfrm>
                    <a:prstGeom prst="rect">
                      <a:avLst/>
                    </a:prstGeom>
                    <a:ln/>
                  </pic:spPr>
                </pic:pic>
              </a:graphicData>
            </a:graphic>
          </wp:inline>
        </w:drawing>
      </w:r>
    </w:p>
    <w:p w:rsidR="00AD1C6E" w:rsidRPr="00094D58" w:rsidRDefault="00094D58">
      <w:pPr>
        <w:spacing w:before="240" w:after="240"/>
        <w:jc w:val="both"/>
        <w:rPr>
          <w:b/>
          <w:sz w:val="20"/>
          <w:szCs w:val="20"/>
        </w:rPr>
        <w:sectPr w:rsidR="00AD1C6E" w:rsidRPr="00094D58">
          <w:pgSz w:w="12240" w:h="15840"/>
          <w:pgMar w:top="1440" w:right="1440" w:bottom="1440" w:left="1440" w:header="720" w:footer="720" w:gutter="0"/>
          <w:cols w:space="720"/>
        </w:sectPr>
      </w:pPr>
      <w:proofErr w:type="gramStart"/>
      <w:r w:rsidRPr="00094D58">
        <w:rPr>
          <w:b/>
          <w:sz w:val="20"/>
          <w:szCs w:val="20"/>
        </w:rPr>
        <w:lastRenderedPageBreak/>
        <w:t>Fig.</w:t>
      </w:r>
      <w:proofErr w:type="gramEnd"/>
      <w:r w:rsidRPr="00094D58">
        <w:rPr>
          <w:b/>
          <w:sz w:val="20"/>
          <w:szCs w:val="20"/>
        </w:rPr>
        <w:t xml:space="preserve"> S2</w:t>
      </w:r>
      <w:r w:rsidRPr="00094D58">
        <w:rPr>
          <w:b/>
          <w:sz w:val="20"/>
          <w:szCs w:val="20"/>
        </w:rPr>
        <w:t xml:space="preserve">. </w:t>
      </w:r>
      <w:proofErr w:type="gramStart"/>
      <w:r w:rsidRPr="00094D58">
        <w:rPr>
          <w:b/>
          <w:sz w:val="20"/>
          <w:szCs w:val="20"/>
        </w:rPr>
        <w:t>Classifi</w:t>
      </w:r>
      <w:r w:rsidRPr="00094D58">
        <w:rPr>
          <w:b/>
          <w:sz w:val="20"/>
          <w:szCs w:val="20"/>
        </w:rPr>
        <w:t>cation of CSF cell types.</w:t>
      </w:r>
      <w:proofErr w:type="gramEnd"/>
      <w:r w:rsidRPr="00094D58">
        <w:rPr>
          <w:sz w:val="20"/>
          <w:szCs w:val="20"/>
        </w:rPr>
        <w:t xml:space="preserve"> </w:t>
      </w:r>
      <w:r w:rsidRPr="00094D58">
        <w:rPr>
          <w:b/>
          <w:sz w:val="20"/>
          <w:szCs w:val="20"/>
        </w:rPr>
        <w:t>(A)</w:t>
      </w:r>
      <w:r w:rsidRPr="00094D58">
        <w:rPr>
          <w:sz w:val="20"/>
          <w:szCs w:val="20"/>
        </w:rPr>
        <w:t xml:space="preserve"> The UMAP plot on the left illustrates 23 color-coded clusters of CSF cells from ICANS patients (N = 7, cell count = 5,148) and IIH control donors (N = 4, cell count = 3,513). These clusters are utilized for the subsequent assi</w:t>
      </w:r>
      <w:r w:rsidRPr="00094D58">
        <w:rPr>
          <w:sz w:val="20"/>
          <w:szCs w:val="20"/>
        </w:rPr>
        <w:t xml:space="preserve">gnment of cell types depicted in the UMAP plot below. </w:t>
      </w:r>
      <w:r w:rsidRPr="00094D58">
        <w:rPr>
          <w:b/>
          <w:sz w:val="20"/>
          <w:szCs w:val="20"/>
        </w:rPr>
        <w:t>(B)</w:t>
      </w:r>
      <w:r w:rsidRPr="00094D58">
        <w:rPr>
          <w:sz w:val="20"/>
          <w:szCs w:val="20"/>
        </w:rPr>
        <w:t xml:space="preserve"> </w:t>
      </w:r>
      <w:proofErr w:type="spellStart"/>
      <w:r w:rsidRPr="00094D58">
        <w:rPr>
          <w:sz w:val="20"/>
          <w:szCs w:val="20"/>
        </w:rPr>
        <w:t>Dotplot</w:t>
      </w:r>
      <w:proofErr w:type="spellEnd"/>
      <w:r w:rsidRPr="00094D58">
        <w:rPr>
          <w:sz w:val="20"/>
          <w:szCs w:val="20"/>
        </w:rPr>
        <w:t xml:space="preserve"> showing marker genes of cell types. Color encodes average gene expression; dot size represents percentage of cells expressing the gene. </w:t>
      </w:r>
      <w:r w:rsidRPr="00094D58">
        <w:rPr>
          <w:b/>
          <w:sz w:val="20"/>
          <w:szCs w:val="20"/>
        </w:rPr>
        <w:t>(C)</w:t>
      </w:r>
      <w:r w:rsidRPr="00094D58">
        <w:rPr>
          <w:sz w:val="20"/>
          <w:szCs w:val="20"/>
        </w:rPr>
        <w:t xml:space="preserve"> Cell proportions in clusters across 11 individual </w:t>
      </w:r>
      <w:r w:rsidRPr="00094D58">
        <w:rPr>
          <w:sz w:val="20"/>
          <w:szCs w:val="20"/>
        </w:rPr>
        <w:t xml:space="preserve">samples. Absolute cell counts for each cluster are indicated in parentheses. </w:t>
      </w:r>
      <w:r w:rsidRPr="00094D58">
        <w:rPr>
          <w:b/>
          <w:sz w:val="20"/>
          <w:szCs w:val="20"/>
        </w:rPr>
        <w:t>(D)</w:t>
      </w:r>
      <w:r w:rsidRPr="00094D58">
        <w:rPr>
          <w:sz w:val="20"/>
          <w:szCs w:val="20"/>
        </w:rPr>
        <w:t xml:space="preserve"> Fraction of GZMA- expressing cells per cell type stratified by clusters. Absolute counts of GZMA+ cells for each cluster are indicated in parentheses.</w:t>
      </w:r>
    </w:p>
    <w:p w:rsidR="00AD1C6E" w:rsidRPr="00094D58" w:rsidRDefault="00094D58">
      <w:pPr>
        <w:spacing w:before="240" w:after="240"/>
        <w:jc w:val="both"/>
        <w:rPr>
          <w:b/>
        </w:rPr>
      </w:pPr>
      <w:proofErr w:type="gramStart"/>
      <w:r w:rsidRPr="00094D58">
        <w:rPr>
          <w:b/>
        </w:rPr>
        <w:lastRenderedPageBreak/>
        <w:t>Fig.</w:t>
      </w:r>
      <w:proofErr w:type="gramEnd"/>
      <w:r w:rsidRPr="00094D58">
        <w:rPr>
          <w:b/>
        </w:rPr>
        <w:t xml:space="preserve"> S3</w:t>
      </w:r>
    </w:p>
    <w:p w:rsidR="00AD1C6E" w:rsidRPr="00094D58" w:rsidRDefault="00094D58">
      <w:pPr>
        <w:spacing w:before="240" w:after="240"/>
        <w:jc w:val="both"/>
        <w:rPr>
          <w:b/>
        </w:rPr>
      </w:pPr>
      <w:r w:rsidRPr="00094D58">
        <w:rPr>
          <w:b/>
          <w:noProof/>
          <w:lang w:val="en-PH"/>
        </w:rPr>
        <w:drawing>
          <wp:inline distT="114300" distB="114300" distL="114300" distR="114300" wp14:anchorId="31ACE6E7" wp14:editId="5122F473">
            <wp:extent cx="5508284" cy="7653338"/>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508284" cy="7653338"/>
                    </a:xfrm>
                    <a:prstGeom prst="rect">
                      <a:avLst/>
                    </a:prstGeom>
                    <a:ln/>
                  </pic:spPr>
                </pic:pic>
              </a:graphicData>
            </a:graphic>
          </wp:inline>
        </w:drawing>
      </w:r>
    </w:p>
    <w:p w:rsidR="00AD1C6E" w:rsidRPr="00094D58" w:rsidRDefault="00094D58">
      <w:pPr>
        <w:spacing w:before="240" w:after="240"/>
        <w:jc w:val="both"/>
        <w:rPr>
          <w:b/>
        </w:rPr>
      </w:pPr>
      <w:proofErr w:type="gramStart"/>
      <w:r w:rsidRPr="00094D58">
        <w:rPr>
          <w:b/>
          <w:sz w:val="20"/>
          <w:szCs w:val="20"/>
        </w:rPr>
        <w:lastRenderedPageBreak/>
        <w:t>Fig.</w:t>
      </w:r>
      <w:proofErr w:type="gramEnd"/>
      <w:r w:rsidRPr="00094D58">
        <w:rPr>
          <w:b/>
          <w:sz w:val="20"/>
          <w:szCs w:val="20"/>
        </w:rPr>
        <w:t xml:space="preserve"> S3</w:t>
      </w:r>
      <w:r w:rsidRPr="00094D58">
        <w:rPr>
          <w:b/>
          <w:sz w:val="20"/>
          <w:szCs w:val="20"/>
        </w:rPr>
        <w:t xml:space="preserve">. </w:t>
      </w:r>
      <w:proofErr w:type="gramStart"/>
      <w:r w:rsidRPr="00094D58">
        <w:rPr>
          <w:b/>
          <w:sz w:val="20"/>
          <w:szCs w:val="20"/>
        </w:rPr>
        <w:t>CSF c</w:t>
      </w:r>
      <w:r w:rsidRPr="00094D58">
        <w:rPr>
          <w:b/>
          <w:sz w:val="20"/>
          <w:szCs w:val="20"/>
        </w:rPr>
        <w:t>ell characteristics during ICANS onset.</w:t>
      </w:r>
      <w:proofErr w:type="gramEnd"/>
      <w:r w:rsidRPr="00094D58">
        <w:rPr>
          <w:sz w:val="20"/>
          <w:szCs w:val="20"/>
        </w:rPr>
        <w:t xml:space="preserve"> </w:t>
      </w:r>
      <w:r w:rsidRPr="00094D58">
        <w:rPr>
          <w:b/>
          <w:sz w:val="20"/>
          <w:szCs w:val="20"/>
        </w:rPr>
        <w:t>(A)</w:t>
      </w:r>
      <w:r w:rsidRPr="00094D58">
        <w:rPr>
          <w:sz w:val="20"/>
          <w:szCs w:val="20"/>
        </w:rPr>
        <w:t xml:space="preserve"> Fraction of cells per sample stratified by cell cycle phases. Each circle/triangle represents a sample. Data are depicted as median, and the lower </w:t>
      </w:r>
      <w:proofErr w:type="spellStart"/>
      <w:r w:rsidRPr="00094D58">
        <w:rPr>
          <w:sz w:val="20"/>
          <w:szCs w:val="20"/>
        </w:rPr>
        <w:t>quatile</w:t>
      </w:r>
      <w:proofErr w:type="spellEnd"/>
      <w:r w:rsidRPr="00094D58">
        <w:rPr>
          <w:sz w:val="20"/>
          <w:szCs w:val="20"/>
        </w:rPr>
        <w:t xml:space="preserve"> and upper quartile. </w:t>
      </w:r>
      <w:proofErr w:type="gramStart"/>
      <w:r w:rsidRPr="00094D58">
        <w:rPr>
          <w:sz w:val="20"/>
          <w:szCs w:val="20"/>
        </w:rPr>
        <w:t>Whisker include</w:t>
      </w:r>
      <w:proofErr w:type="gramEnd"/>
      <w:r w:rsidRPr="00094D58">
        <w:rPr>
          <w:sz w:val="20"/>
          <w:szCs w:val="20"/>
        </w:rPr>
        <w:t xml:space="preserve"> 1.5 times the interqu</w:t>
      </w:r>
      <w:r w:rsidRPr="00094D58">
        <w:rPr>
          <w:sz w:val="20"/>
          <w:szCs w:val="20"/>
        </w:rPr>
        <w:t xml:space="preserve">artile range. Unpaired two samples t-test and the </w:t>
      </w:r>
      <w:proofErr w:type="spellStart"/>
      <w:r w:rsidRPr="00094D58">
        <w:rPr>
          <w:sz w:val="20"/>
          <w:szCs w:val="20"/>
        </w:rPr>
        <w:t>bonferroni</w:t>
      </w:r>
      <w:proofErr w:type="spellEnd"/>
      <w:r w:rsidRPr="00094D58">
        <w:rPr>
          <w:sz w:val="20"/>
          <w:szCs w:val="20"/>
        </w:rPr>
        <w:t xml:space="preserve"> method </w:t>
      </w:r>
      <w:proofErr w:type="gramStart"/>
      <w:r w:rsidRPr="00094D58">
        <w:rPr>
          <w:sz w:val="20"/>
          <w:szCs w:val="20"/>
        </w:rPr>
        <w:t>is</w:t>
      </w:r>
      <w:proofErr w:type="gramEnd"/>
      <w:r w:rsidRPr="00094D58">
        <w:rPr>
          <w:sz w:val="20"/>
          <w:szCs w:val="20"/>
        </w:rPr>
        <w:t xml:space="preserve"> used to calculate the p-values. </w:t>
      </w:r>
      <w:r w:rsidRPr="00094D58">
        <w:rPr>
          <w:b/>
          <w:sz w:val="20"/>
          <w:szCs w:val="20"/>
        </w:rPr>
        <w:t xml:space="preserve">(B) </w:t>
      </w:r>
      <w:proofErr w:type="spellStart"/>
      <w:r w:rsidRPr="00094D58">
        <w:rPr>
          <w:sz w:val="20"/>
          <w:szCs w:val="20"/>
        </w:rPr>
        <w:t>Heatmap</w:t>
      </w:r>
      <w:proofErr w:type="spellEnd"/>
      <w:r w:rsidRPr="00094D58">
        <w:rPr>
          <w:sz w:val="20"/>
          <w:szCs w:val="20"/>
        </w:rPr>
        <w:t xml:space="preserve"> showing gene set enrichment results as estimating </w:t>
      </w:r>
      <w:proofErr w:type="spellStart"/>
      <w:r w:rsidRPr="00094D58">
        <w:rPr>
          <w:sz w:val="20"/>
          <w:szCs w:val="20"/>
        </w:rPr>
        <w:t>ssGSEA</w:t>
      </w:r>
      <w:proofErr w:type="spellEnd"/>
      <w:r w:rsidRPr="00094D58">
        <w:rPr>
          <w:sz w:val="20"/>
          <w:szCs w:val="20"/>
        </w:rPr>
        <w:t xml:space="preserve"> scores across all cell types of </w:t>
      </w:r>
      <w:proofErr w:type="spellStart"/>
      <w:r w:rsidRPr="00094D58">
        <w:rPr>
          <w:sz w:val="20"/>
          <w:szCs w:val="20"/>
        </w:rPr>
        <w:t>ICANS_onset</w:t>
      </w:r>
      <w:proofErr w:type="spellEnd"/>
      <w:r w:rsidRPr="00094D58">
        <w:rPr>
          <w:sz w:val="20"/>
          <w:szCs w:val="20"/>
        </w:rPr>
        <w:t xml:space="preserve"> patients and IIH control donors. </w:t>
      </w:r>
      <w:r w:rsidRPr="00094D58">
        <w:rPr>
          <w:b/>
          <w:sz w:val="20"/>
          <w:szCs w:val="20"/>
        </w:rPr>
        <w:t>(C)</w:t>
      </w:r>
      <w:r w:rsidRPr="00094D58">
        <w:rPr>
          <w:sz w:val="20"/>
          <w:szCs w:val="20"/>
        </w:rPr>
        <w:t xml:space="preserve"> Com</w:t>
      </w:r>
      <w:r w:rsidRPr="00094D58">
        <w:rPr>
          <w:sz w:val="20"/>
          <w:szCs w:val="20"/>
        </w:rPr>
        <w:t>position of Proliferating cell clusters across samples.</w:t>
      </w:r>
    </w:p>
    <w:p w:rsidR="00AD1C6E" w:rsidRPr="00094D58" w:rsidRDefault="00094D58">
      <w:pPr>
        <w:spacing w:before="240" w:after="240"/>
        <w:jc w:val="both"/>
        <w:rPr>
          <w:b/>
        </w:rPr>
      </w:pPr>
      <w:r w:rsidRPr="00094D58">
        <w:br w:type="page"/>
      </w:r>
      <w:proofErr w:type="gramStart"/>
      <w:r w:rsidRPr="00094D58">
        <w:rPr>
          <w:b/>
        </w:rPr>
        <w:lastRenderedPageBreak/>
        <w:t>Fig.</w:t>
      </w:r>
      <w:proofErr w:type="gramEnd"/>
      <w:r w:rsidRPr="00094D58">
        <w:rPr>
          <w:b/>
        </w:rPr>
        <w:t xml:space="preserve"> S4</w:t>
      </w:r>
    </w:p>
    <w:p w:rsidR="00AD1C6E" w:rsidRPr="00094D58" w:rsidRDefault="00094D58">
      <w:pPr>
        <w:spacing w:before="240" w:after="240"/>
        <w:jc w:val="center"/>
        <w:rPr>
          <w:b/>
        </w:rPr>
      </w:pPr>
      <w:r w:rsidRPr="00094D58">
        <w:rPr>
          <w:b/>
          <w:noProof/>
          <w:lang w:val="en-PH"/>
        </w:rPr>
        <w:drawing>
          <wp:inline distT="114300" distB="114300" distL="114300" distR="114300" wp14:anchorId="4508B306" wp14:editId="79C8BF73">
            <wp:extent cx="5943600" cy="58547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943600" cy="5854700"/>
                    </a:xfrm>
                    <a:prstGeom prst="rect">
                      <a:avLst/>
                    </a:prstGeom>
                    <a:ln/>
                  </pic:spPr>
                </pic:pic>
              </a:graphicData>
            </a:graphic>
          </wp:inline>
        </w:drawing>
      </w:r>
    </w:p>
    <w:p w:rsidR="00AD1C6E" w:rsidRPr="00094D58" w:rsidRDefault="00094D58">
      <w:pPr>
        <w:spacing w:before="240" w:after="240"/>
        <w:jc w:val="both"/>
        <w:rPr>
          <w:sz w:val="20"/>
          <w:szCs w:val="20"/>
        </w:rPr>
      </w:pPr>
      <w:proofErr w:type="gramStart"/>
      <w:r w:rsidRPr="00094D58">
        <w:rPr>
          <w:b/>
          <w:sz w:val="20"/>
          <w:szCs w:val="20"/>
        </w:rPr>
        <w:t>Fig.</w:t>
      </w:r>
      <w:proofErr w:type="gramEnd"/>
      <w:r w:rsidRPr="00094D58">
        <w:rPr>
          <w:b/>
          <w:sz w:val="20"/>
          <w:szCs w:val="20"/>
        </w:rPr>
        <w:t xml:space="preserve"> S4</w:t>
      </w:r>
      <w:r w:rsidRPr="00094D58">
        <w:rPr>
          <w:b/>
          <w:sz w:val="20"/>
          <w:szCs w:val="20"/>
        </w:rPr>
        <w:t xml:space="preserve">. CXCR6 expression correlates with enhanced T cell cytotoxicity. </w:t>
      </w:r>
      <w:r w:rsidRPr="00094D58">
        <w:rPr>
          <w:sz w:val="20"/>
          <w:szCs w:val="20"/>
        </w:rPr>
        <w:t xml:space="preserve"> </w:t>
      </w:r>
      <w:r w:rsidRPr="00094D58">
        <w:rPr>
          <w:b/>
          <w:sz w:val="20"/>
          <w:szCs w:val="20"/>
        </w:rPr>
        <w:t xml:space="preserve">(A) </w:t>
      </w:r>
      <w:r w:rsidRPr="00094D58">
        <w:rPr>
          <w:sz w:val="20"/>
          <w:szCs w:val="20"/>
        </w:rPr>
        <w:t xml:space="preserve">Violin plots comparing the normalized CXCR6 expression levels across various T cell subsets between </w:t>
      </w:r>
      <w:proofErr w:type="spellStart"/>
      <w:r w:rsidRPr="00094D58">
        <w:rPr>
          <w:sz w:val="20"/>
          <w:szCs w:val="20"/>
        </w:rPr>
        <w:t>ICANS_onset</w:t>
      </w:r>
      <w:proofErr w:type="spellEnd"/>
      <w:r w:rsidRPr="00094D58">
        <w:rPr>
          <w:sz w:val="20"/>
          <w:szCs w:val="20"/>
        </w:rPr>
        <w:t xml:space="preserve"> </w:t>
      </w:r>
      <w:r w:rsidRPr="00094D58">
        <w:rPr>
          <w:sz w:val="20"/>
          <w:szCs w:val="20"/>
        </w:rPr>
        <w:t xml:space="preserve">and IIH samples. </w:t>
      </w:r>
      <w:r w:rsidRPr="00094D58">
        <w:rPr>
          <w:b/>
          <w:sz w:val="20"/>
          <w:szCs w:val="20"/>
        </w:rPr>
        <w:t>(B)</w:t>
      </w:r>
      <w:r w:rsidRPr="00094D58">
        <w:rPr>
          <w:sz w:val="20"/>
          <w:szCs w:val="20"/>
        </w:rPr>
        <w:t xml:space="preserve"> Correlation plot showing the relationship between CXCR6 and GZMA expression in different T cell populations (grouped and colored by CD4, Cytotoxic CD4, CD8</w:t>
      </w:r>
      <w:r w:rsidRPr="00094D58">
        <w:rPr>
          <w:sz w:val="20"/>
          <w:szCs w:val="20"/>
        </w:rPr>
        <w:t>/NK</w:t>
      </w:r>
      <w:r w:rsidRPr="00094D58">
        <w:rPr>
          <w:sz w:val="20"/>
          <w:szCs w:val="20"/>
        </w:rPr>
        <w:t xml:space="preserve">, and Proliferating T cells) from </w:t>
      </w:r>
      <w:proofErr w:type="spellStart"/>
      <w:r w:rsidRPr="00094D58">
        <w:rPr>
          <w:sz w:val="20"/>
          <w:szCs w:val="20"/>
        </w:rPr>
        <w:t>ICANS_onset</w:t>
      </w:r>
      <w:proofErr w:type="spellEnd"/>
      <w:r w:rsidRPr="00094D58">
        <w:rPr>
          <w:sz w:val="20"/>
          <w:szCs w:val="20"/>
        </w:rPr>
        <w:t xml:space="preserve"> patients. A significant positiv</w:t>
      </w:r>
      <w:r w:rsidRPr="00094D58">
        <w:rPr>
          <w:sz w:val="20"/>
          <w:szCs w:val="20"/>
        </w:rPr>
        <w:t xml:space="preserve">e correlation is observed between CXCR6 and GZMA across all T cell populations, with the highest correlation found in CD4 and Cytotoxic CD4 cells (R and p-values indicated). Values on the x- and y-axes represent the percentage of gene counts attributed to </w:t>
      </w:r>
      <w:r w:rsidRPr="00094D58">
        <w:rPr>
          <w:sz w:val="20"/>
          <w:szCs w:val="20"/>
        </w:rPr>
        <w:t>CXCR6 (x-axis) and GZMA (y-axis) for each cell. These percentages were calculated using the '</w:t>
      </w:r>
      <w:proofErr w:type="spellStart"/>
      <w:r w:rsidRPr="00094D58">
        <w:rPr>
          <w:sz w:val="20"/>
          <w:szCs w:val="20"/>
        </w:rPr>
        <w:t>PercentageFeatureSet</w:t>
      </w:r>
      <w:proofErr w:type="spellEnd"/>
      <w:r w:rsidRPr="00094D58">
        <w:rPr>
          <w:sz w:val="20"/>
          <w:szCs w:val="20"/>
        </w:rPr>
        <w:t>' function in the Seurat package.</w:t>
      </w:r>
    </w:p>
    <w:p w:rsidR="00094D58" w:rsidRPr="00094D58" w:rsidRDefault="00094D58">
      <w:pPr>
        <w:spacing w:before="240" w:after="240"/>
        <w:jc w:val="both"/>
        <w:rPr>
          <w:b/>
        </w:rPr>
      </w:pPr>
    </w:p>
    <w:p w:rsidR="00AD1C6E" w:rsidRPr="00094D58" w:rsidRDefault="00094D58">
      <w:pPr>
        <w:spacing w:before="240" w:after="240"/>
        <w:jc w:val="both"/>
        <w:rPr>
          <w:b/>
        </w:rPr>
      </w:pPr>
      <w:proofErr w:type="gramStart"/>
      <w:r w:rsidRPr="00094D58">
        <w:rPr>
          <w:b/>
        </w:rPr>
        <w:lastRenderedPageBreak/>
        <w:t>Fig.</w:t>
      </w:r>
      <w:proofErr w:type="gramEnd"/>
      <w:r w:rsidRPr="00094D58">
        <w:rPr>
          <w:b/>
        </w:rPr>
        <w:t xml:space="preserve"> S5</w:t>
      </w:r>
    </w:p>
    <w:p w:rsidR="00AD1C6E" w:rsidRPr="00094D58" w:rsidRDefault="00094D58">
      <w:pPr>
        <w:spacing w:before="240" w:after="240"/>
        <w:jc w:val="both"/>
        <w:rPr>
          <w:b/>
        </w:rPr>
      </w:pPr>
      <w:r w:rsidRPr="00094D58">
        <w:rPr>
          <w:b/>
          <w:noProof/>
          <w:lang w:val="en-PH"/>
        </w:rPr>
        <w:drawing>
          <wp:inline distT="114300" distB="114300" distL="114300" distR="114300" wp14:anchorId="2565898D" wp14:editId="435AB9EB">
            <wp:extent cx="5943600" cy="61341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6134100"/>
                    </a:xfrm>
                    <a:prstGeom prst="rect">
                      <a:avLst/>
                    </a:prstGeom>
                    <a:ln/>
                  </pic:spPr>
                </pic:pic>
              </a:graphicData>
            </a:graphic>
          </wp:inline>
        </w:drawing>
      </w:r>
    </w:p>
    <w:p w:rsidR="00AD1C6E" w:rsidRPr="00094D58" w:rsidRDefault="00094D58">
      <w:pPr>
        <w:spacing w:before="240" w:after="240"/>
        <w:jc w:val="both"/>
        <w:rPr>
          <w:sz w:val="20"/>
          <w:szCs w:val="20"/>
        </w:rPr>
      </w:pPr>
      <w:proofErr w:type="gramStart"/>
      <w:r w:rsidRPr="00094D58">
        <w:rPr>
          <w:b/>
        </w:rPr>
        <w:t>Fi</w:t>
      </w:r>
      <w:r w:rsidRPr="00094D58">
        <w:rPr>
          <w:b/>
          <w:sz w:val="20"/>
          <w:szCs w:val="20"/>
        </w:rPr>
        <w:t>g.</w:t>
      </w:r>
      <w:proofErr w:type="gramEnd"/>
      <w:r w:rsidRPr="00094D58">
        <w:rPr>
          <w:b/>
          <w:sz w:val="20"/>
          <w:szCs w:val="20"/>
        </w:rPr>
        <w:t xml:space="preserve"> S5</w:t>
      </w:r>
      <w:r w:rsidRPr="00094D58">
        <w:rPr>
          <w:b/>
          <w:sz w:val="20"/>
          <w:szCs w:val="20"/>
        </w:rPr>
        <w:t>. TCR clonal expression in the CSF T cells during ICANS onset.</w:t>
      </w:r>
      <w:r w:rsidRPr="00094D58">
        <w:rPr>
          <w:sz w:val="20"/>
          <w:szCs w:val="20"/>
        </w:rPr>
        <w:t xml:space="preserve"> </w:t>
      </w:r>
      <w:r w:rsidRPr="00094D58">
        <w:rPr>
          <w:b/>
          <w:sz w:val="20"/>
          <w:szCs w:val="20"/>
        </w:rPr>
        <w:t>(A)</w:t>
      </w:r>
      <w:r w:rsidRPr="00094D58">
        <w:rPr>
          <w:sz w:val="20"/>
          <w:szCs w:val="20"/>
        </w:rPr>
        <w:t xml:space="preserve"> UMAP plots depicting the distribution of total CSF TCR clones with a clonal frequency over 1%. </w:t>
      </w:r>
      <w:r w:rsidRPr="00094D58">
        <w:rPr>
          <w:b/>
          <w:sz w:val="20"/>
          <w:szCs w:val="20"/>
        </w:rPr>
        <w:t xml:space="preserve">(B) </w:t>
      </w:r>
      <w:r w:rsidRPr="00094D58">
        <w:rPr>
          <w:sz w:val="20"/>
          <w:szCs w:val="20"/>
        </w:rPr>
        <w:t xml:space="preserve">Relative proportion of TCR clones between </w:t>
      </w:r>
      <w:proofErr w:type="spellStart"/>
      <w:r w:rsidRPr="00094D58">
        <w:rPr>
          <w:sz w:val="20"/>
          <w:szCs w:val="20"/>
        </w:rPr>
        <w:t>ICANS_onset</w:t>
      </w:r>
      <w:proofErr w:type="spellEnd"/>
      <w:r w:rsidRPr="00094D58">
        <w:rPr>
          <w:sz w:val="20"/>
          <w:szCs w:val="20"/>
        </w:rPr>
        <w:t xml:space="preserve"> and IIH. </w:t>
      </w:r>
      <w:r w:rsidRPr="00094D58">
        <w:rPr>
          <w:b/>
          <w:sz w:val="20"/>
          <w:szCs w:val="20"/>
        </w:rPr>
        <w:t xml:space="preserve">(C) </w:t>
      </w:r>
      <w:r w:rsidRPr="00094D58">
        <w:rPr>
          <w:sz w:val="20"/>
          <w:szCs w:val="20"/>
        </w:rPr>
        <w:t xml:space="preserve">Relative proportion of TCR clones of CD8 cells between </w:t>
      </w:r>
      <w:proofErr w:type="spellStart"/>
      <w:r w:rsidRPr="00094D58">
        <w:rPr>
          <w:sz w:val="20"/>
          <w:szCs w:val="20"/>
        </w:rPr>
        <w:t>ICANS_onset</w:t>
      </w:r>
      <w:proofErr w:type="spellEnd"/>
      <w:r w:rsidRPr="00094D58">
        <w:rPr>
          <w:sz w:val="20"/>
          <w:szCs w:val="20"/>
        </w:rPr>
        <w:t xml:space="preserve"> and IIH. </w:t>
      </w:r>
      <w:r w:rsidRPr="00094D58">
        <w:rPr>
          <w:b/>
          <w:sz w:val="20"/>
          <w:szCs w:val="20"/>
        </w:rPr>
        <w:t xml:space="preserve">(D) </w:t>
      </w:r>
      <w:r w:rsidRPr="00094D58">
        <w:rPr>
          <w:sz w:val="20"/>
          <w:szCs w:val="20"/>
        </w:rPr>
        <w:t xml:space="preserve">Relative </w:t>
      </w:r>
      <w:r w:rsidRPr="00094D58">
        <w:rPr>
          <w:sz w:val="20"/>
          <w:szCs w:val="20"/>
        </w:rPr>
        <w:t xml:space="preserve">proportion of TCR clones of CD4 cells between </w:t>
      </w:r>
      <w:proofErr w:type="spellStart"/>
      <w:r w:rsidRPr="00094D58">
        <w:rPr>
          <w:sz w:val="20"/>
          <w:szCs w:val="20"/>
        </w:rPr>
        <w:t>ICANS_onset</w:t>
      </w:r>
      <w:proofErr w:type="spellEnd"/>
      <w:r w:rsidRPr="00094D58">
        <w:rPr>
          <w:sz w:val="20"/>
          <w:szCs w:val="20"/>
        </w:rPr>
        <w:t xml:space="preserve"> and IIH. </w:t>
      </w:r>
      <w:r w:rsidRPr="00094D58">
        <w:rPr>
          <w:b/>
          <w:sz w:val="20"/>
          <w:szCs w:val="20"/>
        </w:rPr>
        <w:t xml:space="preserve">(E) </w:t>
      </w:r>
      <w:r w:rsidRPr="00094D58">
        <w:rPr>
          <w:sz w:val="20"/>
          <w:szCs w:val="20"/>
        </w:rPr>
        <w:t xml:space="preserve">Relative proportion of TCR clones of Cytotoxic CD4 cells between </w:t>
      </w:r>
      <w:proofErr w:type="spellStart"/>
      <w:r w:rsidRPr="00094D58">
        <w:rPr>
          <w:sz w:val="20"/>
          <w:szCs w:val="20"/>
        </w:rPr>
        <w:t>ICANS_onset</w:t>
      </w:r>
      <w:proofErr w:type="spellEnd"/>
      <w:r w:rsidRPr="00094D58">
        <w:rPr>
          <w:sz w:val="20"/>
          <w:szCs w:val="20"/>
        </w:rPr>
        <w:t xml:space="preserve"> and IIH. </w:t>
      </w:r>
      <w:r w:rsidRPr="00094D58">
        <w:rPr>
          <w:b/>
          <w:sz w:val="20"/>
          <w:szCs w:val="20"/>
        </w:rPr>
        <w:t xml:space="preserve">(F) </w:t>
      </w:r>
      <w:r w:rsidRPr="00094D58">
        <w:rPr>
          <w:sz w:val="20"/>
          <w:szCs w:val="20"/>
        </w:rPr>
        <w:t xml:space="preserve">Relative proportion of TCR clones of Proliferating cells between CAR+ and CAR-. </w:t>
      </w:r>
      <w:r w:rsidRPr="00094D58">
        <w:rPr>
          <w:b/>
          <w:sz w:val="20"/>
          <w:szCs w:val="20"/>
        </w:rPr>
        <w:t>(G-H)</w:t>
      </w:r>
      <w:r w:rsidRPr="00094D58">
        <w:rPr>
          <w:sz w:val="20"/>
          <w:szCs w:val="20"/>
        </w:rPr>
        <w:t xml:space="preserve"> Diversity</w:t>
      </w:r>
      <w:r w:rsidRPr="00094D58">
        <w:rPr>
          <w:sz w:val="20"/>
          <w:szCs w:val="20"/>
        </w:rPr>
        <w:t xml:space="preserve"> analysis compares the diversity of </w:t>
      </w:r>
      <w:proofErr w:type="spellStart"/>
      <w:r w:rsidRPr="00094D58">
        <w:rPr>
          <w:sz w:val="20"/>
          <w:szCs w:val="20"/>
        </w:rPr>
        <w:t>clonotypes</w:t>
      </w:r>
      <w:proofErr w:type="spellEnd"/>
      <w:r w:rsidRPr="00094D58">
        <w:rPr>
          <w:sz w:val="20"/>
          <w:szCs w:val="20"/>
        </w:rPr>
        <w:t xml:space="preserve"> in sample groups using the Chao1 index (</w:t>
      </w:r>
      <w:proofErr w:type="spellStart"/>
      <w:r w:rsidRPr="00094D58">
        <w:rPr>
          <w:sz w:val="20"/>
          <w:szCs w:val="20"/>
        </w:rPr>
        <w:t>ICANS_onset</w:t>
      </w:r>
      <w:proofErr w:type="spellEnd"/>
      <w:r w:rsidRPr="00094D58">
        <w:rPr>
          <w:sz w:val="20"/>
          <w:szCs w:val="20"/>
        </w:rPr>
        <w:t xml:space="preserve">: N=5; IIH: N=3). Individual data points are shown using overlaid dot plots. Statistical significance calculated via the </w:t>
      </w:r>
      <w:proofErr w:type="spellStart"/>
      <w:r w:rsidRPr="00094D58">
        <w:rPr>
          <w:sz w:val="20"/>
          <w:szCs w:val="20"/>
        </w:rPr>
        <w:lastRenderedPageBreak/>
        <w:t>Kruskal</w:t>
      </w:r>
      <w:proofErr w:type="spellEnd"/>
      <w:r w:rsidRPr="00094D58">
        <w:rPr>
          <w:sz w:val="20"/>
          <w:szCs w:val="20"/>
        </w:rPr>
        <w:t>-Wallis test, as well as the H</w:t>
      </w:r>
      <w:r w:rsidRPr="00094D58">
        <w:rPr>
          <w:sz w:val="20"/>
          <w:szCs w:val="20"/>
        </w:rPr>
        <w:t>olm-Bonferroni correction method for p-value adjustments. Mean + SD are shown.</w:t>
      </w:r>
    </w:p>
    <w:p w:rsidR="00AD1C6E" w:rsidRPr="00094D58" w:rsidRDefault="00AD1C6E">
      <w:pPr>
        <w:spacing w:before="240" w:after="240"/>
        <w:jc w:val="both"/>
        <w:rPr>
          <w:b/>
        </w:rPr>
        <w:sectPr w:rsidR="00AD1C6E" w:rsidRPr="00094D58">
          <w:pgSz w:w="12240" w:h="15840"/>
          <w:pgMar w:top="1440" w:right="1440" w:bottom="1440" w:left="1440" w:header="720" w:footer="720" w:gutter="0"/>
          <w:cols w:space="720"/>
        </w:sectPr>
      </w:pPr>
    </w:p>
    <w:p w:rsidR="00AD1C6E" w:rsidRPr="00094D58" w:rsidRDefault="00094D58">
      <w:pPr>
        <w:spacing w:before="240" w:after="240"/>
        <w:jc w:val="both"/>
        <w:rPr>
          <w:b/>
        </w:rPr>
      </w:pPr>
      <w:proofErr w:type="gramStart"/>
      <w:r w:rsidRPr="00094D58">
        <w:rPr>
          <w:b/>
        </w:rPr>
        <w:lastRenderedPageBreak/>
        <w:t>Fig.</w:t>
      </w:r>
      <w:proofErr w:type="gramEnd"/>
      <w:r w:rsidRPr="00094D58">
        <w:rPr>
          <w:b/>
        </w:rPr>
        <w:t xml:space="preserve"> S6</w:t>
      </w:r>
      <w:r w:rsidRPr="00094D58">
        <w:rPr>
          <w:sz w:val="20"/>
          <w:szCs w:val="20"/>
        </w:rPr>
        <w:t xml:space="preserve"> </w:t>
      </w:r>
    </w:p>
    <w:p w:rsidR="00AD1C6E" w:rsidRPr="00094D58" w:rsidRDefault="00094D58">
      <w:pPr>
        <w:spacing w:before="240" w:after="240"/>
        <w:jc w:val="both"/>
        <w:rPr>
          <w:sz w:val="20"/>
          <w:szCs w:val="20"/>
        </w:rPr>
      </w:pPr>
      <w:r w:rsidRPr="00094D58">
        <w:rPr>
          <w:b/>
          <w:noProof/>
          <w:lang w:val="en-PH"/>
        </w:rPr>
        <w:drawing>
          <wp:inline distT="114300" distB="114300" distL="114300" distR="114300" wp14:anchorId="0A9B4218" wp14:editId="01433E68">
            <wp:extent cx="5943600" cy="46990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943600" cy="4699000"/>
                    </a:xfrm>
                    <a:prstGeom prst="rect">
                      <a:avLst/>
                    </a:prstGeom>
                    <a:ln/>
                  </pic:spPr>
                </pic:pic>
              </a:graphicData>
            </a:graphic>
          </wp:inline>
        </w:drawing>
      </w:r>
    </w:p>
    <w:p w:rsidR="00AD1C6E" w:rsidRPr="00094D58" w:rsidRDefault="00094D58">
      <w:pPr>
        <w:spacing w:before="240" w:after="240"/>
        <w:jc w:val="both"/>
        <w:rPr>
          <w:sz w:val="20"/>
          <w:szCs w:val="20"/>
        </w:rPr>
        <w:sectPr w:rsidR="00AD1C6E" w:rsidRPr="00094D58">
          <w:pgSz w:w="12240" w:h="15840"/>
          <w:pgMar w:top="1440" w:right="1440" w:bottom="1440" w:left="1440" w:header="720" w:footer="720" w:gutter="0"/>
          <w:cols w:space="720"/>
        </w:sectPr>
      </w:pPr>
      <w:proofErr w:type="gramStart"/>
      <w:r w:rsidRPr="00094D58">
        <w:rPr>
          <w:b/>
          <w:sz w:val="20"/>
          <w:szCs w:val="20"/>
        </w:rPr>
        <w:t>Fig.</w:t>
      </w:r>
      <w:proofErr w:type="gramEnd"/>
      <w:r w:rsidRPr="00094D58">
        <w:rPr>
          <w:b/>
          <w:sz w:val="20"/>
          <w:szCs w:val="20"/>
        </w:rPr>
        <w:t xml:space="preserve"> S6</w:t>
      </w:r>
      <w:r w:rsidRPr="00094D58">
        <w:rPr>
          <w:b/>
          <w:sz w:val="20"/>
          <w:szCs w:val="20"/>
        </w:rPr>
        <w:t xml:space="preserve">. </w:t>
      </w:r>
      <w:proofErr w:type="gramStart"/>
      <w:r w:rsidRPr="00094D58">
        <w:rPr>
          <w:b/>
          <w:sz w:val="20"/>
          <w:szCs w:val="20"/>
        </w:rPr>
        <w:t>Longitudinal alteration in the CSF immune landscape.</w:t>
      </w:r>
      <w:proofErr w:type="gramEnd"/>
      <w:r w:rsidRPr="00094D58">
        <w:rPr>
          <w:sz w:val="20"/>
          <w:szCs w:val="20"/>
        </w:rPr>
        <w:t xml:space="preserve"> </w:t>
      </w:r>
      <w:r w:rsidRPr="00094D58">
        <w:rPr>
          <w:b/>
          <w:sz w:val="20"/>
          <w:szCs w:val="20"/>
        </w:rPr>
        <w:t>(A)</w:t>
      </w:r>
      <w:r w:rsidRPr="00094D58">
        <w:rPr>
          <w:sz w:val="20"/>
          <w:szCs w:val="20"/>
        </w:rPr>
        <w:t xml:space="preserve"> CXCL16 cytokine concentration (</w:t>
      </w:r>
      <w:proofErr w:type="spellStart"/>
      <w:r w:rsidRPr="00094D58">
        <w:rPr>
          <w:sz w:val="20"/>
          <w:szCs w:val="20"/>
        </w:rPr>
        <w:t>pg</w:t>
      </w:r>
      <w:proofErr w:type="spellEnd"/>
      <w:r w:rsidRPr="00094D58">
        <w:rPr>
          <w:sz w:val="20"/>
          <w:szCs w:val="20"/>
        </w:rPr>
        <w:t>/mL) measured in the CSF derived from patient ICANS1 during pre-CA</w:t>
      </w:r>
      <w:r w:rsidRPr="00094D58">
        <w:rPr>
          <w:sz w:val="20"/>
          <w:szCs w:val="20"/>
        </w:rPr>
        <w:t xml:space="preserve">RT infusion, </w:t>
      </w:r>
      <w:proofErr w:type="spellStart"/>
      <w:r w:rsidRPr="00094D58">
        <w:rPr>
          <w:sz w:val="20"/>
          <w:szCs w:val="20"/>
        </w:rPr>
        <w:t>ICANS_onset</w:t>
      </w:r>
      <w:proofErr w:type="spellEnd"/>
      <w:r w:rsidRPr="00094D58">
        <w:rPr>
          <w:sz w:val="20"/>
          <w:szCs w:val="20"/>
        </w:rPr>
        <w:t xml:space="preserve">, and </w:t>
      </w:r>
      <w:proofErr w:type="spellStart"/>
      <w:r w:rsidRPr="00094D58">
        <w:rPr>
          <w:sz w:val="20"/>
          <w:szCs w:val="20"/>
        </w:rPr>
        <w:t>ICANS_</w:t>
      </w:r>
      <w:proofErr w:type="gramStart"/>
      <w:r w:rsidRPr="00094D58">
        <w:rPr>
          <w:sz w:val="20"/>
          <w:szCs w:val="20"/>
        </w:rPr>
        <w:t>remission</w:t>
      </w:r>
      <w:proofErr w:type="spellEnd"/>
      <w:r w:rsidRPr="00094D58">
        <w:rPr>
          <w:sz w:val="20"/>
          <w:szCs w:val="20"/>
        </w:rPr>
        <w:t xml:space="preserve">  (</w:t>
      </w:r>
      <w:proofErr w:type="gramEnd"/>
      <w:r w:rsidRPr="00094D58">
        <w:rPr>
          <w:sz w:val="20"/>
          <w:szCs w:val="20"/>
        </w:rPr>
        <w:t xml:space="preserve">N = 1, technical replicates = 2). </w:t>
      </w:r>
      <w:r w:rsidRPr="00094D58">
        <w:rPr>
          <w:b/>
          <w:sz w:val="20"/>
          <w:szCs w:val="20"/>
        </w:rPr>
        <w:t>(B)</w:t>
      </w:r>
      <w:r w:rsidRPr="00094D58">
        <w:rPr>
          <w:sz w:val="20"/>
          <w:szCs w:val="20"/>
        </w:rPr>
        <w:t xml:space="preserve"> Fractions of </w:t>
      </w:r>
      <w:proofErr w:type="spellStart"/>
      <w:r w:rsidRPr="00094D58">
        <w:rPr>
          <w:sz w:val="20"/>
          <w:szCs w:val="20"/>
        </w:rPr>
        <w:t>CAR_transcript</w:t>
      </w:r>
      <w:proofErr w:type="spellEnd"/>
      <w:r w:rsidRPr="00094D58">
        <w:rPr>
          <w:sz w:val="20"/>
          <w:szCs w:val="20"/>
        </w:rPr>
        <w:t xml:space="preserve">- and CXCR6-expressing CSF cells during pre-CART infusion, </w:t>
      </w:r>
      <w:proofErr w:type="spellStart"/>
      <w:r w:rsidRPr="00094D58">
        <w:rPr>
          <w:sz w:val="20"/>
          <w:szCs w:val="20"/>
        </w:rPr>
        <w:t>ICANS_onset</w:t>
      </w:r>
      <w:proofErr w:type="spellEnd"/>
      <w:r w:rsidRPr="00094D58">
        <w:rPr>
          <w:sz w:val="20"/>
          <w:szCs w:val="20"/>
        </w:rPr>
        <w:t xml:space="preserve">, and </w:t>
      </w:r>
      <w:proofErr w:type="spellStart"/>
      <w:r w:rsidRPr="00094D58">
        <w:rPr>
          <w:sz w:val="20"/>
          <w:szCs w:val="20"/>
        </w:rPr>
        <w:t>ICANS_remission</w:t>
      </w:r>
      <w:proofErr w:type="spellEnd"/>
      <w:r w:rsidRPr="00094D58">
        <w:rPr>
          <w:sz w:val="20"/>
          <w:szCs w:val="20"/>
        </w:rPr>
        <w:t xml:space="preserve"> of ICANS1 patient (N = 1) stratified by cell types.</w:t>
      </w:r>
      <w:r w:rsidRPr="00094D58">
        <w:rPr>
          <w:sz w:val="20"/>
          <w:szCs w:val="20"/>
        </w:rPr>
        <w:t xml:space="preserve"> </w:t>
      </w:r>
      <w:r w:rsidRPr="00094D58">
        <w:rPr>
          <w:b/>
          <w:sz w:val="20"/>
          <w:szCs w:val="20"/>
        </w:rPr>
        <w:t xml:space="preserve">(C) </w:t>
      </w:r>
      <w:r w:rsidRPr="00094D58">
        <w:rPr>
          <w:sz w:val="20"/>
          <w:szCs w:val="20"/>
        </w:rPr>
        <w:t xml:space="preserve">Differentially expressed genes in </w:t>
      </w:r>
      <w:proofErr w:type="spellStart"/>
      <w:r w:rsidRPr="00094D58">
        <w:rPr>
          <w:sz w:val="20"/>
          <w:szCs w:val="20"/>
        </w:rPr>
        <w:t>ICANS_onset</w:t>
      </w:r>
      <w:proofErr w:type="spellEnd"/>
      <w:r w:rsidRPr="00094D58">
        <w:rPr>
          <w:sz w:val="20"/>
          <w:szCs w:val="20"/>
        </w:rPr>
        <w:t xml:space="preserve"> versus pre-CART infusion and in </w:t>
      </w:r>
      <w:proofErr w:type="spellStart"/>
      <w:r w:rsidRPr="00094D58">
        <w:rPr>
          <w:sz w:val="20"/>
          <w:szCs w:val="20"/>
        </w:rPr>
        <w:t>ICANS_remission</w:t>
      </w:r>
      <w:proofErr w:type="spellEnd"/>
      <w:r w:rsidRPr="00094D58">
        <w:rPr>
          <w:sz w:val="20"/>
          <w:szCs w:val="20"/>
        </w:rPr>
        <w:t xml:space="preserve"> versus </w:t>
      </w:r>
      <w:proofErr w:type="spellStart"/>
      <w:r w:rsidRPr="00094D58">
        <w:rPr>
          <w:sz w:val="20"/>
          <w:szCs w:val="20"/>
        </w:rPr>
        <w:t>ICANS_onset</w:t>
      </w:r>
      <w:proofErr w:type="spellEnd"/>
      <w:r w:rsidRPr="00094D58">
        <w:rPr>
          <w:sz w:val="20"/>
          <w:szCs w:val="20"/>
        </w:rPr>
        <w:t xml:space="preserve">. Statistical significance was calculated in </w:t>
      </w:r>
      <w:proofErr w:type="spellStart"/>
      <w:r w:rsidRPr="00094D58">
        <w:rPr>
          <w:sz w:val="20"/>
          <w:szCs w:val="20"/>
        </w:rPr>
        <w:t>limma</w:t>
      </w:r>
      <w:proofErr w:type="spellEnd"/>
      <w:r w:rsidRPr="00094D58">
        <w:rPr>
          <w:sz w:val="20"/>
          <w:szCs w:val="20"/>
        </w:rPr>
        <w:t xml:space="preserve"> using a moderated t-statistic based on the robust empirical Bayes method in </w:t>
      </w:r>
      <w:proofErr w:type="spellStart"/>
      <w:r w:rsidRPr="00094D58">
        <w:rPr>
          <w:sz w:val="20"/>
          <w:szCs w:val="20"/>
        </w:rPr>
        <w:t>limma</w:t>
      </w:r>
      <w:proofErr w:type="spellEnd"/>
      <w:r w:rsidRPr="00094D58">
        <w:rPr>
          <w:sz w:val="20"/>
          <w:szCs w:val="20"/>
        </w:rPr>
        <w:t>. P val</w:t>
      </w:r>
      <w:r w:rsidRPr="00094D58">
        <w:rPr>
          <w:sz w:val="20"/>
          <w:szCs w:val="20"/>
        </w:rPr>
        <w:t xml:space="preserve">ues were adjusted with the </w:t>
      </w:r>
      <w:proofErr w:type="spellStart"/>
      <w:r w:rsidRPr="00094D58">
        <w:rPr>
          <w:sz w:val="20"/>
          <w:szCs w:val="20"/>
        </w:rPr>
        <w:t>Benjamini</w:t>
      </w:r>
      <w:proofErr w:type="spellEnd"/>
      <w:r w:rsidRPr="00094D58">
        <w:rPr>
          <w:sz w:val="20"/>
          <w:szCs w:val="20"/>
        </w:rPr>
        <w:t>-Hochberg method.</w:t>
      </w:r>
    </w:p>
    <w:p w:rsidR="00AD1C6E" w:rsidRPr="00094D58" w:rsidRDefault="00094D58">
      <w:pPr>
        <w:spacing w:before="240" w:after="240"/>
        <w:rPr>
          <w:b/>
        </w:rPr>
      </w:pPr>
      <w:proofErr w:type="gramStart"/>
      <w:r w:rsidRPr="00094D58">
        <w:rPr>
          <w:b/>
        </w:rPr>
        <w:lastRenderedPageBreak/>
        <w:t>Fig.</w:t>
      </w:r>
      <w:proofErr w:type="gramEnd"/>
      <w:r w:rsidRPr="00094D58">
        <w:rPr>
          <w:b/>
        </w:rPr>
        <w:t xml:space="preserve"> S7</w:t>
      </w:r>
      <w:r w:rsidRPr="00094D58">
        <w:rPr>
          <w:b/>
          <w:noProof/>
          <w:lang w:val="en-PH"/>
        </w:rPr>
        <w:drawing>
          <wp:inline distT="114300" distB="114300" distL="114300" distR="114300" wp14:anchorId="0BBDCB4A" wp14:editId="0B2C8F82">
            <wp:extent cx="5943600" cy="53975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5397500"/>
                    </a:xfrm>
                    <a:prstGeom prst="rect">
                      <a:avLst/>
                    </a:prstGeom>
                    <a:ln/>
                  </pic:spPr>
                </pic:pic>
              </a:graphicData>
            </a:graphic>
          </wp:inline>
        </w:drawing>
      </w:r>
    </w:p>
    <w:p w:rsidR="00AD1C6E" w:rsidRPr="00094D58" w:rsidRDefault="00AD1C6E">
      <w:pPr>
        <w:spacing w:before="240" w:after="240"/>
        <w:jc w:val="both"/>
        <w:rPr>
          <w:b/>
          <w:sz w:val="20"/>
          <w:szCs w:val="20"/>
        </w:rPr>
      </w:pPr>
    </w:p>
    <w:p w:rsidR="00AD1C6E" w:rsidRPr="00094D58" w:rsidRDefault="00094D58">
      <w:pPr>
        <w:spacing w:before="240" w:after="240"/>
        <w:jc w:val="both"/>
        <w:rPr>
          <w:sz w:val="20"/>
          <w:szCs w:val="20"/>
        </w:rPr>
        <w:sectPr w:rsidR="00AD1C6E" w:rsidRPr="00094D58">
          <w:pgSz w:w="12240" w:h="15840"/>
          <w:pgMar w:top="1440" w:right="1440" w:bottom="1440" w:left="1440" w:header="720" w:footer="720" w:gutter="0"/>
          <w:cols w:space="720"/>
        </w:sectPr>
      </w:pPr>
      <w:proofErr w:type="gramStart"/>
      <w:r w:rsidRPr="00094D58">
        <w:rPr>
          <w:b/>
          <w:sz w:val="20"/>
          <w:szCs w:val="20"/>
        </w:rPr>
        <w:t>Fig.</w:t>
      </w:r>
      <w:proofErr w:type="gramEnd"/>
      <w:r w:rsidRPr="00094D58">
        <w:rPr>
          <w:b/>
          <w:sz w:val="20"/>
          <w:szCs w:val="20"/>
        </w:rPr>
        <w:t xml:space="preserve"> S7</w:t>
      </w:r>
      <w:r w:rsidRPr="00094D58">
        <w:rPr>
          <w:b/>
          <w:sz w:val="20"/>
          <w:szCs w:val="20"/>
        </w:rPr>
        <w:t>. CXCR6 localizes predominantly on CD4 CAR CSF cells. (A)</w:t>
      </w:r>
      <w:r w:rsidRPr="00094D58">
        <w:rPr>
          <w:sz w:val="20"/>
          <w:szCs w:val="20"/>
        </w:rPr>
        <w:t xml:space="preserve"> CD4 and </w:t>
      </w:r>
      <w:r w:rsidRPr="00094D58">
        <w:rPr>
          <w:b/>
          <w:sz w:val="20"/>
          <w:szCs w:val="20"/>
        </w:rPr>
        <w:t>(B)</w:t>
      </w:r>
      <w:r w:rsidRPr="00094D58">
        <w:rPr>
          <w:sz w:val="20"/>
          <w:szCs w:val="20"/>
        </w:rPr>
        <w:t xml:space="preserve"> CD8 T cells in the </w:t>
      </w:r>
      <w:proofErr w:type="spellStart"/>
      <w:r w:rsidRPr="00094D58">
        <w:rPr>
          <w:sz w:val="20"/>
          <w:szCs w:val="20"/>
        </w:rPr>
        <w:t>ICANS_onset</w:t>
      </w:r>
      <w:proofErr w:type="spellEnd"/>
      <w:r w:rsidRPr="00094D58">
        <w:rPr>
          <w:sz w:val="20"/>
          <w:szCs w:val="20"/>
        </w:rPr>
        <w:t xml:space="preserve"> (N = 7) and control donors (N = 7). </w:t>
      </w:r>
      <w:r w:rsidRPr="00094D58">
        <w:rPr>
          <w:b/>
          <w:sz w:val="20"/>
          <w:szCs w:val="20"/>
        </w:rPr>
        <w:t>(C)</w:t>
      </w:r>
      <w:r w:rsidRPr="00094D58">
        <w:rPr>
          <w:sz w:val="20"/>
          <w:szCs w:val="20"/>
        </w:rPr>
        <w:t xml:space="preserve"> </w:t>
      </w:r>
      <w:proofErr w:type="gramStart"/>
      <w:r w:rsidRPr="00094D58">
        <w:rPr>
          <w:sz w:val="20"/>
          <w:szCs w:val="20"/>
        </w:rPr>
        <w:t>shows</w:t>
      </w:r>
      <w:proofErr w:type="gramEnd"/>
      <w:r w:rsidRPr="00094D58">
        <w:rPr>
          <w:sz w:val="20"/>
          <w:szCs w:val="20"/>
        </w:rPr>
        <w:t xml:space="preserve"> percentage of CAR T cells in CD4 and C</w:t>
      </w:r>
      <w:r w:rsidRPr="00094D58">
        <w:rPr>
          <w:sz w:val="20"/>
          <w:szCs w:val="20"/>
        </w:rPr>
        <w:t xml:space="preserve">D8 populations. </w:t>
      </w:r>
      <w:r w:rsidRPr="00094D58">
        <w:rPr>
          <w:b/>
          <w:sz w:val="20"/>
          <w:szCs w:val="20"/>
        </w:rPr>
        <w:t>(D)</w:t>
      </w:r>
      <w:r w:rsidRPr="00094D58">
        <w:rPr>
          <w:sz w:val="20"/>
          <w:szCs w:val="20"/>
        </w:rPr>
        <w:t xml:space="preserve"> Comparison of CXCR6+CAR+ and CXCR6+CAR- cells in CD4 T cells. </w:t>
      </w:r>
      <w:r w:rsidRPr="00094D58">
        <w:rPr>
          <w:b/>
          <w:sz w:val="20"/>
          <w:szCs w:val="20"/>
        </w:rPr>
        <w:t>(E)</w:t>
      </w:r>
      <w:r w:rsidRPr="00094D58">
        <w:rPr>
          <w:sz w:val="20"/>
          <w:szCs w:val="20"/>
        </w:rPr>
        <w:t xml:space="preserve"> Comparison of CAR+CXCR6+CD8 T cells in CSF and PBMC of </w:t>
      </w:r>
      <w:proofErr w:type="spellStart"/>
      <w:r w:rsidRPr="00094D58">
        <w:rPr>
          <w:sz w:val="20"/>
          <w:szCs w:val="20"/>
        </w:rPr>
        <w:t>ICANS_onset</w:t>
      </w:r>
      <w:proofErr w:type="spellEnd"/>
      <w:r w:rsidRPr="00094D58">
        <w:rPr>
          <w:sz w:val="20"/>
          <w:szCs w:val="20"/>
        </w:rPr>
        <w:t xml:space="preserve"> and control patients </w:t>
      </w:r>
      <w:r w:rsidRPr="00094D58">
        <w:rPr>
          <w:b/>
          <w:sz w:val="20"/>
          <w:szCs w:val="20"/>
        </w:rPr>
        <w:t>(F)</w:t>
      </w:r>
      <w:r w:rsidRPr="00094D58">
        <w:rPr>
          <w:sz w:val="20"/>
          <w:szCs w:val="20"/>
        </w:rPr>
        <w:t xml:space="preserve"> Depiction of CXCR6+CAR+ and CXCR6+CAR- cells in CD8 T cells in the </w:t>
      </w:r>
      <w:proofErr w:type="spellStart"/>
      <w:r w:rsidRPr="00094D58">
        <w:rPr>
          <w:sz w:val="20"/>
          <w:szCs w:val="20"/>
        </w:rPr>
        <w:t>ICANS_onset</w:t>
      </w:r>
      <w:proofErr w:type="spellEnd"/>
      <w:r w:rsidRPr="00094D58">
        <w:rPr>
          <w:sz w:val="20"/>
          <w:szCs w:val="20"/>
        </w:rPr>
        <w:t xml:space="preserve"> cohort. Boxplots showing percentage of respective population depicted on the y-axis in CSF (red) and PBMC (blue) as measured by flow cytometry. </w:t>
      </w:r>
      <w:proofErr w:type="gramStart"/>
      <w:r w:rsidRPr="00094D58">
        <w:rPr>
          <w:sz w:val="20"/>
          <w:szCs w:val="20"/>
        </w:rPr>
        <w:t>Gating scheme as shown in Supplementary Figure 7.</w:t>
      </w:r>
      <w:proofErr w:type="gramEnd"/>
      <w:r w:rsidRPr="00094D58">
        <w:rPr>
          <w:sz w:val="20"/>
          <w:szCs w:val="20"/>
        </w:rPr>
        <w:t xml:space="preserve"> Individual data points are shown using overlaid dot plots, gr</w:t>
      </w:r>
      <w:r w:rsidRPr="00094D58">
        <w:rPr>
          <w:sz w:val="20"/>
          <w:szCs w:val="20"/>
        </w:rPr>
        <w:t xml:space="preserve">ay lines connect paired samples. Data are depicted as median, and the lower </w:t>
      </w:r>
      <w:proofErr w:type="spellStart"/>
      <w:r w:rsidRPr="00094D58">
        <w:rPr>
          <w:sz w:val="20"/>
          <w:szCs w:val="20"/>
        </w:rPr>
        <w:t>quatile</w:t>
      </w:r>
      <w:proofErr w:type="spellEnd"/>
      <w:r w:rsidRPr="00094D58">
        <w:rPr>
          <w:sz w:val="20"/>
          <w:szCs w:val="20"/>
        </w:rPr>
        <w:t xml:space="preserve"> and upper quartile. </w:t>
      </w:r>
      <w:proofErr w:type="gramStart"/>
      <w:r w:rsidRPr="00094D58">
        <w:rPr>
          <w:sz w:val="20"/>
          <w:szCs w:val="20"/>
        </w:rPr>
        <w:t>Whisker include</w:t>
      </w:r>
      <w:proofErr w:type="gramEnd"/>
      <w:r w:rsidRPr="00094D58">
        <w:rPr>
          <w:sz w:val="20"/>
          <w:szCs w:val="20"/>
        </w:rPr>
        <w:t xml:space="preserve"> 1.5 times the interquartile range. If more than two groups were compared a </w:t>
      </w:r>
      <w:proofErr w:type="spellStart"/>
      <w:r w:rsidRPr="00094D58">
        <w:rPr>
          <w:sz w:val="20"/>
          <w:szCs w:val="20"/>
        </w:rPr>
        <w:t>Kruskal</w:t>
      </w:r>
      <w:proofErr w:type="spellEnd"/>
      <w:r w:rsidRPr="00094D58">
        <w:rPr>
          <w:sz w:val="20"/>
          <w:szCs w:val="20"/>
        </w:rPr>
        <w:t>-Wallis with post hoc Dunn test was performed, if else</w:t>
      </w:r>
      <w:r w:rsidRPr="00094D58">
        <w:rPr>
          <w:sz w:val="20"/>
          <w:szCs w:val="20"/>
        </w:rPr>
        <w:t xml:space="preserve"> paired t-test was calculated for statistical significance. </w:t>
      </w:r>
    </w:p>
    <w:p w:rsidR="00AD1C6E" w:rsidRPr="00094D58" w:rsidRDefault="00094D58">
      <w:pPr>
        <w:spacing w:before="240" w:after="240"/>
        <w:jc w:val="both"/>
      </w:pPr>
      <w:proofErr w:type="gramStart"/>
      <w:r w:rsidRPr="00094D58">
        <w:rPr>
          <w:b/>
        </w:rPr>
        <w:lastRenderedPageBreak/>
        <w:t>Fig.</w:t>
      </w:r>
      <w:proofErr w:type="gramEnd"/>
      <w:r w:rsidRPr="00094D58">
        <w:rPr>
          <w:b/>
        </w:rPr>
        <w:t xml:space="preserve"> S8</w:t>
      </w:r>
    </w:p>
    <w:p w:rsidR="00AD1C6E" w:rsidRPr="00094D58" w:rsidRDefault="00094D58">
      <w:pPr>
        <w:spacing w:before="240" w:after="240"/>
        <w:jc w:val="both"/>
        <w:rPr>
          <w:b/>
        </w:rPr>
      </w:pPr>
      <w:r w:rsidRPr="00094D58">
        <w:rPr>
          <w:b/>
          <w:noProof/>
          <w:lang w:val="en-PH"/>
        </w:rPr>
        <w:drawing>
          <wp:inline distT="114300" distB="114300" distL="114300" distR="114300" wp14:anchorId="478A20FE" wp14:editId="1920794B">
            <wp:extent cx="5617229" cy="61732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617229" cy="6173200"/>
                    </a:xfrm>
                    <a:prstGeom prst="rect">
                      <a:avLst/>
                    </a:prstGeom>
                    <a:ln/>
                  </pic:spPr>
                </pic:pic>
              </a:graphicData>
            </a:graphic>
          </wp:inline>
        </w:drawing>
      </w:r>
    </w:p>
    <w:p w:rsidR="00AD1C6E" w:rsidRPr="00094D58" w:rsidRDefault="00094D58">
      <w:pPr>
        <w:spacing w:before="240" w:after="240"/>
        <w:jc w:val="both"/>
        <w:rPr>
          <w:sz w:val="20"/>
          <w:szCs w:val="20"/>
        </w:rPr>
      </w:pPr>
      <w:proofErr w:type="gramStart"/>
      <w:r w:rsidRPr="00094D58">
        <w:rPr>
          <w:b/>
          <w:sz w:val="20"/>
          <w:szCs w:val="20"/>
        </w:rPr>
        <w:t>Fig.</w:t>
      </w:r>
      <w:proofErr w:type="gramEnd"/>
      <w:r w:rsidRPr="00094D58">
        <w:rPr>
          <w:b/>
          <w:sz w:val="20"/>
          <w:szCs w:val="20"/>
        </w:rPr>
        <w:t xml:space="preserve"> S8.</w:t>
      </w:r>
      <w:r w:rsidRPr="00094D58">
        <w:rPr>
          <w:b/>
          <w:sz w:val="20"/>
          <w:szCs w:val="20"/>
        </w:rPr>
        <w:t xml:space="preserve"> Longitudinal flow cytometry analysis demonstrates a selective increase in CXCR6+CAR+ CD4 T cells during ICANS but not during CRS. (A) </w:t>
      </w:r>
      <w:r w:rsidRPr="00094D58">
        <w:rPr>
          <w:sz w:val="20"/>
          <w:szCs w:val="20"/>
        </w:rPr>
        <w:t>Gating strategy used to identify CD4 and C</w:t>
      </w:r>
      <w:r w:rsidRPr="00094D58">
        <w:rPr>
          <w:sz w:val="20"/>
          <w:szCs w:val="20"/>
        </w:rPr>
        <w:t xml:space="preserve">D8 T cells. </w:t>
      </w:r>
      <w:proofErr w:type="gramStart"/>
      <w:r w:rsidRPr="00094D58">
        <w:rPr>
          <w:b/>
          <w:sz w:val="20"/>
          <w:szCs w:val="20"/>
        </w:rPr>
        <w:t>(B)</w:t>
      </w:r>
      <w:r w:rsidRPr="00094D58">
        <w:rPr>
          <w:sz w:val="20"/>
          <w:szCs w:val="20"/>
        </w:rPr>
        <w:t xml:space="preserve"> Contour plots displaying the expression levels of CXCR6 and CAR in CD4 (top) and CD8 (bottom) T cells on day 0 (D0, CART product), day 1 (D1, no adverse event), day 2 (D2, CRS), and day 5 (D5, ICANS) post-CART infusion, analyzed in PBMC or </w:t>
      </w:r>
      <w:r w:rsidRPr="00094D58">
        <w:rPr>
          <w:sz w:val="20"/>
          <w:szCs w:val="20"/>
        </w:rPr>
        <w:t>CSF.</w:t>
      </w:r>
      <w:proofErr w:type="gramEnd"/>
      <w:r w:rsidRPr="00094D58">
        <w:rPr>
          <w:sz w:val="20"/>
          <w:szCs w:val="20"/>
        </w:rPr>
        <w:t xml:space="preserve"> </w:t>
      </w:r>
      <w:r w:rsidRPr="00094D58">
        <w:rPr>
          <w:b/>
          <w:sz w:val="20"/>
          <w:szCs w:val="20"/>
        </w:rPr>
        <w:t>(C)</w:t>
      </w:r>
      <w:r w:rsidRPr="00094D58">
        <w:rPr>
          <w:sz w:val="20"/>
          <w:szCs w:val="20"/>
        </w:rPr>
        <w:t xml:space="preserve"> Line graph illustrating the temporal dynamics of CAR+CXCR6+ CD4 and CD8 T cells, alongside serum IL-6 levels, in relation to </w:t>
      </w:r>
      <w:proofErr w:type="gramStart"/>
      <w:r w:rsidRPr="00094D58">
        <w:rPr>
          <w:sz w:val="20"/>
          <w:szCs w:val="20"/>
        </w:rPr>
        <w:t>days</w:t>
      </w:r>
      <w:proofErr w:type="gramEnd"/>
      <w:r w:rsidRPr="00094D58">
        <w:rPr>
          <w:sz w:val="20"/>
          <w:szCs w:val="20"/>
        </w:rPr>
        <w:t xml:space="preserve"> post-CAR infusion. Shaded regions indicate the occurrence of CRS (light grey) and ICANS (dark grey). Vertical lines m</w:t>
      </w:r>
      <w:r w:rsidRPr="00094D58">
        <w:rPr>
          <w:sz w:val="20"/>
          <w:szCs w:val="20"/>
        </w:rPr>
        <w:t>ark the timing of CAR infusion and the treatments administered during CRS and ICANS.</w:t>
      </w:r>
      <w:r w:rsidRPr="00094D58">
        <w:br w:type="page"/>
      </w:r>
    </w:p>
    <w:p w:rsidR="00AD1C6E" w:rsidRPr="00094D58" w:rsidRDefault="00094D58">
      <w:pPr>
        <w:spacing w:before="240" w:after="240"/>
        <w:jc w:val="both"/>
        <w:rPr>
          <w:b/>
          <w:sz w:val="20"/>
          <w:szCs w:val="20"/>
        </w:rPr>
      </w:pPr>
      <w:proofErr w:type="gramStart"/>
      <w:r w:rsidRPr="00094D58">
        <w:rPr>
          <w:b/>
        </w:rPr>
        <w:lastRenderedPageBreak/>
        <w:t>Fig.</w:t>
      </w:r>
      <w:proofErr w:type="gramEnd"/>
      <w:r w:rsidRPr="00094D58">
        <w:rPr>
          <w:b/>
        </w:rPr>
        <w:t xml:space="preserve"> S9</w:t>
      </w:r>
    </w:p>
    <w:p w:rsidR="00AD1C6E" w:rsidRPr="00094D58" w:rsidRDefault="00094D58">
      <w:pPr>
        <w:spacing w:before="240" w:after="240"/>
        <w:jc w:val="both"/>
        <w:rPr>
          <w:b/>
          <w:sz w:val="20"/>
          <w:szCs w:val="20"/>
        </w:rPr>
      </w:pPr>
      <w:r w:rsidRPr="00094D58">
        <w:rPr>
          <w:b/>
          <w:noProof/>
          <w:sz w:val="20"/>
          <w:szCs w:val="20"/>
          <w:lang w:val="en-PH"/>
        </w:rPr>
        <w:drawing>
          <wp:inline distT="114300" distB="114300" distL="114300" distR="114300" wp14:anchorId="0DD9F948" wp14:editId="7E3CFA1F">
            <wp:extent cx="4643438" cy="5976938"/>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4643438" cy="5976938"/>
                    </a:xfrm>
                    <a:prstGeom prst="rect">
                      <a:avLst/>
                    </a:prstGeom>
                    <a:ln/>
                  </pic:spPr>
                </pic:pic>
              </a:graphicData>
            </a:graphic>
          </wp:inline>
        </w:drawing>
      </w:r>
    </w:p>
    <w:p w:rsidR="00AD1C6E" w:rsidRPr="00094D58" w:rsidRDefault="00094D58">
      <w:pPr>
        <w:spacing w:before="240" w:after="240"/>
        <w:jc w:val="both"/>
        <w:rPr>
          <w:sz w:val="20"/>
          <w:szCs w:val="20"/>
        </w:rPr>
        <w:sectPr w:rsidR="00AD1C6E" w:rsidRPr="00094D58">
          <w:pgSz w:w="12240" w:h="15840"/>
          <w:pgMar w:top="1440" w:right="1440" w:bottom="1440" w:left="1440" w:header="720" w:footer="720" w:gutter="0"/>
          <w:cols w:space="720"/>
        </w:sectPr>
      </w:pPr>
      <w:proofErr w:type="gramStart"/>
      <w:r w:rsidRPr="00094D58">
        <w:rPr>
          <w:b/>
          <w:sz w:val="20"/>
          <w:szCs w:val="20"/>
        </w:rPr>
        <w:t>Fig.</w:t>
      </w:r>
      <w:proofErr w:type="gramEnd"/>
      <w:r w:rsidRPr="00094D58">
        <w:rPr>
          <w:b/>
          <w:sz w:val="20"/>
          <w:szCs w:val="20"/>
        </w:rPr>
        <w:t xml:space="preserve"> S9</w:t>
      </w:r>
      <w:r w:rsidRPr="00094D58">
        <w:rPr>
          <w:b/>
          <w:sz w:val="20"/>
          <w:szCs w:val="20"/>
        </w:rPr>
        <w:t xml:space="preserve">. CSF CD4 CAR cells show a significant increase of activation markers in </w:t>
      </w:r>
      <w:proofErr w:type="spellStart"/>
      <w:r w:rsidRPr="00094D58">
        <w:rPr>
          <w:b/>
          <w:sz w:val="20"/>
          <w:szCs w:val="20"/>
        </w:rPr>
        <w:t>ICANS_onset</w:t>
      </w:r>
      <w:proofErr w:type="spellEnd"/>
      <w:r w:rsidRPr="00094D58">
        <w:rPr>
          <w:b/>
          <w:sz w:val="20"/>
          <w:szCs w:val="20"/>
        </w:rPr>
        <w:t xml:space="preserve"> patients. </w:t>
      </w:r>
      <w:r w:rsidRPr="00094D58">
        <w:rPr>
          <w:sz w:val="20"/>
          <w:szCs w:val="20"/>
        </w:rPr>
        <w:t>Boxplots showing percentage of</w:t>
      </w:r>
      <w:r w:rsidRPr="00094D58">
        <w:rPr>
          <w:b/>
          <w:sz w:val="20"/>
          <w:szCs w:val="20"/>
        </w:rPr>
        <w:t xml:space="preserve"> (A, C) </w:t>
      </w:r>
      <w:r w:rsidRPr="00094D58">
        <w:rPr>
          <w:sz w:val="20"/>
          <w:szCs w:val="20"/>
        </w:rPr>
        <w:t xml:space="preserve">GZMA+ and </w:t>
      </w:r>
      <w:r w:rsidRPr="00094D58">
        <w:rPr>
          <w:b/>
          <w:sz w:val="20"/>
          <w:szCs w:val="20"/>
        </w:rPr>
        <w:t xml:space="preserve">(B, D) </w:t>
      </w:r>
      <w:r w:rsidRPr="00094D58">
        <w:rPr>
          <w:sz w:val="20"/>
          <w:szCs w:val="20"/>
        </w:rPr>
        <w:t>CD69+ by CAR status in</w:t>
      </w:r>
      <w:r w:rsidRPr="00094D58">
        <w:rPr>
          <w:b/>
          <w:sz w:val="20"/>
          <w:szCs w:val="20"/>
        </w:rPr>
        <w:t xml:space="preserve"> (A, B)</w:t>
      </w:r>
      <w:r w:rsidRPr="00094D58">
        <w:rPr>
          <w:sz w:val="20"/>
          <w:szCs w:val="20"/>
        </w:rPr>
        <w:t xml:space="preserve"> CD4 and</w:t>
      </w:r>
      <w:r w:rsidRPr="00094D58">
        <w:rPr>
          <w:b/>
          <w:sz w:val="20"/>
          <w:szCs w:val="20"/>
        </w:rPr>
        <w:t xml:space="preserve"> (C, D)</w:t>
      </w:r>
      <w:r w:rsidRPr="00094D58">
        <w:rPr>
          <w:sz w:val="20"/>
          <w:szCs w:val="20"/>
        </w:rPr>
        <w:t xml:space="preserve"> CD8 T cells in the </w:t>
      </w:r>
      <w:proofErr w:type="spellStart"/>
      <w:r w:rsidRPr="00094D58">
        <w:rPr>
          <w:sz w:val="20"/>
          <w:szCs w:val="20"/>
        </w:rPr>
        <w:t>ICANS_onset</w:t>
      </w:r>
      <w:proofErr w:type="spellEnd"/>
      <w:r w:rsidRPr="00094D58">
        <w:rPr>
          <w:sz w:val="20"/>
          <w:szCs w:val="20"/>
        </w:rPr>
        <w:t xml:space="preserve"> (N = 7) cohort in CSF (red) and PBMC (blue) measured by flow cytometry. </w:t>
      </w:r>
      <w:r w:rsidRPr="00094D58">
        <w:rPr>
          <w:b/>
          <w:sz w:val="20"/>
          <w:szCs w:val="20"/>
        </w:rPr>
        <w:t xml:space="preserve">(E-G) </w:t>
      </w:r>
      <w:r w:rsidRPr="00094D58">
        <w:rPr>
          <w:sz w:val="20"/>
          <w:szCs w:val="20"/>
        </w:rPr>
        <w:t>Expression of (E) CXCR6, (F) GZMA and (G) CD69 is compared in CAR positive and CAR negative cells in t</w:t>
      </w:r>
      <w:r w:rsidRPr="00094D58">
        <w:rPr>
          <w:sz w:val="20"/>
          <w:szCs w:val="20"/>
        </w:rPr>
        <w:t xml:space="preserve">he CD4 and CD8 T cell compartment of </w:t>
      </w:r>
      <w:proofErr w:type="spellStart"/>
      <w:r w:rsidRPr="00094D58">
        <w:rPr>
          <w:sz w:val="20"/>
          <w:szCs w:val="20"/>
        </w:rPr>
        <w:t>ICANS_onset</w:t>
      </w:r>
      <w:proofErr w:type="spellEnd"/>
      <w:r w:rsidRPr="00094D58">
        <w:rPr>
          <w:sz w:val="20"/>
          <w:szCs w:val="20"/>
        </w:rPr>
        <w:t xml:space="preserve"> CSF (N = 7). </w:t>
      </w:r>
      <w:proofErr w:type="gramStart"/>
      <w:r w:rsidRPr="00094D58">
        <w:rPr>
          <w:sz w:val="20"/>
          <w:szCs w:val="20"/>
        </w:rPr>
        <w:t>Gating scheme as shown in Supplementary Figure 8.</w:t>
      </w:r>
      <w:proofErr w:type="gramEnd"/>
      <w:r w:rsidRPr="00094D58">
        <w:rPr>
          <w:sz w:val="20"/>
          <w:szCs w:val="20"/>
        </w:rPr>
        <w:t xml:space="preserve"> Individual data points are shown using overlaid dot plots, gray lines connect paired samples. Data are depicted as median, and the lower </w:t>
      </w:r>
      <w:proofErr w:type="spellStart"/>
      <w:r w:rsidRPr="00094D58">
        <w:rPr>
          <w:sz w:val="20"/>
          <w:szCs w:val="20"/>
        </w:rPr>
        <w:t>quatile</w:t>
      </w:r>
      <w:proofErr w:type="spellEnd"/>
      <w:r w:rsidRPr="00094D58">
        <w:rPr>
          <w:sz w:val="20"/>
          <w:szCs w:val="20"/>
        </w:rPr>
        <w:t xml:space="preserve"> and upper quartile. </w:t>
      </w:r>
      <w:proofErr w:type="gramStart"/>
      <w:r w:rsidRPr="00094D58">
        <w:rPr>
          <w:sz w:val="20"/>
          <w:szCs w:val="20"/>
        </w:rPr>
        <w:t>Whisker include</w:t>
      </w:r>
      <w:proofErr w:type="gramEnd"/>
      <w:r w:rsidRPr="00094D58">
        <w:rPr>
          <w:sz w:val="20"/>
          <w:szCs w:val="20"/>
        </w:rPr>
        <w:t xml:space="preserve"> 1.5 times the interquartile range. A paired t-test was calculated for statistical significance.</w:t>
      </w:r>
    </w:p>
    <w:p w:rsidR="00AD1C6E" w:rsidRPr="00094D58" w:rsidRDefault="00094D58">
      <w:pPr>
        <w:spacing w:before="240" w:after="240"/>
        <w:jc w:val="both"/>
        <w:rPr>
          <w:b/>
          <w:sz w:val="20"/>
          <w:szCs w:val="20"/>
        </w:rPr>
      </w:pPr>
      <w:proofErr w:type="gramStart"/>
      <w:r w:rsidRPr="00094D58">
        <w:rPr>
          <w:b/>
        </w:rPr>
        <w:lastRenderedPageBreak/>
        <w:t>Fig.</w:t>
      </w:r>
      <w:proofErr w:type="gramEnd"/>
      <w:r w:rsidRPr="00094D58">
        <w:rPr>
          <w:b/>
        </w:rPr>
        <w:t xml:space="preserve"> S10</w:t>
      </w:r>
    </w:p>
    <w:p w:rsidR="00AD1C6E" w:rsidRPr="00094D58" w:rsidRDefault="00094D58">
      <w:pPr>
        <w:spacing w:before="240" w:after="240"/>
        <w:jc w:val="both"/>
        <w:rPr>
          <w:b/>
          <w:sz w:val="20"/>
          <w:szCs w:val="20"/>
        </w:rPr>
      </w:pPr>
      <w:r w:rsidRPr="00094D58">
        <w:rPr>
          <w:noProof/>
          <w:sz w:val="20"/>
          <w:szCs w:val="20"/>
          <w:lang w:val="en-PH"/>
        </w:rPr>
        <w:drawing>
          <wp:inline distT="114300" distB="114300" distL="114300" distR="114300" wp14:anchorId="04547598" wp14:editId="37300523">
            <wp:extent cx="5943600" cy="29591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943600" cy="2959100"/>
                    </a:xfrm>
                    <a:prstGeom prst="rect">
                      <a:avLst/>
                    </a:prstGeom>
                    <a:ln/>
                  </pic:spPr>
                </pic:pic>
              </a:graphicData>
            </a:graphic>
          </wp:inline>
        </w:drawing>
      </w:r>
    </w:p>
    <w:p w:rsidR="00AD1C6E" w:rsidRPr="00094D58" w:rsidRDefault="00094D58">
      <w:pPr>
        <w:spacing w:before="240" w:after="240"/>
        <w:jc w:val="both"/>
        <w:rPr>
          <w:sz w:val="20"/>
          <w:szCs w:val="20"/>
        </w:rPr>
        <w:sectPr w:rsidR="00AD1C6E" w:rsidRPr="00094D58">
          <w:pgSz w:w="12240" w:h="15840"/>
          <w:pgMar w:top="1440" w:right="1440" w:bottom="1440" w:left="1440" w:header="720" w:footer="720" w:gutter="0"/>
          <w:cols w:space="720"/>
        </w:sectPr>
      </w:pPr>
      <w:proofErr w:type="gramStart"/>
      <w:r w:rsidRPr="00094D58">
        <w:rPr>
          <w:b/>
          <w:sz w:val="20"/>
          <w:szCs w:val="20"/>
        </w:rPr>
        <w:t>Fig.</w:t>
      </w:r>
      <w:proofErr w:type="gramEnd"/>
      <w:r w:rsidRPr="00094D58">
        <w:rPr>
          <w:b/>
          <w:sz w:val="20"/>
          <w:szCs w:val="20"/>
        </w:rPr>
        <w:t xml:space="preserve"> S10</w:t>
      </w:r>
      <w:r w:rsidRPr="00094D58">
        <w:rPr>
          <w:b/>
          <w:sz w:val="20"/>
          <w:szCs w:val="20"/>
        </w:rPr>
        <w:t xml:space="preserve">. IL16 correlates with ICANS severity. (A) </w:t>
      </w:r>
      <w:r w:rsidRPr="00094D58">
        <w:rPr>
          <w:sz w:val="20"/>
          <w:szCs w:val="20"/>
        </w:rPr>
        <w:t>Boxplot representing CXCL16 concentration in ng/ml in the CSF</w:t>
      </w:r>
      <w:r w:rsidRPr="00094D58">
        <w:rPr>
          <w:sz w:val="20"/>
          <w:szCs w:val="20"/>
        </w:rPr>
        <w:t xml:space="preserve"> of different cohorts, including control: N = 7, multiple sclerosis (MS): N = 7, and </w:t>
      </w:r>
      <w:proofErr w:type="spellStart"/>
      <w:r w:rsidRPr="00094D58">
        <w:rPr>
          <w:sz w:val="20"/>
          <w:szCs w:val="20"/>
        </w:rPr>
        <w:t>ICANS_onset</w:t>
      </w:r>
      <w:proofErr w:type="spellEnd"/>
      <w:r w:rsidRPr="00094D58">
        <w:rPr>
          <w:sz w:val="20"/>
          <w:szCs w:val="20"/>
        </w:rPr>
        <w:t xml:space="preserve"> samples: N = 9. Data are depicted as median, and the lower quartile and upper quartile. </w:t>
      </w:r>
      <w:proofErr w:type="gramStart"/>
      <w:r w:rsidRPr="00094D58">
        <w:rPr>
          <w:sz w:val="20"/>
          <w:szCs w:val="20"/>
        </w:rPr>
        <w:t>Whisker include</w:t>
      </w:r>
      <w:proofErr w:type="gramEnd"/>
      <w:r w:rsidRPr="00094D58">
        <w:rPr>
          <w:sz w:val="20"/>
          <w:szCs w:val="20"/>
        </w:rPr>
        <w:t xml:space="preserve"> 1.5 times the interquartile range. </w:t>
      </w:r>
      <w:r w:rsidRPr="00094D58">
        <w:rPr>
          <w:b/>
          <w:sz w:val="20"/>
          <w:szCs w:val="20"/>
        </w:rPr>
        <w:t>(B)</w:t>
      </w:r>
      <w:r w:rsidRPr="00094D58">
        <w:rPr>
          <w:sz w:val="20"/>
          <w:szCs w:val="20"/>
        </w:rPr>
        <w:t xml:space="preserve"> Scatter plots de</w:t>
      </w:r>
      <w:r w:rsidRPr="00094D58">
        <w:rPr>
          <w:sz w:val="20"/>
          <w:szCs w:val="20"/>
        </w:rPr>
        <w:t xml:space="preserve">picting spearman correlations of CSF IL-6 levels, if available (N = 7) with ICANS grade. The line depicts the linear regression and R is showing the correlation coefficient. </w:t>
      </w:r>
    </w:p>
    <w:p w:rsidR="00AD1C6E" w:rsidRPr="00094D58" w:rsidRDefault="00094D58">
      <w:pPr>
        <w:spacing w:before="240" w:after="240"/>
        <w:jc w:val="both"/>
        <w:rPr>
          <w:b/>
        </w:rPr>
      </w:pPr>
      <w:proofErr w:type="gramStart"/>
      <w:r w:rsidRPr="00094D58">
        <w:rPr>
          <w:b/>
        </w:rPr>
        <w:lastRenderedPageBreak/>
        <w:t>Fig.</w:t>
      </w:r>
      <w:proofErr w:type="gramEnd"/>
      <w:r w:rsidRPr="00094D58">
        <w:rPr>
          <w:b/>
        </w:rPr>
        <w:t xml:space="preserve"> S11</w:t>
      </w:r>
    </w:p>
    <w:p w:rsidR="00AD1C6E" w:rsidRPr="00094D58" w:rsidRDefault="00094D58">
      <w:pPr>
        <w:spacing w:before="240" w:after="240"/>
        <w:ind w:left="90"/>
        <w:jc w:val="both"/>
        <w:rPr>
          <w:b/>
        </w:rPr>
      </w:pPr>
      <w:r w:rsidRPr="00094D58">
        <w:rPr>
          <w:b/>
          <w:noProof/>
          <w:lang w:val="en-PH"/>
        </w:rPr>
        <w:drawing>
          <wp:inline distT="114300" distB="114300" distL="114300" distR="114300" wp14:anchorId="4841DD0A" wp14:editId="21C9B3DB">
            <wp:extent cx="5943600" cy="4127500"/>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5943600" cy="4127500"/>
                    </a:xfrm>
                    <a:prstGeom prst="rect">
                      <a:avLst/>
                    </a:prstGeom>
                    <a:ln/>
                  </pic:spPr>
                </pic:pic>
              </a:graphicData>
            </a:graphic>
          </wp:inline>
        </w:drawing>
      </w:r>
    </w:p>
    <w:p w:rsidR="00AD1C6E" w:rsidRPr="00094D58" w:rsidRDefault="00094D58">
      <w:pPr>
        <w:spacing w:before="240" w:after="240"/>
        <w:jc w:val="both"/>
        <w:rPr>
          <w:sz w:val="20"/>
          <w:szCs w:val="20"/>
        </w:rPr>
      </w:pPr>
      <w:proofErr w:type="gramStart"/>
      <w:r w:rsidRPr="00094D58">
        <w:rPr>
          <w:b/>
          <w:sz w:val="20"/>
          <w:szCs w:val="20"/>
        </w:rPr>
        <w:t>Fig.</w:t>
      </w:r>
      <w:proofErr w:type="gramEnd"/>
      <w:r w:rsidRPr="00094D58">
        <w:rPr>
          <w:b/>
          <w:sz w:val="20"/>
          <w:szCs w:val="20"/>
        </w:rPr>
        <w:t xml:space="preserve"> S11</w:t>
      </w:r>
      <w:r w:rsidRPr="00094D58">
        <w:rPr>
          <w:b/>
          <w:sz w:val="20"/>
          <w:szCs w:val="20"/>
        </w:rPr>
        <w:t xml:space="preserve">. </w:t>
      </w:r>
      <w:proofErr w:type="gramStart"/>
      <w:r w:rsidRPr="00094D58">
        <w:rPr>
          <w:b/>
          <w:sz w:val="20"/>
          <w:szCs w:val="20"/>
        </w:rPr>
        <w:t>Phenotyping of myeloid cells in ICANS patients.</w:t>
      </w:r>
      <w:proofErr w:type="gramEnd"/>
      <w:r w:rsidRPr="00094D58">
        <w:rPr>
          <w:b/>
          <w:sz w:val="20"/>
          <w:szCs w:val="20"/>
        </w:rPr>
        <w:t xml:space="preserve"> (A-H) </w:t>
      </w:r>
      <w:r w:rsidRPr="00094D58">
        <w:rPr>
          <w:sz w:val="20"/>
          <w:szCs w:val="20"/>
        </w:rPr>
        <w:t>Spatia</w:t>
      </w:r>
      <w:r w:rsidRPr="00094D58">
        <w:rPr>
          <w:sz w:val="20"/>
          <w:szCs w:val="20"/>
        </w:rPr>
        <w:t xml:space="preserve">l transcriptomic of postmortem choroid plexus from an ICANS patient with spatial distributions of </w:t>
      </w:r>
      <w:r w:rsidRPr="00094D58">
        <w:rPr>
          <w:b/>
          <w:sz w:val="20"/>
          <w:szCs w:val="20"/>
        </w:rPr>
        <w:t>(A)</w:t>
      </w:r>
      <w:r w:rsidRPr="00094D58">
        <w:rPr>
          <w:sz w:val="20"/>
          <w:szCs w:val="20"/>
        </w:rPr>
        <w:t xml:space="preserve"> CXCL16, </w:t>
      </w:r>
      <w:r w:rsidRPr="00094D58">
        <w:rPr>
          <w:b/>
          <w:sz w:val="20"/>
          <w:szCs w:val="20"/>
        </w:rPr>
        <w:t xml:space="preserve">(B) </w:t>
      </w:r>
      <w:r w:rsidRPr="00094D58">
        <w:rPr>
          <w:sz w:val="20"/>
          <w:szCs w:val="20"/>
        </w:rPr>
        <w:t xml:space="preserve">CD14, </w:t>
      </w:r>
      <w:r w:rsidRPr="00094D58">
        <w:rPr>
          <w:b/>
          <w:sz w:val="20"/>
          <w:szCs w:val="20"/>
        </w:rPr>
        <w:t xml:space="preserve">(C) </w:t>
      </w:r>
      <w:r w:rsidRPr="00094D58">
        <w:rPr>
          <w:sz w:val="20"/>
          <w:szCs w:val="20"/>
        </w:rPr>
        <w:t xml:space="preserve">CD40, </w:t>
      </w:r>
      <w:r w:rsidRPr="00094D58">
        <w:rPr>
          <w:b/>
          <w:sz w:val="20"/>
          <w:szCs w:val="20"/>
        </w:rPr>
        <w:t>(D)</w:t>
      </w:r>
      <w:r w:rsidRPr="00094D58">
        <w:rPr>
          <w:sz w:val="20"/>
          <w:szCs w:val="20"/>
        </w:rPr>
        <w:t xml:space="preserve"> CD68, </w:t>
      </w:r>
      <w:r w:rsidRPr="00094D58">
        <w:rPr>
          <w:b/>
          <w:sz w:val="20"/>
          <w:szCs w:val="20"/>
        </w:rPr>
        <w:t xml:space="preserve">(E) </w:t>
      </w:r>
      <w:r w:rsidRPr="00094D58">
        <w:rPr>
          <w:sz w:val="20"/>
          <w:szCs w:val="20"/>
        </w:rPr>
        <w:t xml:space="preserve">ITGAL, </w:t>
      </w:r>
      <w:r w:rsidRPr="00094D58">
        <w:rPr>
          <w:b/>
          <w:sz w:val="20"/>
          <w:szCs w:val="20"/>
        </w:rPr>
        <w:t xml:space="preserve">(F) </w:t>
      </w:r>
      <w:r w:rsidRPr="00094D58">
        <w:rPr>
          <w:sz w:val="20"/>
          <w:szCs w:val="20"/>
        </w:rPr>
        <w:t xml:space="preserve">ITGA4, </w:t>
      </w:r>
      <w:r w:rsidRPr="00094D58">
        <w:rPr>
          <w:b/>
          <w:sz w:val="20"/>
          <w:szCs w:val="20"/>
        </w:rPr>
        <w:t xml:space="preserve">(G) </w:t>
      </w:r>
      <w:r w:rsidRPr="00094D58">
        <w:rPr>
          <w:sz w:val="20"/>
          <w:szCs w:val="20"/>
        </w:rPr>
        <w:t xml:space="preserve">CX3CR1, and </w:t>
      </w:r>
      <w:r w:rsidRPr="00094D58">
        <w:rPr>
          <w:b/>
          <w:sz w:val="20"/>
          <w:szCs w:val="20"/>
        </w:rPr>
        <w:t xml:space="preserve">(H) </w:t>
      </w:r>
      <w:r w:rsidRPr="00094D58">
        <w:rPr>
          <w:sz w:val="20"/>
          <w:szCs w:val="20"/>
        </w:rPr>
        <w:t xml:space="preserve">TMEM1119 genes in a 6.5 x 6.5 mm capture area with 8-µm pixel size by </w:t>
      </w:r>
      <w:proofErr w:type="spellStart"/>
      <w:r w:rsidRPr="00094D58">
        <w:rPr>
          <w:sz w:val="20"/>
          <w:szCs w:val="20"/>
        </w:rPr>
        <w:t>Visi</w:t>
      </w:r>
      <w:r w:rsidRPr="00094D58">
        <w:rPr>
          <w:sz w:val="20"/>
          <w:szCs w:val="20"/>
        </w:rPr>
        <w:t>umHD</w:t>
      </w:r>
      <w:proofErr w:type="spellEnd"/>
      <w:r w:rsidRPr="00094D58">
        <w:rPr>
          <w:sz w:val="20"/>
          <w:szCs w:val="20"/>
        </w:rPr>
        <w:t xml:space="preserve">. </w:t>
      </w:r>
      <w:r w:rsidRPr="00094D58">
        <w:rPr>
          <w:b/>
          <w:sz w:val="20"/>
          <w:szCs w:val="20"/>
        </w:rPr>
        <w:t xml:space="preserve">(I) </w:t>
      </w:r>
      <w:r w:rsidRPr="00094D58">
        <w:rPr>
          <w:sz w:val="20"/>
          <w:szCs w:val="20"/>
        </w:rPr>
        <w:t xml:space="preserve">Explorative flow cytometric analysis with contour plots and gating scheme displaying the expression levels of CD40 and CD49d in monocytes in an ICANS patient, analyzed in PBMC or CSF. </w:t>
      </w:r>
    </w:p>
    <w:p w:rsidR="00AD1C6E" w:rsidRPr="00094D58" w:rsidRDefault="00094D58">
      <w:pPr>
        <w:spacing w:before="240" w:after="240"/>
        <w:jc w:val="both"/>
        <w:rPr>
          <w:sz w:val="20"/>
          <w:szCs w:val="20"/>
        </w:rPr>
      </w:pPr>
      <w:r w:rsidRPr="00094D58">
        <w:br w:type="page"/>
      </w:r>
    </w:p>
    <w:p w:rsidR="00AD1C6E" w:rsidRPr="00094D58" w:rsidRDefault="00094D58">
      <w:pPr>
        <w:spacing w:before="240" w:after="240"/>
        <w:jc w:val="both"/>
        <w:rPr>
          <w:sz w:val="20"/>
          <w:szCs w:val="20"/>
        </w:rPr>
      </w:pPr>
      <w:proofErr w:type="gramStart"/>
      <w:r w:rsidRPr="00094D58">
        <w:rPr>
          <w:b/>
        </w:rPr>
        <w:lastRenderedPageBreak/>
        <w:t>Fig.</w:t>
      </w:r>
      <w:proofErr w:type="gramEnd"/>
      <w:r w:rsidRPr="00094D58">
        <w:rPr>
          <w:b/>
        </w:rPr>
        <w:t xml:space="preserve"> S12</w:t>
      </w:r>
    </w:p>
    <w:p w:rsidR="00AD1C6E" w:rsidRPr="00094D58" w:rsidRDefault="00094D58">
      <w:pPr>
        <w:spacing w:before="240" w:after="240"/>
        <w:ind w:left="90"/>
        <w:jc w:val="both"/>
        <w:rPr>
          <w:sz w:val="20"/>
          <w:szCs w:val="20"/>
        </w:rPr>
      </w:pPr>
      <w:r w:rsidRPr="00094D58">
        <w:rPr>
          <w:b/>
          <w:noProof/>
          <w:lang w:val="en-PH"/>
        </w:rPr>
        <w:drawing>
          <wp:inline distT="114300" distB="114300" distL="114300" distR="114300" wp14:anchorId="5205AFA0" wp14:editId="3F2F6983">
            <wp:extent cx="4972050" cy="6115259"/>
            <wp:effectExtent l="0" t="0" r="0" b="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4972050" cy="6115259"/>
                    </a:xfrm>
                    <a:prstGeom prst="rect">
                      <a:avLst/>
                    </a:prstGeom>
                    <a:ln/>
                  </pic:spPr>
                </pic:pic>
              </a:graphicData>
            </a:graphic>
          </wp:inline>
        </w:drawing>
      </w:r>
    </w:p>
    <w:p w:rsidR="00AD1C6E" w:rsidRPr="00094D58" w:rsidRDefault="00094D58">
      <w:pPr>
        <w:spacing w:before="240" w:after="240"/>
        <w:jc w:val="both"/>
        <w:rPr>
          <w:sz w:val="20"/>
          <w:szCs w:val="20"/>
        </w:rPr>
      </w:pPr>
      <w:proofErr w:type="gramStart"/>
      <w:r w:rsidRPr="00094D58">
        <w:rPr>
          <w:b/>
          <w:sz w:val="20"/>
          <w:szCs w:val="20"/>
        </w:rPr>
        <w:t>Fig.</w:t>
      </w:r>
      <w:proofErr w:type="gramEnd"/>
      <w:r w:rsidRPr="00094D58">
        <w:rPr>
          <w:b/>
          <w:sz w:val="20"/>
          <w:szCs w:val="20"/>
        </w:rPr>
        <w:t xml:space="preserve"> S12</w:t>
      </w:r>
      <w:r w:rsidRPr="00094D58">
        <w:rPr>
          <w:b/>
          <w:sz w:val="20"/>
          <w:szCs w:val="20"/>
        </w:rPr>
        <w:t xml:space="preserve">. </w:t>
      </w:r>
      <w:proofErr w:type="gramStart"/>
      <w:r w:rsidRPr="00094D58">
        <w:rPr>
          <w:b/>
          <w:sz w:val="20"/>
          <w:szCs w:val="20"/>
        </w:rPr>
        <w:t>Detection of CXCL16-CXCR6 axis in the postmortem ICANS brain.</w:t>
      </w:r>
      <w:proofErr w:type="gramEnd"/>
      <w:r w:rsidRPr="00094D58">
        <w:rPr>
          <w:sz w:val="20"/>
          <w:szCs w:val="20"/>
        </w:rPr>
        <w:t xml:space="preserve"> </w:t>
      </w:r>
      <w:r w:rsidRPr="00094D58">
        <w:rPr>
          <w:b/>
          <w:sz w:val="20"/>
          <w:szCs w:val="20"/>
        </w:rPr>
        <w:t>(A)</w:t>
      </w:r>
      <w:r w:rsidRPr="00094D58">
        <w:rPr>
          <w:sz w:val="20"/>
          <w:szCs w:val="20"/>
        </w:rPr>
        <w:t xml:space="preserve"> Overview image showing four regions of interest (ROIs), each 1000 x 1000 </w:t>
      </w:r>
      <w:proofErr w:type="spellStart"/>
      <w:r w:rsidRPr="00094D58">
        <w:rPr>
          <w:sz w:val="20"/>
          <w:szCs w:val="20"/>
        </w:rPr>
        <w:t>μm</w:t>
      </w:r>
      <w:proofErr w:type="spellEnd"/>
      <w:r w:rsidRPr="00094D58">
        <w:rPr>
          <w:sz w:val="20"/>
          <w:szCs w:val="20"/>
        </w:rPr>
        <w:t>, with T cell infiltration. These ROIs were selected for proximity analysis in Fig. 3E and are located within the</w:t>
      </w:r>
      <w:r w:rsidRPr="00094D58">
        <w:rPr>
          <w:sz w:val="20"/>
          <w:szCs w:val="20"/>
        </w:rPr>
        <w:t xml:space="preserve"> brain parenchyma of a post-mortem ICANS case (N = 1). Scale bar: 1000 </w:t>
      </w:r>
      <w:proofErr w:type="spellStart"/>
      <w:r w:rsidRPr="00094D58">
        <w:rPr>
          <w:sz w:val="20"/>
          <w:szCs w:val="20"/>
        </w:rPr>
        <w:t>μm</w:t>
      </w:r>
      <w:proofErr w:type="spellEnd"/>
      <w:r w:rsidRPr="00094D58">
        <w:rPr>
          <w:sz w:val="20"/>
          <w:szCs w:val="20"/>
        </w:rPr>
        <w:t xml:space="preserve">. </w:t>
      </w:r>
      <w:r w:rsidRPr="00094D58">
        <w:rPr>
          <w:b/>
          <w:sz w:val="20"/>
          <w:szCs w:val="20"/>
        </w:rPr>
        <w:t xml:space="preserve">(B) </w:t>
      </w:r>
      <w:r w:rsidRPr="00094D58">
        <w:rPr>
          <w:sz w:val="20"/>
          <w:szCs w:val="20"/>
        </w:rPr>
        <w:t xml:space="preserve">Multiplexed immunofluorescence staining in an additional representative field of post-mortem ICANS brain parenchyma. </w:t>
      </w:r>
      <w:proofErr w:type="gramStart"/>
      <w:r w:rsidRPr="00094D58">
        <w:rPr>
          <w:sz w:val="20"/>
          <w:szCs w:val="20"/>
        </w:rPr>
        <w:t>CD3 (red), CXCR6 (light blue), DAPI (white), CXCL16 (yellow)</w:t>
      </w:r>
      <w:r w:rsidRPr="00094D58">
        <w:rPr>
          <w:sz w:val="20"/>
          <w:szCs w:val="20"/>
        </w:rPr>
        <w:t>, and CD11b (violet).</w:t>
      </w:r>
      <w:proofErr w:type="gramEnd"/>
      <w:r w:rsidRPr="00094D58">
        <w:rPr>
          <w:sz w:val="20"/>
          <w:szCs w:val="20"/>
        </w:rPr>
        <w:t xml:space="preserve"> Scale bar: 20 </w:t>
      </w:r>
      <w:proofErr w:type="spellStart"/>
      <w:r w:rsidRPr="00094D58">
        <w:rPr>
          <w:sz w:val="20"/>
          <w:szCs w:val="20"/>
        </w:rPr>
        <w:t>μm</w:t>
      </w:r>
      <w:proofErr w:type="spellEnd"/>
      <w:r w:rsidRPr="00094D58">
        <w:rPr>
          <w:sz w:val="20"/>
          <w:szCs w:val="20"/>
        </w:rPr>
        <w:t xml:space="preserve">.  </w:t>
      </w:r>
    </w:p>
    <w:p w:rsidR="00AD1C6E" w:rsidRPr="00094D58" w:rsidRDefault="00094D58">
      <w:pPr>
        <w:spacing w:before="240" w:after="240"/>
        <w:jc w:val="both"/>
        <w:rPr>
          <w:sz w:val="20"/>
          <w:szCs w:val="20"/>
        </w:rPr>
      </w:pPr>
      <w:r w:rsidRPr="00094D58">
        <w:br w:type="page"/>
      </w:r>
    </w:p>
    <w:p w:rsidR="00AD1C6E" w:rsidRPr="00094D58" w:rsidRDefault="00094D58">
      <w:pPr>
        <w:spacing w:before="240" w:after="240"/>
        <w:jc w:val="both"/>
        <w:rPr>
          <w:sz w:val="20"/>
          <w:szCs w:val="20"/>
        </w:rPr>
      </w:pPr>
      <w:proofErr w:type="gramStart"/>
      <w:r w:rsidRPr="00094D58">
        <w:rPr>
          <w:b/>
        </w:rPr>
        <w:lastRenderedPageBreak/>
        <w:t>Fig.</w:t>
      </w:r>
      <w:proofErr w:type="gramEnd"/>
      <w:r w:rsidRPr="00094D58">
        <w:rPr>
          <w:b/>
        </w:rPr>
        <w:t xml:space="preserve"> S13</w:t>
      </w:r>
    </w:p>
    <w:p w:rsidR="00AD1C6E" w:rsidRPr="00094D58" w:rsidRDefault="00094D58">
      <w:pPr>
        <w:spacing w:before="240" w:after="240"/>
        <w:jc w:val="both"/>
        <w:rPr>
          <w:sz w:val="20"/>
          <w:szCs w:val="20"/>
        </w:rPr>
      </w:pPr>
      <w:r w:rsidRPr="00094D58">
        <w:rPr>
          <w:noProof/>
          <w:sz w:val="20"/>
          <w:szCs w:val="20"/>
          <w:lang w:val="en-PH"/>
        </w:rPr>
        <w:drawing>
          <wp:inline distT="114300" distB="114300" distL="114300" distR="114300" wp14:anchorId="18EF9F02" wp14:editId="3BB3D017">
            <wp:extent cx="4291013" cy="7614127"/>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4291013" cy="7614127"/>
                    </a:xfrm>
                    <a:prstGeom prst="rect">
                      <a:avLst/>
                    </a:prstGeom>
                    <a:ln/>
                  </pic:spPr>
                </pic:pic>
              </a:graphicData>
            </a:graphic>
          </wp:inline>
        </w:drawing>
      </w:r>
    </w:p>
    <w:p w:rsidR="00AD1C6E" w:rsidRDefault="00094D58">
      <w:pPr>
        <w:spacing w:before="240" w:after="240"/>
        <w:jc w:val="both"/>
        <w:rPr>
          <w:b/>
        </w:rPr>
      </w:pPr>
      <w:proofErr w:type="gramStart"/>
      <w:r w:rsidRPr="00094D58">
        <w:rPr>
          <w:b/>
          <w:sz w:val="20"/>
          <w:szCs w:val="20"/>
        </w:rPr>
        <w:lastRenderedPageBreak/>
        <w:t>Fig.</w:t>
      </w:r>
      <w:proofErr w:type="gramEnd"/>
      <w:r w:rsidRPr="00094D58">
        <w:rPr>
          <w:b/>
          <w:sz w:val="20"/>
          <w:szCs w:val="20"/>
        </w:rPr>
        <w:t xml:space="preserve"> S13.</w:t>
      </w:r>
      <w:r w:rsidRPr="00094D58">
        <w:rPr>
          <w:b/>
          <w:sz w:val="20"/>
          <w:szCs w:val="20"/>
        </w:rPr>
        <w:t xml:space="preserve"> Up-regulated genes related to CAR-transcript expression in the CSF T cell subsets </w:t>
      </w:r>
      <w:r w:rsidRPr="00094D58">
        <w:rPr>
          <w:b/>
          <w:sz w:val="20"/>
          <w:szCs w:val="20"/>
        </w:rPr>
        <w:t xml:space="preserve">in </w:t>
      </w:r>
      <w:proofErr w:type="spellStart"/>
      <w:r w:rsidRPr="00094D58">
        <w:rPr>
          <w:b/>
          <w:sz w:val="20"/>
          <w:szCs w:val="20"/>
        </w:rPr>
        <w:t>ICANS_onset</w:t>
      </w:r>
      <w:proofErr w:type="spellEnd"/>
      <w:r w:rsidRPr="00094D58">
        <w:rPr>
          <w:b/>
          <w:sz w:val="20"/>
          <w:szCs w:val="20"/>
        </w:rPr>
        <w:t xml:space="preserve"> patients</w:t>
      </w:r>
      <w:r w:rsidRPr="00094D58">
        <w:rPr>
          <w:b/>
          <w:sz w:val="20"/>
          <w:szCs w:val="20"/>
        </w:rPr>
        <w:t>.</w:t>
      </w:r>
      <w:r w:rsidRPr="00094D58">
        <w:rPr>
          <w:sz w:val="20"/>
          <w:szCs w:val="20"/>
        </w:rPr>
        <w:t xml:space="preserve"> </w:t>
      </w:r>
      <w:r w:rsidRPr="00094D58">
        <w:rPr>
          <w:b/>
          <w:sz w:val="20"/>
          <w:szCs w:val="20"/>
        </w:rPr>
        <w:t>(A-B)</w:t>
      </w:r>
      <w:r w:rsidRPr="00094D58">
        <w:rPr>
          <w:sz w:val="20"/>
          <w:szCs w:val="20"/>
        </w:rPr>
        <w:t xml:space="preserve"> UMAP representation of dataset from </w:t>
      </w:r>
      <w:proofErr w:type="spellStart"/>
      <w:r w:rsidRPr="00094D58">
        <w:rPr>
          <w:sz w:val="20"/>
          <w:szCs w:val="20"/>
        </w:rPr>
        <w:t>ICANS_onset</w:t>
      </w:r>
      <w:proofErr w:type="spellEnd"/>
      <w:r w:rsidRPr="00094D58">
        <w:rPr>
          <w:sz w:val="20"/>
          <w:szCs w:val="20"/>
        </w:rPr>
        <w:t xml:space="preserve"> patients (N = 5, cell count = </w:t>
      </w:r>
      <w:r w:rsidRPr="00094D58">
        <w:rPr>
          <w:sz w:val="20"/>
          <w:szCs w:val="20"/>
        </w:rPr>
        <w:t xml:space="preserve">4,716) and IIH control donors (N = 4, cell count = 3,513), colored by CAR-transcript expression (A) and CAR+ or CAR- T cell populations (B). </w:t>
      </w:r>
      <w:r w:rsidRPr="00094D58">
        <w:rPr>
          <w:b/>
          <w:sz w:val="20"/>
          <w:szCs w:val="20"/>
        </w:rPr>
        <w:t>(C-F)</w:t>
      </w:r>
      <w:r w:rsidRPr="00094D58">
        <w:rPr>
          <w:sz w:val="20"/>
          <w:szCs w:val="20"/>
        </w:rPr>
        <w:t xml:space="preserve"> DEGs with top markers and CXCR6 highlighted in all T cell populations (CD4, Cytotoxic CD4, Proliferating, and</w:t>
      </w:r>
      <w:r w:rsidRPr="00094D58">
        <w:rPr>
          <w:sz w:val="20"/>
          <w:szCs w:val="20"/>
        </w:rPr>
        <w:t xml:space="preserve"> CD8) of CAR+ versus CAR- cells. The horizontal lines represent the significance thresholds (horizontal dashed line: </w:t>
      </w:r>
      <w:r w:rsidRPr="00094D58">
        <w:rPr>
          <w:i/>
          <w:sz w:val="20"/>
          <w:szCs w:val="20"/>
        </w:rPr>
        <w:t>P</w:t>
      </w:r>
      <w:r w:rsidRPr="00094D58">
        <w:rPr>
          <w:sz w:val="20"/>
          <w:szCs w:val="20"/>
        </w:rPr>
        <w:t xml:space="preserve"> = 0.05).</w:t>
      </w:r>
      <w:bookmarkStart w:id="0" w:name="_GoBack"/>
      <w:bookmarkEnd w:id="0"/>
      <w:r>
        <w:rPr>
          <w:sz w:val="20"/>
          <w:szCs w:val="20"/>
        </w:rPr>
        <w:t xml:space="preserve"> </w:t>
      </w:r>
    </w:p>
    <w:p w:rsidR="00AD1C6E" w:rsidRDefault="00AD1C6E"/>
    <w:sectPr w:rsidR="00AD1C6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D1C6E"/>
    <w:rsid w:val="00094D58"/>
    <w:rsid w:val="00AD1C6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094D5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D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094D5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D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1409</Words>
  <Characters>8037</Characters>
  <Application>Microsoft Office Word</Application>
  <DocSecurity>0</DocSecurity>
  <Lines>66</Lines>
  <Paragraphs>18</Paragraphs>
  <ScaleCrop>false</ScaleCrop>
  <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Theresa Gajelomo</cp:lastModifiedBy>
  <cp:revision>2</cp:revision>
  <dcterms:created xsi:type="dcterms:W3CDTF">2025-06-22T22:31:00Z</dcterms:created>
  <dcterms:modified xsi:type="dcterms:W3CDTF">2025-06-22T22:32:00Z</dcterms:modified>
</cp:coreProperties>
</file>