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005EC" w14:textId="4CBD47D6" w:rsidR="00CD5B0E" w:rsidRDefault="00CD5B0E" w:rsidP="00CD5B0E">
      <w:pPr>
        <w:rPr>
          <w:noProof/>
        </w:rPr>
      </w:pPr>
      <w:r>
        <w:rPr>
          <w:noProof/>
        </w:rPr>
        <w:t>Addit</w:t>
      </w:r>
      <w:r w:rsidR="001833D1">
        <w:rPr>
          <w:noProof/>
        </w:rPr>
        <w:t>i</w:t>
      </w:r>
      <w:r>
        <w:rPr>
          <w:noProof/>
        </w:rPr>
        <w:t>onal file 1</w:t>
      </w:r>
    </w:p>
    <w:p w14:paraId="53A0E669" w14:textId="52DA8C95" w:rsidR="00CD5B0E" w:rsidRPr="00D5338B" w:rsidRDefault="00CD5B0E" w:rsidP="00CD5B0E">
      <w:pPr>
        <w:rPr>
          <w:noProof/>
        </w:rPr>
      </w:pPr>
      <w:r w:rsidRPr="00D5338B">
        <w:rPr>
          <w:noProof/>
        </w:rPr>
        <w:drawing>
          <wp:inline distT="0" distB="0" distL="0" distR="0" wp14:anchorId="1B69CC1F" wp14:editId="44C88153">
            <wp:extent cx="5760720" cy="3790315"/>
            <wp:effectExtent l="0" t="0" r="0" b="635"/>
            <wp:docPr id="1562431178" name="Picture 1" descr="A diagram of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431178" name="Picture 1" descr="A diagram of a company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9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42721" w14:textId="71BE21C8" w:rsidR="00CD5B0E" w:rsidRPr="00D5338B" w:rsidRDefault="00CD5B0E" w:rsidP="00CD5B0E">
      <w:r>
        <w:rPr>
          <w:b/>
          <w:bCs/>
        </w:rPr>
        <w:t>Fig</w:t>
      </w:r>
      <w:r w:rsidR="00934982">
        <w:rPr>
          <w:b/>
          <w:bCs/>
        </w:rPr>
        <w:t>.</w:t>
      </w:r>
      <w:r>
        <w:rPr>
          <w:b/>
          <w:bCs/>
        </w:rPr>
        <w:t xml:space="preserve"> </w:t>
      </w:r>
      <w:r w:rsidRPr="00D5338B">
        <w:rPr>
          <w:b/>
          <w:bCs/>
        </w:rPr>
        <w:t>S1. Overview of the STREAM-PRS pipeline, illustrating the workflow for the two use-cases.</w:t>
      </w:r>
      <w:r w:rsidRPr="00D5338B">
        <w:t xml:space="preserve"> The four main steps of the pipeline are indicated: (1) GWAS QC; (2) score calculation for the five included PRS tools (PRSice-2, PRS-CS, LDpred2, lassosum and lassosum2) by tuning the parameters in the training dataset and using these tuned parameters in the test dataset; (3) PC-correction and standardization of all scores; and (4) selection of best PRS. </w:t>
      </w:r>
      <w:r w:rsidRPr="00D5338B">
        <w:rPr>
          <w:b/>
          <w:bCs/>
        </w:rPr>
        <w:t>a. BMI use-case.</w:t>
      </w:r>
      <w:r w:rsidRPr="00D5338B">
        <w:t xml:space="preserve"> For BMI, the GWAS by Locke et al. was used as input. The training dataset consisted of the non-Finnish European subset of the 1000 Genomes project and the test dataset was the UK Biobank. Since no independent validation dataset was available, we applied 10-fold cross-validation within the test dataset. </w:t>
      </w:r>
      <w:r w:rsidRPr="00D5338B">
        <w:rPr>
          <w:b/>
          <w:bCs/>
        </w:rPr>
        <w:t xml:space="preserve">b. IBD use-case. For IBD, </w:t>
      </w:r>
      <w:r w:rsidRPr="00D5338B">
        <w:t>as input GWAS, de Lange et al was used. The training dataset was again the 1KG-NFE, and the test dataset was the UK Biobank. Here, an in-house IBD dataset was available as a validation set. Therefore, we repeated STREAM-PRS on the validation dataset using only the best parameter settings determined from the test set, and the performance metrics were obtained from the validation data.</w:t>
      </w:r>
    </w:p>
    <w:p w14:paraId="404E06CA" w14:textId="77777777" w:rsidR="00CD5B0E" w:rsidRPr="00D5338B" w:rsidRDefault="00CD5B0E" w:rsidP="00CD5B0E">
      <w:r w:rsidRPr="00D5338B">
        <w:rPr>
          <w:noProof/>
        </w:rPr>
        <w:lastRenderedPageBreak/>
        <w:drawing>
          <wp:inline distT="0" distB="0" distL="0" distR="0" wp14:anchorId="5B16329B" wp14:editId="7DA03BE5">
            <wp:extent cx="5760720" cy="3360420"/>
            <wp:effectExtent l="0" t="0" r="0" b="0"/>
            <wp:docPr id="1043414050" name="Picture 7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414050" name="Picture 7" descr="A graph of a function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73925" w14:textId="2622ED52" w:rsidR="00CD5B0E" w:rsidRDefault="00CD5B0E" w:rsidP="00CD5B0E">
      <w:r>
        <w:rPr>
          <w:b/>
          <w:bCs/>
        </w:rPr>
        <w:t>Fig</w:t>
      </w:r>
      <w:r w:rsidR="00934982">
        <w:rPr>
          <w:b/>
          <w:bCs/>
        </w:rPr>
        <w:t>.</w:t>
      </w:r>
      <w:r>
        <w:rPr>
          <w:b/>
          <w:bCs/>
        </w:rPr>
        <w:t xml:space="preserve"> </w:t>
      </w:r>
      <w:r w:rsidRPr="00D5338B">
        <w:rPr>
          <w:b/>
          <w:bCs/>
        </w:rPr>
        <w:t>S2. Variance in IBD explained by the lassosum PRS for different control subsets from UK biobank.</w:t>
      </w:r>
      <w:r w:rsidRPr="00D5338B">
        <w:t xml:space="preserve"> In the x-axis, different lambda values are indicated and on the y-axis is the corresponding R² value. </w:t>
      </w:r>
      <w:r w:rsidRPr="00D5338B">
        <w:rPr>
          <w:b/>
          <w:bCs/>
        </w:rPr>
        <w:t>(a)</w:t>
      </w:r>
      <w:r w:rsidRPr="00D5338B">
        <w:t xml:space="preserve"> shrinkage 0.7 (best PRS results), </w:t>
      </w:r>
      <w:r w:rsidRPr="00D5338B">
        <w:rPr>
          <w:b/>
          <w:bCs/>
        </w:rPr>
        <w:t>(b)</w:t>
      </w:r>
      <w:r w:rsidRPr="00D5338B">
        <w:t xml:space="preserve"> shrinkage 0.1, </w:t>
      </w:r>
      <w:r w:rsidRPr="00D5338B">
        <w:rPr>
          <w:b/>
          <w:bCs/>
        </w:rPr>
        <w:t>(c)</w:t>
      </w:r>
      <w:r w:rsidRPr="00D5338B">
        <w:t xml:space="preserve"> shrinkage 0.2, </w:t>
      </w:r>
      <w:r w:rsidRPr="00D5338B">
        <w:rPr>
          <w:b/>
          <w:bCs/>
        </w:rPr>
        <w:t>(d)</w:t>
      </w:r>
      <w:r w:rsidRPr="00D5338B">
        <w:t xml:space="preserve"> shrinkage 0.4, </w:t>
      </w:r>
      <w:r w:rsidRPr="00D5338B">
        <w:rPr>
          <w:b/>
          <w:bCs/>
        </w:rPr>
        <w:t>(e)</w:t>
      </w:r>
      <w:r w:rsidRPr="00D5338B">
        <w:t xml:space="preserve"> shrinkage 0.5, </w:t>
      </w:r>
      <w:r w:rsidRPr="00D5338B">
        <w:rPr>
          <w:b/>
          <w:bCs/>
        </w:rPr>
        <w:t>(f)</w:t>
      </w:r>
      <w:r w:rsidRPr="00D5338B">
        <w:t xml:space="preserve"> shrinkage 0.9, </w:t>
      </w:r>
      <w:r w:rsidRPr="00D5338B">
        <w:rPr>
          <w:b/>
          <w:bCs/>
        </w:rPr>
        <w:t>(g)</w:t>
      </w:r>
      <w:r w:rsidRPr="00D5338B">
        <w:t xml:space="preserve"> shrinkage 1. The different colors represent different control subsets.</w:t>
      </w:r>
    </w:p>
    <w:p w14:paraId="63F34D64" w14:textId="77777777" w:rsidR="00890F93" w:rsidRPr="00D5338B" w:rsidRDefault="00890F93" w:rsidP="00CD5B0E"/>
    <w:p w14:paraId="6F07F809" w14:textId="77777777" w:rsidR="00CD5B0E" w:rsidRPr="00D5338B" w:rsidRDefault="00CD5B0E" w:rsidP="00CD5B0E">
      <w:pPr>
        <w:jc w:val="center"/>
        <w:rPr>
          <w:lang w:val="nl-BE"/>
        </w:rPr>
      </w:pPr>
      <w:r w:rsidRPr="00D5338B">
        <w:rPr>
          <w:noProof/>
          <w:lang w:val="nl-BE"/>
        </w:rPr>
        <w:lastRenderedPageBreak/>
        <w:drawing>
          <wp:inline distT="0" distB="0" distL="0" distR="0" wp14:anchorId="0726CD5C" wp14:editId="76A0FDFD">
            <wp:extent cx="3855720" cy="3213100"/>
            <wp:effectExtent l="0" t="0" r="0" b="6350"/>
            <wp:docPr id="98017698" name="Picture 8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17698" name="Picture 8" descr="A graph of different colored lin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5731" cy="3213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368EF" w14:textId="3696BAF2" w:rsidR="00CD5B0E" w:rsidRPr="00D5338B" w:rsidRDefault="00CD5B0E" w:rsidP="00CD5B0E">
      <w:r>
        <w:rPr>
          <w:b/>
          <w:bCs/>
        </w:rPr>
        <w:t>Fig</w:t>
      </w:r>
      <w:r w:rsidR="00934982">
        <w:rPr>
          <w:b/>
          <w:bCs/>
        </w:rPr>
        <w:t>.</w:t>
      </w:r>
      <w:r>
        <w:rPr>
          <w:b/>
          <w:bCs/>
        </w:rPr>
        <w:t xml:space="preserve"> </w:t>
      </w:r>
      <w:r w:rsidRPr="00D5338B">
        <w:rPr>
          <w:b/>
          <w:bCs/>
        </w:rPr>
        <w:t>S3. Variance in IBD explained by the PRSice-2 PRS for different control subsets from UK biobank.</w:t>
      </w:r>
      <w:r w:rsidRPr="00D5338B">
        <w:t xml:space="preserve"> In the x-axis, different P-value thresholds are indicated and on the y-axis is the corresponding R² value. The different colors represent different control subsets.</w:t>
      </w:r>
    </w:p>
    <w:p w14:paraId="269D4F73" w14:textId="77777777" w:rsidR="00CD5B0E" w:rsidRPr="00D5338B" w:rsidRDefault="00CD5B0E" w:rsidP="00CD5B0E">
      <w:pPr>
        <w:jc w:val="center"/>
      </w:pPr>
      <w:r w:rsidRPr="00D5338B">
        <w:rPr>
          <w:noProof/>
        </w:rPr>
        <w:drawing>
          <wp:inline distT="0" distB="0" distL="0" distR="0" wp14:anchorId="193CBC43" wp14:editId="4A0F18CD">
            <wp:extent cx="3454400" cy="2878667"/>
            <wp:effectExtent l="0" t="0" r="0" b="0"/>
            <wp:docPr id="1069180360" name="Picture 9" descr="A graph with colorful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180360" name="Picture 9" descr="A graph with colorful line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1003" cy="2884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DB236" w14:textId="24F7196A" w:rsidR="00CD5B0E" w:rsidRPr="00D5338B" w:rsidRDefault="00CD5B0E" w:rsidP="00CD5B0E">
      <w:r>
        <w:rPr>
          <w:b/>
          <w:bCs/>
        </w:rPr>
        <w:t>Fig</w:t>
      </w:r>
      <w:r w:rsidR="00934982">
        <w:rPr>
          <w:b/>
          <w:bCs/>
        </w:rPr>
        <w:t>.</w:t>
      </w:r>
      <w:r>
        <w:rPr>
          <w:b/>
          <w:bCs/>
        </w:rPr>
        <w:t xml:space="preserve"> </w:t>
      </w:r>
      <w:r w:rsidRPr="00D5338B">
        <w:rPr>
          <w:b/>
          <w:bCs/>
        </w:rPr>
        <w:t>S4. Variance in IBD explained by the PRS-CS PRS for different control subsets from UK biobank.</w:t>
      </w:r>
      <w:r w:rsidRPr="00D5338B">
        <w:t xml:space="preserve"> In the x-axis, different values for phi are indicated and on the y-axis is the corresponding R² value. The different colors represent different control subsets.</w:t>
      </w:r>
    </w:p>
    <w:p w14:paraId="4EAAADBD" w14:textId="77777777" w:rsidR="00CD5B0E" w:rsidRPr="00D5338B" w:rsidRDefault="00CD5B0E" w:rsidP="00CD5B0E">
      <w:r w:rsidRPr="00D5338B">
        <w:rPr>
          <w:noProof/>
        </w:rPr>
        <w:lastRenderedPageBreak/>
        <w:drawing>
          <wp:inline distT="0" distB="0" distL="0" distR="0" wp14:anchorId="40374EBC" wp14:editId="24D4491B">
            <wp:extent cx="5760720" cy="3665855"/>
            <wp:effectExtent l="0" t="0" r="0" b="0"/>
            <wp:docPr id="1618334862" name="Picture 10" descr="A graph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334862" name="Picture 10" descr="A graph of a graph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6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809B3" w14:textId="4F8E9BAC" w:rsidR="00CD5B0E" w:rsidRPr="00D5338B" w:rsidRDefault="00CD5B0E" w:rsidP="00CD5B0E">
      <w:r>
        <w:rPr>
          <w:b/>
          <w:bCs/>
        </w:rPr>
        <w:t>Fig</w:t>
      </w:r>
      <w:r w:rsidR="00934982">
        <w:rPr>
          <w:b/>
          <w:bCs/>
        </w:rPr>
        <w:t>.</w:t>
      </w:r>
      <w:r>
        <w:rPr>
          <w:b/>
          <w:bCs/>
        </w:rPr>
        <w:t xml:space="preserve"> </w:t>
      </w:r>
      <w:r w:rsidRPr="00D5338B">
        <w:rPr>
          <w:b/>
          <w:bCs/>
        </w:rPr>
        <w:t>S5. Variance in IBD explained by the LDpred2 PRS for different control subsets from UK biobank.</w:t>
      </w:r>
      <w:r w:rsidRPr="00D5338B">
        <w:t xml:space="preserve"> In the x-axis, different parameter settings are indicated and on the y-axis is the corresponding R² value. </w:t>
      </w:r>
      <w:r w:rsidRPr="00D5338B">
        <w:rPr>
          <w:b/>
          <w:bCs/>
        </w:rPr>
        <w:t>(a-d)</w:t>
      </w:r>
      <w:r w:rsidRPr="00D5338B">
        <w:t xml:space="preserve"> grid model with h2 </w:t>
      </w:r>
      <w:r w:rsidRPr="00D5338B">
        <w:rPr>
          <w:b/>
          <w:bCs/>
        </w:rPr>
        <w:t>(a)</w:t>
      </w:r>
      <w:r w:rsidRPr="00D5338B">
        <w:t xml:space="preserve"> 0.1873 (best PRS results), </w:t>
      </w:r>
      <w:r w:rsidRPr="00D5338B">
        <w:rPr>
          <w:b/>
          <w:bCs/>
        </w:rPr>
        <w:t>(b)</w:t>
      </w:r>
      <w:r w:rsidRPr="00D5338B">
        <w:t xml:space="preserve"> 0.4370, </w:t>
      </w:r>
      <w:r w:rsidRPr="00D5338B">
        <w:rPr>
          <w:b/>
          <w:bCs/>
        </w:rPr>
        <w:t>(c)</w:t>
      </w:r>
      <w:r w:rsidRPr="00D5338B">
        <w:t xml:space="preserve"> 0.6243, </w:t>
      </w:r>
      <w:r w:rsidRPr="00D5338B">
        <w:rPr>
          <w:b/>
          <w:bCs/>
        </w:rPr>
        <w:t>(d)</w:t>
      </w:r>
      <w:r w:rsidRPr="00D5338B">
        <w:t xml:space="preserve"> 0.8741, </w:t>
      </w:r>
      <w:r w:rsidRPr="00D5338B">
        <w:rPr>
          <w:b/>
          <w:bCs/>
        </w:rPr>
        <w:t>(e)</w:t>
      </w:r>
      <w:r w:rsidRPr="00D5338B">
        <w:t xml:space="preserve"> auto grid model with different initial values for p in x-axis. The infinitesimal and auto model are not shown, since they have no parameter options to change. The different colors represent different control subsets.</w:t>
      </w:r>
    </w:p>
    <w:p w14:paraId="6EF8C9ED" w14:textId="77777777" w:rsidR="00CD5B0E" w:rsidRPr="00D5338B" w:rsidRDefault="00CD5B0E" w:rsidP="00CD5B0E">
      <w:pPr>
        <w:jc w:val="center"/>
      </w:pPr>
      <w:r w:rsidRPr="00D5338B">
        <w:rPr>
          <w:noProof/>
        </w:rPr>
        <w:lastRenderedPageBreak/>
        <w:drawing>
          <wp:inline distT="0" distB="0" distL="0" distR="0" wp14:anchorId="7F055D3B" wp14:editId="0BD6AB21">
            <wp:extent cx="5087257" cy="4451350"/>
            <wp:effectExtent l="0" t="0" r="0" b="6350"/>
            <wp:docPr id="1018457220" name="Picture 11" descr="A graph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457220" name="Picture 11" descr="A graph of different colored lines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2173" cy="4455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78840" w14:textId="2CF6F372" w:rsidR="00CD5B0E" w:rsidRPr="00D5338B" w:rsidRDefault="00CD5B0E" w:rsidP="00CD5B0E">
      <w:r>
        <w:rPr>
          <w:b/>
          <w:bCs/>
        </w:rPr>
        <w:t>Fig</w:t>
      </w:r>
      <w:r w:rsidR="00934982">
        <w:rPr>
          <w:b/>
          <w:bCs/>
        </w:rPr>
        <w:t>.</w:t>
      </w:r>
      <w:r>
        <w:rPr>
          <w:b/>
          <w:bCs/>
        </w:rPr>
        <w:t xml:space="preserve"> </w:t>
      </w:r>
      <w:r w:rsidRPr="00D5338B">
        <w:rPr>
          <w:b/>
          <w:bCs/>
        </w:rPr>
        <w:t>S6. Variance in IBD explained by the lassosum2 PRS for different control subsets from UK biobank.</w:t>
      </w:r>
      <w:r w:rsidRPr="00D5338B">
        <w:t xml:space="preserve"> In the x-axis, different lambda values are indicated and on the y-axis is the corresponding R² value. </w:t>
      </w:r>
      <w:r w:rsidRPr="00D5338B">
        <w:rPr>
          <w:b/>
          <w:bCs/>
          <w:lang w:val="es-ES"/>
        </w:rPr>
        <w:t>(a)</w:t>
      </w:r>
      <w:r w:rsidRPr="00D5338B">
        <w:rPr>
          <w:lang w:val="es-ES"/>
        </w:rPr>
        <w:t xml:space="preserve"> delta 1 (</w:t>
      </w:r>
      <w:proofErr w:type="spellStart"/>
      <w:r w:rsidRPr="00D5338B">
        <w:rPr>
          <w:lang w:val="es-ES"/>
        </w:rPr>
        <w:t>best</w:t>
      </w:r>
      <w:proofErr w:type="spellEnd"/>
      <w:r w:rsidRPr="00D5338B">
        <w:rPr>
          <w:lang w:val="es-ES"/>
        </w:rPr>
        <w:t xml:space="preserve"> PRS </w:t>
      </w:r>
      <w:proofErr w:type="spellStart"/>
      <w:r w:rsidRPr="00D5338B">
        <w:rPr>
          <w:lang w:val="es-ES"/>
        </w:rPr>
        <w:t>results</w:t>
      </w:r>
      <w:proofErr w:type="spellEnd"/>
      <w:r w:rsidRPr="00D5338B">
        <w:rPr>
          <w:lang w:val="es-ES"/>
        </w:rPr>
        <w:t xml:space="preserve">), </w:t>
      </w:r>
      <w:r w:rsidRPr="00D5338B">
        <w:rPr>
          <w:b/>
          <w:bCs/>
          <w:lang w:val="es-ES"/>
        </w:rPr>
        <w:t>(b)</w:t>
      </w:r>
      <w:r w:rsidRPr="00D5338B">
        <w:rPr>
          <w:lang w:val="es-ES"/>
        </w:rPr>
        <w:t xml:space="preserve"> delta 0.1, </w:t>
      </w:r>
      <w:r w:rsidRPr="00D5338B">
        <w:rPr>
          <w:b/>
          <w:bCs/>
          <w:lang w:val="es-ES"/>
        </w:rPr>
        <w:t>(c)</w:t>
      </w:r>
      <w:r w:rsidRPr="00D5338B">
        <w:rPr>
          <w:lang w:val="es-ES"/>
        </w:rPr>
        <w:t xml:space="preserve"> delta 0.01, </w:t>
      </w:r>
      <w:r w:rsidRPr="00D5338B">
        <w:rPr>
          <w:b/>
          <w:bCs/>
          <w:lang w:val="es-ES"/>
        </w:rPr>
        <w:t>(d)</w:t>
      </w:r>
      <w:r w:rsidRPr="00D5338B">
        <w:rPr>
          <w:lang w:val="es-ES"/>
        </w:rPr>
        <w:t xml:space="preserve"> delta 0.001. </w:t>
      </w:r>
      <w:r w:rsidRPr="00D5338B">
        <w:t>The different colors represent different control subsets</w:t>
      </w:r>
    </w:p>
    <w:p w14:paraId="73E2E287" w14:textId="77777777" w:rsidR="00CD5B0E" w:rsidRPr="00D5338B" w:rsidRDefault="00CD5B0E" w:rsidP="00CD5B0E">
      <w:pPr>
        <w:jc w:val="center"/>
      </w:pPr>
      <w:r w:rsidRPr="00D5338B">
        <w:rPr>
          <w:noProof/>
        </w:rPr>
        <w:lastRenderedPageBreak/>
        <w:drawing>
          <wp:inline distT="0" distB="0" distL="0" distR="0" wp14:anchorId="456FCCDB" wp14:editId="6D12CC6A">
            <wp:extent cx="4610100" cy="3073400"/>
            <wp:effectExtent l="0" t="0" r="0" b="0"/>
            <wp:docPr id="1986718607" name="Picture 13" descr="A diagram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718607" name="Picture 13" descr="A diagram of a graph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11" cy="307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948BB" w14:textId="18E62DB7" w:rsidR="00CD5B0E" w:rsidRPr="00D5338B" w:rsidRDefault="00CD5B0E" w:rsidP="00CD5B0E">
      <w:r>
        <w:rPr>
          <w:b/>
          <w:bCs/>
        </w:rPr>
        <w:t>Fig</w:t>
      </w:r>
      <w:r w:rsidR="00934982">
        <w:rPr>
          <w:b/>
          <w:bCs/>
        </w:rPr>
        <w:t>.</w:t>
      </w:r>
      <w:r>
        <w:rPr>
          <w:b/>
          <w:bCs/>
        </w:rPr>
        <w:t xml:space="preserve"> </w:t>
      </w:r>
      <w:r w:rsidRPr="00D5338B">
        <w:rPr>
          <w:b/>
          <w:bCs/>
        </w:rPr>
        <w:t>S7. Violin plot of best PRS per tool for UK Biobank data.</w:t>
      </w:r>
      <w:r w:rsidRPr="00D5338B">
        <w:t xml:space="preserve"> The dots represent the top and bottom 0.1 percent individuals, ranked by PRS obtained from lassosum. Lines connect the same individuals.</w:t>
      </w:r>
    </w:p>
    <w:p w14:paraId="7F081927" w14:textId="77777777" w:rsidR="00CD5B0E" w:rsidRPr="00D5338B" w:rsidRDefault="00CD5B0E" w:rsidP="00CD5B0E">
      <w:pPr>
        <w:jc w:val="center"/>
      </w:pPr>
      <w:r w:rsidRPr="00D5338B">
        <w:rPr>
          <w:noProof/>
        </w:rPr>
        <w:drawing>
          <wp:inline distT="0" distB="0" distL="0" distR="0" wp14:anchorId="0538FD11" wp14:editId="765120B5">
            <wp:extent cx="4552950" cy="3035300"/>
            <wp:effectExtent l="0" t="0" r="0" b="0"/>
            <wp:docPr id="152071389" name="Picture 1" descr="A diagram of different colored sha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71389" name="Picture 1" descr="A diagram of different colored shapes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9701" cy="3039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ED933" w14:textId="51747C07" w:rsidR="00C77053" w:rsidRDefault="00CD5B0E">
      <w:r>
        <w:rPr>
          <w:b/>
          <w:bCs/>
        </w:rPr>
        <w:t>Fig</w:t>
      </w:r>
      <w:r w:rsidR="00934982">
        <w:rPr>
          <w:b/>
          <w:bCs/>
        </w:rPr>
        <w:t>.</w:t>
      </w:r>
      <w:r>
        <w:rPr>
          <w:b/>
          <w:bCs/>
        </w:rPr>
        <w:t xml:space="preserve"> </w:t>
      </w:r>
      <w:r w:rsidRPr="00D5338B">
        <w:rPr>
          <w:b/>
          <w:bCs/>
        </w:rPr>
        <w:t>S8 Violin plot of best PRS per tool for UK Biobank data showing only the cases.</w:t>
      </w:r>
      <w:r w:rsidRPr="00D5338B">
        <w:t xml:space="preserve"> The dots represent the cases that are present in the top and bottom 0.1 percent individuals, ranked by PRS obtained from lassosum. Lines connect the same individuals.</w:t>
      </w:r>
    </w:p>
    <w:sectPr w:rsidR="00C77053" w:rsidSect="00CD5B0E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9B8E5" w14:textId="77777777" w:rsidR="00890F93" w:rsidRDefault="00890F93">
      <w:pPr>
        <w:spacing w:after="0" w:line="240" w:lineRule="auto"/>
      </w:pPr>
      <w:r>
        <w:separator/>
      </w:r>
    </w:p>
  </w:endnote>
  <w:endnote w:type="continuationSeparator" w:id="0">
    <w:p w14:paraId="6CE1ECB0" w14:textId="77777777" w:rsidR="00890F93" w:rsidRDefault="00890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89810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60AE0D" w14:textId="77777777" w:rsidR="00CD5B0E" w:rsidRDefault="00CD5B0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1EA96" w14:textId="77777777" w:rsidR="00CD5B0E" w:rsidRDefault="00CD5B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B514B" w14:textId="77777777" w:rsidR="00890F93" w:rsidRDefault="00890F93">
      <w:pPr>
        <w:spacing w:after="0" w:line="240" w:lineRule="auto"/>
      </w:pPr>
      <w:r>
        <w:separator/>
      </w:r>
    </w:p>
  </w:footnote>
  <w:footnote w:type="continuationSeparator" w:id="0">
    <w:p w14:paraId="4AE3D9DB" w14:textId="77777777" w:rsidR="00890F93" w:rsidRDefault="00890F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B0E"/>
    <w:rsid w:val="001833D1"/>
    <w:rsid w:val="00322B87"/>
    <w:rsid w:val="005103BA"/>
    <w:rsid w:val="00675A2A"/>
    <w:rsid w:val="00866D4A"/>
    <w:rsid w:val="00890F93"/>
    <w:rsid w:val="00934982"/>
    <w:rsid w:val="00A01942"/>
    <w:rsid w:val="00C77053"/>
    <w:rsid w:val="00CD5B0E"/>
    <w:rsid w:val="00FB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AD3DA9"/>
  <w15:chartTrackingRefBased/>
  <w15:docId w15:val="{21BD6D4E-17CC-4D2C-9F82-2A7F6362A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5B0E"/>
    <w:pPr>
      <w:spacing w:line="480" w:lineRule="auto"/>
      <w:jc w:val="both"/>
    </w:pPr>
    <w:rPr>
      <w:rFonts w:ascii="Arial" w:hAnsi="Arial" w:cs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0E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B0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B0E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B0E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B0E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B0E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B0E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B0E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B0E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B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B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B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B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B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B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B0E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B0E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B0E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D5B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B0E"/>
    <w:pPr>
      <w:spacing w:line="278" w:lineRule="auto"/>
      <w:ind w:left="720"/>
      <w:contextualSpacing/>
      <w:jc w:val="left"/>
    </w:pPr>
    <w:rPr>
      <w:rFonts w:asciiTheme="minorHAnsi" w:hAnsiTheme="minorHAnsi" w:cstheme="minorBidi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D5B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B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B0E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D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5B0E"/>
    <w:rPr>
      <w:rFonts w:ascii="Arial" w:hAnsi="Arial" w:cs="Arial"/>
      <w:sz w:val="22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CD5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Becelaere</dc:creator>
  <cp:keywords/>
  <dc:description/>
  <cp:lastModifiedBy>Sara Becelaere</cp:lastModifiedBy>
  <cp:revision>4</cp:revision>
  <dcterms:created xsi:type="dcterms:W3CDTF">2025-08-21T13:03:00Z</dcterms:created>
  <dcterms:modified xsi:type="dcterms:W3CDTF">2025-08-21T13:25:00Z</dcterms:modified>
</cp:coreProperties>
</file>