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asemplice-1"/>
        <w:tblW w:w="0" w:type="auto"/>
        <w:tblLook w:val="04A0" w:firstRow="1" w:lastRow="0" w:firstColumn="1" w:lastColumn="0" w:noHBand="0" w:noVBand="1"/>
      </w:tblPr>
      <w:tblGrid>
        <w:gridCol w:w="2548"/>
        <w:gridCol w:w="1795"/>
        <w:gridCol w:w="1920"/>
        <w:gridCol w:w="8014"/>
      </w:tblGrid>
      <w:tr w:rsidR="005539CF" w:rsidRPr="004E3FF1" w14:paraId="0E891A6F" w14:textId="77777777" w:rsidTr="00553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E32B42" w14:textId="4B25796C" w:rsidR="005539CF" w:rsidRPr="004E3FF1" w:rsidRDefault="005539CF" w:rsidP="005539C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ACMG criterion</w:t>
            </w:r>
            <w:r w:rsidR="004E3FF1"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br/>
            </w:r>
          </w:p>
        </w:tc>
        <w:tc>
          <w:tcPr>
            <w:tcW w:w="0" w:type="auto"/>
            <w:hideMark/>
          </w:tcPr>
          <w:p w14:paraId="7FFF5971" w14:textId="77777777" w:rsidR="005539CF" w:rsidRPr="004E3FF1" w:rsidRDefault="005539CF" w:rsidP="005539C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p.(Gln7023Pro)</w:t>
            </w:r>
          </w:p>
        </w:tc>
        <w:tc>
          <w:tcPr>
            <w:tcW w:w="0" w:type="auto"/>
            <w:hideMark/>
          </w:tcPr>
          <w:p w14:paraId="0217356C" w14:textId="77777777" w:rsidR="005539CF" w:rsidRPr="004E3FF1" w:rsidRDefault="005539CF" w:rsidP="005539C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p.(Arg25480Pro)</w:t>
            </w:r>
          </w:p>
        </w:tc>
        <w:tc>
          <w:tcPr>
            <w:tcW w:w="0" w:type="auto"/>
            <w:hideMark/>
          </w:tcPr>
          <w:p w14:paraId="4F691CF7" w14:textId="77777777" w:rsidR="005539CF" w:rsidRPr="004E3FF1" w:rsidRDefault="005539CF" w:rsidP="005539C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Evidence and rationale</w:t>
            </w:r>
          </w:p>
        </w:tc>
      </w:tr>
      <w:tr w:rsidR="005539CF" w:rsidRPr="004E3FF1" w14:paraId="1D401D67" w14:textId="77777777" w:rsidTr="00553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CC7D19E" w14:textId="7ECB0B91" w:rsidR="005539CF" w:rsidRPr="004E3FF1" w:rsidRDefault="005539CF" w:rsidP="005539CF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eastAsia="it-IT"/>
                <w14:ligatures w14:val="none"/>
              </w:rPr>
              <w:t>PM3 (Detected in trans with pathogenic variant)</w:t>
            </w:r>
          </w:p>
        </w:tc>
        <w:tc>
          <w:tcPr>
            <w:tcW w:w="0" w:type="auto"/>
            <w:shd w:val="clear" w:color="auto" w:fill="auto"/>
            <w:hideMark/>
          </w:tcPr>
          <w:p w14:paraId="58C16434" w14:textId="1656300B" w:rsidR="005539CF" w:rsidRPr="004E3FF1" w:rsidRDefault="005539CF" w:rsidP="005539C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Moderate</w:t>
            </w:r>
            <w:r w:rsidR="004E3FF1"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(1.25 points)</w:t>
            </w:r>
          </w:p>
        </w:tc>
        <w:tc>
          <w:tcPr>
            <w:tcW w:w="0" w:type="auto"/>
            <w:shd w:val="clear" w:color="auto" w:fill="auto"/>
            <w:hideMark/>
          </w:tcPr>
          <w:p w14:paraId="0E2DF583" w14:textId="037DE2E0" w:rsidR="005539CF" w:rsidRPr="004E3FF1" w:rsidRDefault="005539CF" w:rsidP="005539C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Supporting</w:t>
            </w:r>
            <w:r w:rsidR="004E3FF1"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(0.50 points)</w:t>
            </w:r>
          </w:p>
        </w:tc>
        <w:tc>
          <w:tcPr>
            <w:tcW w:w="0" w:type="auto"/>
            <w:shd w:val="clear" w:color="auto" w:fill="auto"/>
            <w:hideMark/>
          </w:tcPr>
          <w:p w14:paraId="1430552B" w14:textId="77B00843" w:rsidR="005539CF" w:rsidRPr="004E3FF1" w:rsidRDefault="005539CF" w:rsidP="005539C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Evidence weighted following ClinGen recommendations for large genes (0.25 points per proband). Variant p.(Gln7023Pro) was observed in six unrelated affected families; p.(Arg25480Pro) in two unrelated families.</w:t>
            </w:r>
            <w:r w:rsid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br/>
            </w:r>
          </w:p>
        </w:tc>
      </w:tr>
      <w:tr w:rsidR="005539CF" w:rsidRPr="004E3FF1" w14:paraId="68553E0D" w14:textId="77777777" w:rsidTr="00553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B4B689" w14:textId="4E87ADE4" w:rsidR="005539CF" w:rsidRPr="004E3FF1" w:rsidRDefault="005539CF" w:rsidP="005539CF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eastAsia="it-IT"/>
                <w14:ligatures w14:val="none"/>
              </w:rPr>
              <w:t>PS3 (Functional studies supportive of damaging effect)</w:t>
            </w:r>
          </w:p>
        </w:tc>
        <w:tc>
          <w:tcPr>
            <w:tcW w:w="0" w:type="auto"/>
            <w:hideMark/>
          </w:tcPr>
          <w:p w14:paraId="12CB6F81" w14:textId="77777777" w:rsidR="005539CF" w:rsidRPr="004E3FF1" w:rsidRDefault="005539CF" w:rsidP="005539C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Moderate</w:t>
            </w:r>
          </w:p>
        </w:tc>
        <w:tc>
          <w:tcPr>
            <w:tcW w:w="0" w:type="auto"/>
            <w:hideMark/>
          </w:tcPr>
          <w:p w14:paraId="21815127" w14:textId="77777777" w:rsidR="005539CF" w:rsidRPr="004E3FF1" w:rsidRDefault="005539CF" w:rsidP="005539C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Moderate</w:t>
            </w:r>
          </w:p>
        </w:tc>
        <w:tc>
          <w:tcPr>
            <w:tcW w:w="0" w:type="auto"/>
            <w:hideMark/>
          </w:tcPr>
          <w:p w14:paraId="7912FBDD" w14:textId="67D60A6E" w:rsidR="005539CF" w:rsidRPr="004E3FF1" w:rsidRDefault="00C071D6" w:rsidP="005539C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C071D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Functional assays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,</w:t>
            </w:r>
            <w:r w:rsidRPr="00C071D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 previously used for other </w:t>
            </w:r>
            <w:r w:rsidRPr="00C071D6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it-IT"/>
                <w14:ligatures w14:val="none"/>
              </w:rPr>
              <w:t>TTN</w:t>
            </w:r>
            <w:r w:rsidRPr="00C071D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 variants with established pathogenicity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, </w:t>
            </w:r>
            <w:r w:rsidRPr="00C071D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were performed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.</w:t>
            </w:r>
          </w:p>
        </w:tc>
      </w:tr>
      <w:tr w:rsidR="005539CF" w:rsidRPr="004E3FF1" w14:paraId="45897E5F" w14:textId="77777777" w:rsidTr="00553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93A60CD" w14:textId="4626D32D" w:rsidR="005539CF" w:rsidRPr="004E3FF1" w:rsidRDefault="005539CF" w:rsidP="005539CF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eastAsia="it-IT"/>
                <w14:ligatures w14:val="none"/>
              </w:rPr>
              <w:t>PP1 (Co-segregation with disease in families)</w:t>
            </w:r>
          </w:p>
        </w:tc>
        <w:tc>
          <w:tcPr>
            <w:tcW w:w="0" w:type="auto"/>
            <w:shd w:val="clear" w:color="auto" w:fill="auto"/>
            <w:hideMark/>
          </w:tcPr>
          <w:p w14:paraId="3FA0576A" w14:textId="77777777" w:rsidR="005539CF" w:rsidRPr="004E3FF1" w:rsidRDefault="005539CF" w:rsidP="005539C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Strong</w:t>
            </w:r>
          </w:p>
        </w:tc>
        <w:tc>
          <w:tcPr>
            <w:tcW w:w="0" w:type="auto"/>
            <w:shd w:val="clear" w:color="auto" w:fill="auto"/>
            <w:hideMark/>
          </w:tcPr>
          <w:p w14:paraId="0546472B" w14:textId="77777777" w:rsidR="005539CF" w:rsidRPr="004E3FF1" w:rsidRDefault="005539CF" w:rsidP="005539C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Supporting</w:t>
            </w:r>
          </w:p>
        </w:tc>
        <w:tc>
          <w:tcPr>
            <w:tcW w:w="0" w:type="auto"/>
            <w:shd w:val="clear" w:color="auto" w:fill="auto"/>
            <w:hideMark/>
          </w:tcPr>
          <w:p w14:paraId="7424DEEF" w14:textId="3739EA73" w:rsidR="005539CF" w:rsidRPr="004E3FF1" w:rsidRDefault="005539CF" w:rsidP="005539C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For p.(Gln7023Pro), co-segregation across 7 informative </w:t>
            </w:r>
            <w:proofErr w:type="spellStart"/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meioses</w:t>
            </w:r>
            <w:proofErr w:type="spellEnd"/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 in 5 families. (In Family 1, </w:t>
            </w:r>
            <w:r w:rsidR="000F5BDB"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two</w:t>
            </w: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 affected siblings carry p.(Gln7023Pro), with confirmed parental segregation; in Family 2, an unaffected sibling carries only one variant, consistent with recessive inheritance.) For p.(Arg25480Pro), co-segregation across 2 informative </w:t>
            </w:r>
            <w:proofErr w:type="spellStart"/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meioses</w:t>
            </w:r>
            <w:proofErr w:type="spellEnd"/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 in 2 families. </w:t>
            </w:r>
            <w:r w:rsid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br/>
            </w:r>
          </w:p>
        </w:tc>
      </w:tr>
      <w:tr w:rsidR="005539CF" w:rsidRPr="004E3FF1" w14:paraId="1C90BEB0" w14:textId="77777777" w:rsidTr="00553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C1CC9E" w14:textId="5A804CE6" w:rsidR="005539CF" w:rsidRPr="004E3FF1" w:rsidRDefault="005539CF" w:rsidP="005539CF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eastAsia="it-IT"/>
                <w14:ligatures w14:val="none"/>
              </w:rPr>
              <w:t>PP3 (Computational evidence)</w:t>
            </w:r>
          </w:p>
        </w:tc>
        <w:tc>
          <w:tcPr>
            <w:tcW w:w="0" w:type="auto"/>
            <w:hideMark/>
          </w:tcPr>
          <w:p w14:paraId="13D39587" w14:textId="77777777" w:rsidR="005539CF" w:rsidRPr="004E3FF1" w:rsidRDefault="005539CF" w:rsidP="005539C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Supporting</w:t>
            </w:r>
          </w:p>
        </w:tc>
        <w:tc>
          <w:tcPr>
            <w:tcW w:w="0" w:type="auto"/>
            <w:hideMark/>
          </w:tcPr>
          <w:p w14:paraId="371C2480" w14:textId="77777777" w:rsidR="005539CF" w:rsidRPr="004E3FF1" w:rsidRDefault="005539CF" w:rsidP="005539C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Strong</w:t>
            </w:r>
          </w:p>
        </w:tc>
        <w:tc>
          <w:tcPr>
            <w:tcW w:w="0" w:type="auto"/>
            <w:hideMark/>
          </w:tcPr>
          <w:p w14:paraId="4DB10EC7" w14:textId="4367EB56" w:rsidR="005539CF" w:rsidRPr="004E3FF1" w:rsidRDefault="005539CF" w:rsidP="005539C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proofErr w:type="spellStart"/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AlphaMissense</w:t>
            </w:r>
            <w:proofErr w:type="spellEnd"/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 score = 0.83 for p.(Gln7023Pro) and 0.99 for p.(Arg25480Pro), exceeding ClinGen-recommended thresholds for</w:t>
            </w:r>
            <w:r w:rsid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 PP3 activation</w:t>
            </w:r>
            <w:r w:rsidR="000F5BDB"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.</w:t>
            </w:r>
            <w:r w:rsid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br/>
            </w:r>
          </w:p>
        </w:tc>
      </w:tr>
      <w:tr w:rsidR="005539CF" w:rsidRPr="004E3FF1" w14:paraId="1EF30AAE" w14:textId="77777777" w:rsidTr="00553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7F029F8" w14:textId="7C294CA4" w:rsidR="005539CF" w:rsidRPr="004E3FF1" w:rsidRDefault="005539CF" w:rsidP="005539CF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eastAsia="it-IT"/>
                <w14:ligatures w14:val="none"/>
              </w:rPr>
              <w:t>PM2 (Absent or rare in population databases)</w:t>
            </w:r>
          </w:p>
        </w:tc>
        <w:tc>
          <w:tcPr>
            <w:tcW w:w="0" w:type="auto"/>
            <w:shd w:val="clear" w:color="auto" w:fill="auto"/>
            <w:hideMark/>
          </w:tcPr>
          <w:p w14:paraId="53870C99" w14:textId="77777777" w:rsidR="005539CF" w:rsidRPr="004E3FF1" w:rsidRDefault="005539CF" w:rsidP="005539C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Supporting</w:t>
            </w:r>
          </w:p>
        </w:tc>
        <w:tc>
          <w:tcPr>
            <w:tcW w:w="0" w:type="auto"/>
            <w:shd w:val="clear" w:color="auto" w:fill="auto"/>
            <w:hideMark/>
          </w:tcPr>
          <w:p w14:paraId="7EFB2D02" w14:textId="77777777" w:rsidR="005539CF" w:rsidRPr="004E3FF1" w:rsidRDefault="005539CF" w:rsidP="005539C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Supporting</w:t>
            </w:r>
          </w:p>
        </w:tc>
        <w:tc>
          <w:tcPr>
            <w:tcW w:w="0" w:type="auto"/>
            <w:shd w:val="clear" w:color="auto" w:fill="auto"/>
            <w:hideMark/>
          </w:tcPr>
          <w:p w14:paraId="04FAA75B" w14:textId="2167CEB1" w:rsidR="005539CF" w:rsidRPr="004E3FF1" w:rsidRDefault="005539CF" w:rsidP="005539C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proofErr w:type="spellStart"/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gnomAD</w:t>
            </w:r>
            <w:proofErr w:type="spellEnd"/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 genomes: homozygous allele count = 0 (&lt;2) for TTN (AD/AR gene); overall high coverage (31.8×). Variant p.(Arg25480Pro) not detected in </w:t>
            </w:r>
            <w:proofErr w:type="spellStart"/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gnomAD</w:t>
            </w:r>
            <w:proofErr w:type="spellEnd"/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 genomes.</w:t>
            </w:r>
            <w:r w:rsid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br/>
            </w:r>
          </w:p>
        </w:tc>
      </w:tr>
      <w:tr w:rsidR="005539CF" w:rsidRPr="004E3FF1" w14:paraId="3C954950" w14:textId="77777777" w:rsidTr="00553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ED66A9" w14:textId="576E297C" w:rsidR="005539CF" w:rsidRPr="004E3FF1" w:rsidRDefault="005539CF" w:rsidP="005539CF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eastAsia="it-IT"/>
                <w14:ligatures w14:val="none"/>
              </w:rPr>
              <w:t>PP4 (Patient phenotype specific for disease)</w:t>
            </w:r>
          </w:p>
        </w:tc>
        <w:tc>
          <w:tcPr>
            <w:tcW w:w="0" w:type="auto"/>
            <w:hideMark/>
          </w:tcPr>
          <w:p w14:paraId="6A885D19" w14:textId="77777777" w:rsidR="005539CF" w:rsidRPr="004E3FF1" w:rsidRDefault="005539CF" w:rsidP="005539C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Supporting</w:t>
            </w:r>
          </w:p>
        </w:tc>
        <w:tc>
          <w:tcPr>
            <w:tcW w:w="0" w:type="auto"/>
            <w:hideMark/>
          </w:tcPr>
          <w:p w14:paraId="0C688418" w14:textId="77777777" w:rsidR="005539CF" w:rsidRPr="004E3FF1" w:rsidRDefault="005539CF" w:rsidP="005539C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Supporting</w:t>
            </w:r>
          </w:p>
        </w:tc>
        <w:tc>
          <w:tcPr>
            <w:tcW w:w="0" w:type="auto"/>
            <w:hideMark/>
          </w:tcPr>
          <w:p w14:paraId="20A03170" w14:textId="7C311A04" w:rsidR="005539CF" w:rsidRPr="004E3FF1" w:rsidRDefault="005539CF" w:rsidP="005539C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Clinical features</w:t>
            </w:r>
            <w:r w:rsid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, muscle biopsy findings, and </w:t>
            </w: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disease progression are consistent with recessive congenital titinopathy</w:t>
            </w:r>
            <w:r w:rsid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.</w:t>
            </w:r>
            <w:r w:rsid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br/>
            </w:r>
          </w:p>
        </w:tc>
      </w:tr>
      <w:tr w:rsidR="005539CF" w:rsidRPr="004E3FF1" w14:paraId="0AA40EC7" w14:textId="77777777" w:rsidTr="00553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62A61AC" w14:textId="383A6844" w:rsidR="005539CF" w:rsidRPr="004E3FF1" w:rsidRDefault="005539CF" w:rsidP="005539CF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2"/>
                <w:szCs w:val="22"/>
                <w:lang w:eastAsia="it-IT"/>
                <w14:ligatures w14:val="none"/>
              </w:rPr>
              <w:t>BP1 (Missense variant in a gene where LOF is known mechanism)</w:t>
            </w:r>
          </w:p>
        </w:tc>
        <w:tc>
          <w:tcPr>
            <w:tcW w:w="0" w:type="auto"/>
            <w:shd w:val="clear" w:color="auto" w:fill="auto"/>
            <w:hideMark/>
          </w:tcPr>
          <w:p w14:paraId="62F1D4A1" w14:textId="77777777" w:rsidR="005539CF" w:rsidRPr="004E3FF1" w:rsidRDefault="005539CF" w:rsidP="005539C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Deactivated</w:t>
            </w:r>
          </w:p>
        </w:tc>
        <w:tc>
          <w:tcPr>
            <w:tcW w:w="0" w:type="auto"/>
            <w:shd w:val="clear" w:color="auto" w:fill="auto"/>
            <w:hideMark/>
          </w:tcPr>
          <w:p w14:paraId="727719D3" w14:textId="77777777" w:rsidR="005539CF" w:rsidRPr="004E3FF1" w:rsidRDefault="005539CF" w:rsidP="005539C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Deactivated</w:t>
            </w:r>
          </w:p>
        </w:tc>
        <w:tc>
          <w:tcPr>
            <w:tcW w:w="0" w:type="auto"/>
            <w:shd w:val="clear" w:color="auto" w:fill="auto"/>
            <w:hideMark/>
          </w:tcPr>
          <w:p w14:paraId="5E269EB9" w14:textId="6E5F3138" w:rsidR="005539CF" w:rsidRPr="004E3FF1" w:rsidRDefault="005539CF" w:rsidP="005539C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BP1 was manually removed: although TTN is historically associated with truncating variants, disease-causing missense variants have been reported (e.g., exons 344 and 364). Thus, the underlying assumption for BP1 does not hold</w:t>
            </w:r>
            <w:r w:rsid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t>.</w:t>
            </w:r>
            <w:r w:rsidR="004E3FF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  <w:br/>
            </w:r>
          </w:p>
        </w:tc>
      </w:tr>
    </w:tbl>
    <w:p w14:paraId="75209565" w14:textId="77777777" w:rsidR="00B63B47" w:rsidRDefault="00B63B47"/>
    <w:sectPr w:rsidR="00B63B47" w:rsidSect="005539CF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9CF"/>
    <w:rsid w:val="000F5BDB"/>
    <w:rsid w:val="00127F4A"/>
    <w:rsid w:val="004E3FF1"/>
    <w:rsid w:val="005539CF"/>
    <w:rsid w:val="005A4089"/>
    <w:rsid w:val="00625999"/>
    <w:rsid w:val="006822B8"/>
    <w:rsid w:val="00935F1F"/>
    <w:rsid w:val="009603B7"/>
    <w:rsid w:val="00A4042D"/>
    <w:rsid w:val="00AE7BF1"/>
    <w:rsid w:val="00B63B47"/>
    <w:rsid w:val="00C071D6"/>
    <w:rsid w:val="00D3533B"/>
    <w:rsid w:val="00D35EEE"/>
    <w:rsid w:val="00DC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F7612B"/>
  <w15:chartTrackingRefBased/>
  <w15:docId w15:val="{50FEEB68-5E3A-1A4A-9C17-2945776FC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53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53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53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53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53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539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539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539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539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539C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539C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539C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539C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539CF"/>
    <w:rPr>
      <w:rFonts w:eastAsiaTheme="majorEastAsia" w:cstheme="majorBidi"/>
      <w:color w:val="0F4761" w:themeColor="accent1" w:themeShade="BF"/>
      <w:lang w:val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539C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539CF"/>
    <w:rPr>
      <w:rFonts w:eastAsiaTheme="majorEastAsia" w:cstheme="majorBidi"/>
      <w:color w:val="595959" w:themeColor="text1" w:themeTint="A6"/>
      <w:lang w:val="en-GB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539C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539CF"/>
    <w:rPr>
      <w:rFonts w:eastAsiaTheme="majorEastAsia" w:cstheme="majorBidi"/>
      <w:color w:val="272727" w:themeColor="text1" w:themeTint="D8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5539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539C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539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539C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539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539CF"/>
    <w:rPr>
      <w:i/>
      <w:iCs/>
      <w:color w:val="404040" w:themeColor="text1" w:themeTint="BF"/>
      <w:lang w:val="en-GB"/>
    </w:rPr>
  </w:style>
  <w:style w:type="paragraph" w:styleId="Paragrafoelenco">
    <w:name w:val="List Paragraph"/>
    <w:basedOn w:val="Normale"/>
    <w:uiPriority w:val="34"/>
    <w:qFormat/>
    <w:rsid w:val="005539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539C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53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539CF"/>
    <w:rPr>
      <w:i/>
      <w:iCs/>
      <w:color w:val="0F4761" w:themeColor="accent1" w:themeShade="BF"/>
      <w:lang w:val="en-GB"/>
    </w:rPr>
  </w:style>
  <w:style w:type="character" w:styleId="Riferimentointenso">
    <w:name w:val="Intense Reference"/>
    <w:basedOn w:val="Carpredefinitoparagrafo"/>
    <w:uiPriority w:val="32"/>
    <w:qFormat/>
    <w:rsid w:val="005539CF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5539CF"/>
    <w:rPr>
      <w:b/>
      <w:bCs/>
    </w:rPr>
  </w:style>
  <w:style w:type="table" w:styleId="Grigliatabellachiara">
    <w:name w:val="Grid Table Light"/>
    <w:basedOn w:val="Tabellanormale"/>
    <w:uiPriority w:val="40"/>
    <w:rsid w:val="005539C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semplice-2">
    <w:name w:val="Plain Table 2"/>
    <w:basedOn w:val="Tabellanormale"/>
    <w:uiPriority w:val="42"/>
    <w:rsid w:val="005539C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3"/>
    <w:rsid w:val="005539C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5">
    <w:name w:val="Plain Table 5"/>
    <w:basedOn w:val="Tabellanormale"/>
    <w:uiPriority w:val="45"/>
    <w:rsid w:val="005539C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semplice-1">
    <w:name w:val="Plain Table 1"/>
    <w:basedOn w:val="Tabellanormale"/>
    <w:uiPriority w:val="41"/>
    <w:rsid w:val="005539C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Francesca Di Feo</dc:creator>
  <cp:keywords/>
  <dc:description/>
  <cp:lastModifiedBy>Maria Francesca Di Feo</cp:lastModifiedBy>
  <cp:revision>2</cp:revision>
  <dcterms:created xsi:type="dcterms:W3CDTF">2025-12-04T13:09:00Z</dcterms:created>
  <dcterms:modified xsi:type="dcterms:W3CDTF">2025-12-04T13:09:00Z</dcterms:modified>
</cp:coreProperties>
</file>