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5734050" cy="7515225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7394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515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Fig S1.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Quality control.</w:t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rtl w:val="0"/>
        </w:rPr>
        <w:t xml:space="preserve">) Schematic overview of the experimental workflow (created with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BioRender.com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).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rtl w:val="0"/>
        </w:rPr>
        <w:t xml:space="preserve">) Quality control of generated iPSC lines showing representative brightfield (BF) and immunofluorescence images for OCT-4, TRA-1-60, and Hoechst 33342 in a AMD/RPD- line (MBE-03556, top) and an AMD/RPD+ line (MBE-01986, bottom). Scale bars: 500 µm (BF), 100 µm (fluorescence). Images are representative of all lines.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rtl w:val="0"/>
        </w:rPr>
        <w:t xml:space="preserve">) Characterisation of iPSC-derived RPE cells from the same two lines, showing BF and immunostaining for phalloidin (magenta) and CRALBP (green); PMEL (magenta) and ZO-1 (green); RPE65 (magenta) and ZO-1 (green). Scale bars: 100 µm.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rtl w:val="0"/>
        </w:rPr>
        <w:t xml:space="preserve">) Phagocytosis assay. Representative pigmented RPE cells and schematic (BioRender) showing uptake of FITC-labelled photoreceptor outer segments (POS). Functional assay results for AMD/RPD- (MBE-03556, MBE-03556, MBE-03556, MBE-03556) and AMD/RPD+ (TOB-01986, TOB-01986, TOB-01986) lines, presented as mean % engulfment ± SEM from technical triplicates of each unique iPSC-derived RPE line. Significance was assessed by t-test (p &lt; 0.05).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rtl w:val="0"/>
        </w:rPr>
        <w:t xml:space="preserve">) Transepithelial electrical resistance (TEER) assay. Representative pigmented RPE cells on transwell inserts and schematic (BioRender) of the TEER setup. Resistance values are shown for AMD/RPD- (MBE-03556, MBE-03556, MBE-03556, MBE-03556) and AMD/RPD+ (TOB-01986, TOB-01986, TOB-01986) lines. Each dot represents the average of technical triplicates for each iPSC-derived line. Data are shown as mean ± SEM, with statistical significance determined by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rtl w:val="0"/>
        </w:rPr>
        <w:t xml:space="preserve">-test (p &lt; 0.05).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</w:t>
      </w:r>
      <w:r w:rsidDel="00000000" w:rsidR="00000000" w:rsidRPr="00000000">
        <w:rPr>
          <w:rFonts w:ascii="Arial" w:cs="Arial" w:eastAsia="Arial" w:hAnsi="Arial"/>
          <w:rtl w:val="0"/>
        </w:rPr>
        <w:t xml:space="preserve">) Heatmap of RPE canonical marker expression from mass spectrometry across all AMD/RPD- and AMD/RPD+ lines. Each rectangle represents one line; colour intensity reflects raw abundance values from minimal (light blue) to maximal (dark blue).</w:t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5731200" cy="5689600"/>
            <wp:effectExtent b="0" l="0" r="0" t="0"/>
            <wp:docPr id="8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68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Fig S2.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Genes associated with cell subpopulations and their expression in AMD/RPD- and AMD/RPD+ cells. </w:t>
      </w:r>
      <w:r w:rsidDel="00000000" w:rsidR="00000000" w:rsidRPr="00000000">
        <w:rPr>
          <w:rFonts w:ascii="Arial" w:cs="Arial" w:eastAsia="Arial" w:hAnsi="Arial"/>
          <w:rtl w:val="0"/>
        </w:rPr>
        <w:t xml:space="preserve">Dotplot representation of single-cell expression profiles for genes linked to AMD. Plots show scaled average expression (z-scores; color scale) and the percentage of cells within each cluster expressing the gene (dot size).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5731200" cy="3213100"/>
            <wp:effectExtent b="0" l="0" r="0" t="0"/>
            <wp:docPr id="7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1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Fig S3. Disease Ontology enrichment analysis of differentially expressed genes in AMD/RPD+ and AMD/RPD- RPE cells. </w:t>
      </w:r>
      <w:r w:rsidDel="00000000" w:rsidR="00000000" w:rsidRPr="00000000">
        <w:rPr>
          <w:rFonts w:ascii="Arial" w:cs="Arial" w:eastAsia="Arial" w:hAnsi="Arial"/>
          <w:rtl w:val="0"/>
        </w:rPr>
        <w:t xml:space="preserve">The top 10 enriched Disease Ontology categories are shown. The number of genes associated with each term, and colour indicates the adjusted p value (p.adjust).</w:t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</w:rPr>
        <w:drawing>
          <wp:inline distB="114300" distT="114300" distL="114300" distR="114300">
            <wp:extent cx="5731200" cy="4241800"/>
            <wp:effectExtent b="0" l="0" r="0" t="0"/>
            <wp:docPr id="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41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Fig S4.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Examples of eQTLs in RPE subpopulations. </w:t>
      </w:r>
      <w:r w:rsidDel="00000000" w:rsidR="00000000" w:rsidRPr="00000000">
        <w:rPr>
          <w:rFonts w:ascii="Arial" w:cs="Arial" w:eastAsia="Arial" w:hAnsi="Arial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rtl w:val="0"/>
        </w:rPr>
        <w:t xml:space="preserve">) Expression of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MAP2K2</w:t>
      </w:r>
      <w:r w:rsidDel="00000000" w:rsidR="00000000" w:rsidRPr="00000000">
        <w:rPr>
          <w:rFonts w:ascii="Arial" w:cs="Arial" w:eastAsia="Arial" w:hAnsi="Arial"/>
          <w:rtl w:val="0"/>
        </w:rPr>
        <w:t xml:space="preserve"> stratified by rs75760304 genotype in overall RPE and in individual subpopulations (RPE1, RPE2, RPE8), shown separately for AMD/RPD- and AMD/RPD+ cohorts.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rtl w:val="0"/>
        </w:rPr>
        <w:t xml:space="preserve">) Expression of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PURPL</w:t>
      </w:r>
      <w:r w:rsidDel="00000000" w:rsidR="00000000" w:rsidRPr="00000000">
        <w:rPr>
          <w:rFonts w:ascii="Arial" w:cs="Arial" w:eastAsia="Arial" w:hAnsi="Arial"/>
          <w:rtl w:val="0"/>
        </w:rPr>
        <w:t xml:space="preserve"> stratified by 5:27799357:A:G genotype in RPE2, shown separately for AMD/RPD- and AMD/RPD+ cohorts. Expression values are represented as z-scores.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5731200" cy="5372100"/>
            <wp:effectExtent b="0" l="0" r="0" t="0"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37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Fig S5. Examples of disease-interacting eQTLs in RPE subpopulations. </w:t>
      </w:r>
      <w:r w:rsidDel="00000000" w:rsidR="00000000" w:rsidRPr="00000000">
        <w:rPr>
          <w:rFonts w:ascii="Arial" w:cs="Arial" w:eastAsia="Arial" w:hAnsi="Arial"/>
          <w:rtl w:val="0"/>
        </w:rPr>
        <w:t xml:space="preserve">Regional association plots (left) depict local association signals (-log10 false discovery rate) across the genomic locus, with the lead SNP indicated by a vertical red line. Boxplots (right) show expression stratified by genotype and cohort, with regression lines illustrating allele dosage effects.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AP3S1</w:t>
      </w:r>
      <w:r w:rsidDel="00000000" w:rsidR="00000000" w:rsidRPr="00000000">
        <w:rPr>
          <w:rFonts w:ascii="Arial" w:cs="Arial" w:eastAsia="Arial" w:hAnsi="Arial"/>
          <w:rtl w:val="0"/>
        </w:rPr>
        <w:t xml:space="preserve"> in RPE3 (5:116404456 C&gt;T;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rtl w:val="0"/>
        </w:rPr>
        <w:t xml:space="preserve"> = 7.17 × 10⁻⁷).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MSX2</w:t>
      </w:r>
      <w:r w:rsidDel="00000000" w:rsidR="00000000" w:rsidRPr="00000000">
        <w:rPr>
          <w:rFonts w:ascii="Arial" w:cs="Arial" w:eastAsia="Arial" w:hAnsi="Arial"/>
          <w:rtl w:val="0"/>
        </w:rPr>
        <w:t xml:space="preserve"> in RPE3 (5:174712124 A&gt;T;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rtl w:val="0"/>
        </w:rPr>
        <w:t xml:space="preserve"> = 3.24 × 10⁻⁷). (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TLCD5</w:t>
      </w:r>
      <w:r w:rsidDel="00000000" w:rsidR="00000000" w:rsidRPr="00000000">
        <w:rPr>
          <w:rFonts w:ascii="Arial" w:cs="Arial" w:eastAsia="Arial" w:hAnsi="Arial"/>
          <w:rtl w:val="0"/>
        </w:rPr>
        <w:t xml:space="preserve"> in RPE11 (11:120130164 T&gt;C;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rtl w:val="0"/>
        </w:rPr>
        <w:t xml:space="preserve"> = 9.09 × 10⁻⁸).</w:t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5731200" cy="5727700"/>
            <wp:effectExtent b="0" l="0" r="0" t="0"/>
            <wp:docPr id="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Fig S6. Top differentially expressed proteins between the two cohorts. </w:t>
      </w:r>
      <w:r w:rsidDel="00000000" w:rsidR="00000000" w:rsidRPr="00000000">
        <w:rPr>
          <w:rFonts w:ascii="Arial" w:cs="Arial" w:eastAsia="Arial" w:hAnsi="Arial"/>
          <w:rtl w:val="0"/>
        </w:rPr>
        <w:t xml:space="preserve">Violin plots showing the top 16 proteins most significantly up- or down-regulated in AMD/RPD+ relative to AMD/RPD- RPE cells based on log₂-normalised TMT proteomic data. Each violin represents the distribution of protein abundance. </w:t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5731200" cy="9550400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55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Fig S7. Transcriptome-wide association study (TWAS) of RPD risk across RPE populations. </w:t>
      </w:r>
      <w:r w:rsidDel="00000000" w:rsidR="00000000" w:rsidRPr="00000000">
        <w:rPr>
          <w:rFonts w:ascii="Arial" w:cs="Arial" w:eastAsia="Arial" w:hAnsi="Arial"/>
          <w:rtl w:val="0"/>
        </w:rPr>
        <w:t xml:space="preserve">Manhattan plots showing TWAS results for overall and subpopulation-specific RPE transcriptomic models. Each point represents a gene-level association between genetically predicted expression and RPD risk, plotted by genomic position. The red dashed line denotes the significance threshold (false discovery rate &lt; 0.1). Significant loci are labelled.</w:t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</w:rPr>
        <w:drawing>
          <wp:inline distB="114300" distT="114300" distL="114300" distR="114300">
            <wp:extent cx="5729288" cy="4227096"/>
            <wp:effectExtent b="0" l="0" r="0" t="0"/>
            <wp:docPr id="4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5"/>
                    <a:srcRect b="15634" l="19102" r="26411" t="12979"/>
                    <a:stretch>
                      <a:fillRect/>
                    </a:stretch>
                  </pic:blipFill>
                  <pic:spPr>
                    <a:xfrm>
                      <a:off x="0" y="0"/>
                      <a:ext cx="5729288" cy="42270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Fig S8. Transmission electron microscopy of iPSC-derived RPE cells. </w:t>
      </w:r>
      <w:r w:rsidDel="00000000" w:rsidR="00000000" w:rsidRPr="00000000">
        <w:rPr>
          <w:rFonts w:ascii="Arial" w:cs="Arial" w:eastAsia="Arial" w:hAnsi="Arial"/>
          <w:rtl w:val="0"/>
        </w:rPr>
        <w:t xml:space="preserve">Representative images of RPE cells derived from control, AMD/RPD-, and AMD/RPD+ donors. Top row: low-magnification views showing overall cell morphology, including nuclei, cytoplasmic organisation, and organelles (scale bar: 2 µm). Bottom row: higher-magnification views highlighting mitochondrial ultrastructure and cytoplasmic detail (scale bar: 500 nm). No consistent ultrastructural differences were observed between cohorts.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</w:rPr>
        <w:drawing>
          <wp:inline distB="114300" distT="114300" distL="114300" distR="114300">
            <wp:extent cx="3535699" cy="1799481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35699" cy="17994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Fig S9. Transepithelial electrical resistance (TEER) in iPSC-derived RPE cells</w:t>
      </w:r>
      <w:r w:rsidDel="00000000" w:rsidR="00000000" w:rsidRPr="00000000">
        <w:rPr>
          <w:rFonts w:ascii="Arial" w:cs="Arial" w:eastAsia="Arial" w:hAnsi="Arial"/>
          <w:rtl w:val="0"/>
        </w:rPr>
        <w:t xml:space="preserve">. Resistance values are from control, AMD/RPD- (AMD - RPD), AMD/RPD+ (AMD + RPD) and control lines (n= 6 lines per cohort). Each dot represents the average of technical triplicates for each iPSC-derived line. Data are shown as mean ± SD, with statistical significance determined by one way ANOVA (p &lt; 0.05). </w:t>
      </w:r>
    </w:p>
    <w:p w:rsidR="00000000" w:rsidDel="00000000" w:rsidP="00000000" w:rsidRDefault="00000000" w:rsidRPr="00000000" w14:paraId="0000002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114300" distT="114300" distL="114300" distR="114300">
            <wp:extent cx="5731200" cy="876300"/>
            <wp:effectExtent b="0" l="0" r="0" t="0"/>
            <wp:docPr id="5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7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Table S1.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Full details of significant pQTLs. </w:t>
      </w:r>
      <w:r w:rsidDel="00000000" w:rsidR="00000000" w:rsidRPr="00000000">
        <w:rPr>
          <w:rFonts w:ascii="Arial" w:cs="Arial" w:eastAsia="Arial" w:hAnsi="Arial"/>
          <w:rtl w:val="0"/>
        </w:rPr>
        <w:t xml:space="preserve">Complete information including genomic coordinates and alleles.</w:t>
      </w:r>
    </w:p>
    <w:p w:rsidR="00000000" w:rsidDel="00000000" w:rsidP="00000000" w:rsidRDefault="00000000" w:rsidRPr="00000000" w14:paraId="0000002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A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jpg"/><Relationship Id="rId10" Type="http://schemas.openxmlformats.org/officeDocument/2006/relationships/image" Target="media/image7.jpg"/><Relationship Id="rId13" Type="http://schemas.openxmlformats.org/officeDocument/2006/relationships/image" Target="media/image5.jpg"/><Relationship Id="rId12" Type="http://schemas.openxmlformats.org/officeDocument/2006/relationships/image" Target="media/image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jpg"/><Relationship Id="rId15" Type="http://schemas.openxmlformats.org/officeDocument/2006/relationships/image" Target="media/image9.jpg"/><Relationship Id="rId14" Type="http://schemas.openxmlformats.org/officeDocument/2006/relationships/image" Target="media/image4.jpg"/><Relationship Id="rId17" Type="http://schemas.openxmlformats.org/officeDocument/2006/relationships/image" Target="media/image8.jpg"/><Relationship Id="rId16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hyperlink" Target="http://biorender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Ms1GxyNLwweeMYQCNLU8bdZd1A==">CgMxLjA4AHIhMTdyU2xNVzZ0YlpjOXVMdU91T0RfdDg3QktPUnlVRFF5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