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7DEE65" w14:textId="62539FD3" w:rsidR="00FC28FA" w:rsidRDefault="007C7723" w:rsidP="003B08A8">
      <w:pPr>
        <w:pStyle w:val="1"/>
        <w:jc w:val="both"/>
        <w:rPr>
          <w:rFonts w:ascii="Times New Roman" w:hAnsi="Times New Roman" w:cs="Times New Roman"/>
          <w:color w:val="auto"/>
        </w:rPr>
      </w:pPr>
      <w:r w:rsidRPr="00742791">
        <w:rPr>
          <w:rFonts w:ascii="Times New Roman" w:hAnsi="Times New Roman" w:cs="Times New Roman"/>
          <w:color w:val="auto"/>
        </w:rPr>
        <w:t>SUPPLEMENTA</w:t>
      </w:r>
      <w:r w:rsidR="00EB1403">
        <w:rPr>
          <w:rFonts w:ascii="Times New Roman" w:hAnsi="Times New Roman" w:cs="Times New Roman"/>
          <w:color w:val="auto"/>
        </w:rPr>
        <w:t>RY DATA</w:t>
      </w:r>
    </w:p>
    <w:p w14:paraId="09AF604F" w14:textId="77B739D5" w:rsidR="00EB1403" w:rsidRPr="00EB1403" w:rsidRDefault="00EB1403">
      <w:pPr>
        <w:jc w:val="both"/>
        <w:rPr>
          <w:rFonts w:ascii="Times New Roman" w:hAnsi="Times New Roman" w:cs="Times New Roman"/>
          <w:b/>
          <w:u w:val="single"/>
          <w:lang w:eastAsia="ko-KR"/>
        </w:rPr>
      </w:pPr>
      <w:r w:rsidRPr="00EB1403">
        <w:rPr>
          <w:rFonts w:ascii="Times New Roman" w:hAnsi="Times New Roman" w:cs="Times New Roman" w:hint="eastAsia"/>
          <w:b/>
          <w:u w:val="single"/>
          <w:lang w:eastAsia="ko-KR"/>
        </w:rPr>
        <w:t>S</w:t>
      </w:r>
      <w:r w:rsidRPr="00EB1403">
        <w:rPr>
          <w:rFonts w:ascii="Times New Roman" w:hAnsi="Times New Roman" w:cs="Times New Roman"/>
          <w:b/>
          <w:u w:val="single"/>
          <w:lang w:eastAsia="ko-KR"/>
        </w:rPr>
        <w:t>upplementary Table</w:t>
      </w:r>
    </w:p>
    <w:p w14:paraId="085D2092" w14:textId="77777777" w:rsidR="002701FE" w:rsidRPr="00BF5A63" w:rsidRDefault="002701FE" w:rsidP="00FC28FA">
      <w:pPr>
        <w:jc w:val="both"/>
        <w:rPr>
          <w:rFonts w:ascii="Times New Roman" w:hAnsi="Times New Roman" w:cs="Times New Roman"/>
          <w:b/>
          <w:sz w:val="20"/>
          <w:szCs w:val="20"/>
          <w:lang w:eastAsia="ko-KR"/>
        </w:rPr>
      </w:pPr>
    </w:p>
    <w:p w14:paraId="486434D0" w14:textId="1BD9AA0B" w:rsidR="00FC28FA" w:rsidRPr="00BF5A63" w:rsidRDefault="00FC28FA" w:rsidP="00FC28FA">
      <w:pPr>
        <w:jc w:val="both"/>
        <w:rPr>
          <w:rFonts w:ascii="Times New Roman" w:hAnsi="Times New Roman" w:cs="Times New Roman"/>
          <w:b/>
          <w:sz w:val="20"/>
          <w:szCs w:val="20"/>
          <w:lang w:eastAsia="ko-KR"/>
        </w:rPr>
      </w:pPr>
      <w:r w:rsidRPr="00BF5A63">
        <w:rPr>
          <w:rFonts w:ascii="Times New Roman" w:hAnsi="Times New Roman" w:cs="Times New Roman"/>
          <w:b/>
          <w:sz w:val="20"/>
          <w:szCs w:val="20"/>
          <w:lang w:eastAsia="ko-KR"/>
        </w:rPr>
        <w:t>Supplementary Table 1.</w:t>
      </w:r>
      <w:r w:rsidR="00DD4AE6" w:rsidRPr="00BF5A63">
        <w:rPr>
          <w:rFonts w:ascii="Times New Roman" w:hAnsi="Times New Roman" w:cs="Times New Roman"/>
          <w:b/>
          <w:sz w:val="20"/>
          <w:szCs w:val="20"/>
          <w:lang w:eastAsia="ko-KR"/>
        </w:rPr>
        <w:t xml:space="preserve"> </w:t>
      </w:r>
      <w:r w:rsidR="00325C10" w:rsidRPr="00BF5A63">
        <w:rPr>
          <w:rFonts w:ascii="Times New Roman" w:hAnsi="Times New Roman" w:cs="Times New Roman"/>
          <w:b/>
          <w:sz w:val="20"/>
          <w:szCs w:val="20"/>
          <w:lang w:eastAsia="ko-KR"/>
        </w:rPr>
        <w:t xml:space="preserve">Baseline characteristics of study participants by </w:t>
      </w:r>
      <w:r w:rsidR="00325C10" w:rsidRPr="00BF5A63">
        <w:rPr>
          <w:rFonts w:ascii="Times New Roman" w:hAnsi="Times New Roman" w:cs="Times New Roman"/>
          <w:b/>
          <w:i/>
          <w:iCs/>
          <w:sz w:val="20"/>
          <w:szCs w:val="20"/>
          <w:lang w:eastAsia="ko-KR"/>
        </w:rPr>
        <w:t>PAX4</w:t>
      </w:r>
      <w:r w:rsidR="00325C10" w:rsidRPr="00BF5A63">
        <w:rPr>
          <w:rFonts w:ascii="Times New Roman" w:hAnsi="Times New Roman" w:cs="Times New Roman"/>
          <w:b/>
          <w:sz w:val="20"/>
          <w:szCs w:val="20"/>
          <w:lang w:eastAsia="ko-KR"/>
        </w:rPr>
        <w:t xml:space="preserve"> R192H genotype.</w:t>
      </w:r>
    </w:p>
    <w:tbl>
      <w:tblPr>
        <w:tblStyle w:val="a8"/>
        <w:tblW w:w="9755" w:type="dxa"/>
        <w:tblLook w:val="04A0" w:firstRow="1" w:lastRow="0" w:firstColumn="1" w:lastColumn="0" w:noHBand="0" w:noVBand="1"/>
      </w:tblPr>
      <w:tblGrid>
        <w:gridCol w:w="2978"/>
        <w:gridCol w:w="2698"/>
        <w:gridCol w:w="2557"/>
        <w:gridCol w:w="1522"/>
      </w:tblGrid>
      <w:tr w:rsidR="00325C10" w14:paraId="645990CC" w14:textId="77777777" w:rsidTr="002701FE">
        <w:trPr>
          <w:trHeight w:val="460"/>
        </w:trPr>
        <w:tc>
          <w:tcPr>
            <w:tcW w:w="2978" w:type="dxa"/>
            <w:vAlign w:val="center"/>
          </w:tcPr>
          <w:p w14:paraId="097787B5" w14:textId="57498A66"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b/>
                <w:bCs/>
                <w:i/>
                <w:iCs/>
                <w:sz w:val="20"/>
                <w:szCs w:val="20"/>
                <w:lang w:eastAsia="ko-KR"/>
              </w:rPr>
              <w:t>PAX4</w:t>
            </w:r>
            <w:r w:rsidRPr="00325C10">
              <w:rPr>
                <w:rFonts w:ascii="Times New Roman" w:hAnsi="Times New Roman" w:cs="Times New Roman"/>
                <w:b/>
                <w:bCs/>
                <w:sz w:val="20"/>
                <w:szCs w:val="20"/>
                <w:lang w:eastAsia="ko-KR"/>
              </w:rPr>
              <w:t xml:space="preserve"> R192H genotype</w:t>
            </w:r>
          </w:p>
        </w:tc>
        <w:tc>
          <w:tcPr>
            <w:tcW w:w="2698" w:type="dxa"/>
            <w:vAlign w:val="center"/>
          </w:tcPr>
          <w:p w14:paraId="01A07AE9" w14:textId="77777777"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b/>
                <w:bCs/>
                <w:i/>
                <w:iCs/>
                <w:sz w:val="20"/>
                <w:szCs w:val="20"/>
                <w:lang w:eastAsia="ko-KR"/>
              </w:rPr>
              <w:t>PAX4</w:t>
            </w:r>
            <w:r w:rsidRPr="00325C10">
              <w:rPr>
                <w:rFonts w:ascii="Times New Roman" w:hAnsi="Times New Roman" w:cs="Times New Roman"/>
                <w:b/>
                <w:bCs/>
                <w:sz w:val="20"/>
                <w:szCs w:val="20"/>
                <w:lang w:eastAsia="ko-KR"/>
              </w:rPr>
              <w:t xml:space="preserve"> Arg/Arg</w:t>
            </w:r>
          </w:p>
          <w:p w14:paraId="499DD4A3" w14:textId="5519C555"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b/>
                <w:bCs/>
                <w:sz w:val="20"/>
                <w:szCs w:val="20"/>
                <w:lang w:eastAsia="ko-KR"/>
              </w:rPr>
              <w:t xml:space="preserve"> (</w:t>
            </w:r>
            <w:r w:rsidR="002701FE">
              <w:rPr>
                <w:rFonts w:ascii="Times New Roman" w:hAnsi="Times New Roman" w:cs="Times New Roman" w:hint="eastAsia"/>
                <w:b/>
                <w:bCs/>
                <w:sz w:val="20"/>
                <w:szCs w:val="20"/>
                <w:lang w:eastAsia="ko-KR"/>
              </w:rPr>
              <w:t>n</w:t>
            </w:r>
            <w:r w:rsidRPr="00325C10">
              <w:rPr>
                <w:rFonts w:ascii="Times New Roman" w:hAnsi="Times New Roman" w:cs="Times New Roman"/>
                <w:b/>
                <w:bCs/>
                <w:sz w:val="20"/>
                <w:szCs w:val="20"/>
                <w:lang w:eastAsia="ko-KR"/>
              </w:rPr>
              <w:t>=3,650)</w:t>
            </w:r>
          </w:p>
        </w:tc>
        <w:tc>
          <w:tcPr>
            <w:tcW w:w="2557" w:type="dxa"/>
            <w:vAlign w:val="center"/>
          </w:tcPr>
          <w:p w14:paraId="390D793B" w14:textId="77777777"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b/>
                <w:bCs/>
                <w:i/>
                <w:iCs/>
                <w:sz w:val="20"/>
                <w:szCs w:val="20"/>
                <w:lang w:eastAsia="ko-KR"/>
              </w:rPr>
              <w:t>PAX4</w:t>
            </w:r>
            <w:r w:rsidRPr="00325C10">
              <w:rPr>
                <w:rFonts w:ascii="Times New Roman" w:hAnsi="Times New Roman" w:cs="Times New Roman"/>
                <w:b/>
                <w:bCs/>
                <w:sz w:val="20"/>
                <w:szCs w:val="20"/>
                <w:lang w:eastAsia="ko-KR"/>
              </w:rPr>
              <w:t xml:space="preserve"> Arg/His, His/His</w:t>
            </w:r>
          </w:p>
          <w:p w14:paraId="46F35FA9" w14:textId="15AEC9A0"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b/>
                <w:bCs/>
                <w:sz w:val="20"/>
                <w:szCs w:val="20"/>
                <w:lang w:eastAsia="ko-KR"/>
              </w:rPr>
              <w:t>(</w:t>
            </w:r>
            <w:r w:rsidR="002701FE">
              <w:rPr>
                <w:rFonts w:ascii="Times New Roman" w:hAnsi="Times New Roman" w:cs="Times New Roman" w:hint="eastAsia"/>
                <w:b/>
                <w:bCs/>
                <w:sz w:val="20"/>
                <w:szCs w:val="20"/>
                <w:lang w:eastAsia="ko-KR"/>
              </w:rPr>
              <w:t>n</w:t>
            </w:r>
            <w:r w:rsidRPr="00325C10">
              <w:rPr>
                <w:rFonts w:ascii="Times New Roman" w:hAnsi="Times New Roman" w:cs="Times New Roman"/>
                <w:b/>
                <w:bCs/>
                <w:sz w:val="20"/>
                <w:szCs w:val="20"/>
                <w:lang w:eastAsia="ko-KR"/>
              </w:rPr>
              <w:t>=592)</w:t>
            </w:r>
          </w:p>
        </w:tc>
        <w:tc>
          <w:tcPr>
            <w:tcW w:w="1522" w:type="dxa"/>
            <w:vAlign w:val="center"/>
          </w:tcPr>
          <w:p w14:paraId="01A9A633" w14:textId="6D79C64E"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b/>
                <w:bCs/>
                <w:i/>
                <w:iCs/>
                <w:sz w:val="20"/>
                <w:szCs w:val="20"/>
                <w:lang w:eastAsia="ko-KR"/>
              </w:rPr>
              <w:t>P</w:t>
            </w:r>
            <w:r w:rsidR="002701FE">
              <w:rPr>
                <w:rFonts w:ascii="Times New Roman" w:hAnsi="Times New Roman" w:cs="Times New Roman" w:hint="eastAsia"/>
                <w:b/>
                <w:bCs/>
                <w:i/>
                <w:iCs/>
                <w:sz w:val="20"/>
                <w:szCs w:val="20"/>
                <w:lang w:eastAsia="ko-KR"/>
              </w:rPr>
              <w:t xml:space="preserve"> </w:t>
            </w:r>
            <w:r w:rsidR="002701FE" w:rsidRPr="002701FE">
              <w:rPr>
                <w:rFonts w:ascii="Times New Roman" w:hAnsi="Times New Roman" w:cs="Times New Roman" w:hint="eastAsia"/>
                <w:b/>
                <w:bCs/>
                <w:sz w:val="20"/>
                <w:szCs w:val="20"/>
                <w:lang w:eastAsia="ko-KR"/>
              </w:rPr>
              <w:t>value</w:t>
            </w:r>
            <w:r w:rsidR="002701FE" w:rsidRPr="00BF5A63">
              <w:rPr>
                <w:rFonts w:ascii="Times New Roman" w:hAnsi="Times New Roman" w:cs="Times New Roman"/>
                <w:b/>
                <w:bCs/>
                <w:sz w:val="20"/>
                <w:szCs w:val="20"/>
                <w:vertAlign w:val="superscript"/>
                <w:lang w:eastAsia="ko-KR"/>
              </w:rPr>
              <w:t>*</w:t>
            </w:r>
          </w:p>
        </w:tc>
      </w:tr>
      <w:tr w:rsidR="00325C10" w14:paraId="1F81586F" w14:textId="77777777" w:rsidTr="002701FE">
        <w:trPr>
          <w:trHeight w:val="460"/>
        </w:trPr>
        <w:tc>
          <w:tcPr>
            <w:tcW w:w="2978" w:type="dxa"/>
            <w:vAlign w:val="center"/>
          </w:tcPr>
          <w:p w14:paraId="5B14CAA2" w14:textId="1254769E"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b/>
                <w:bCs/>
                <w:color w:val="000000" w:themeColor="text1"/>
                <w:kern w:val="2"/>
                <w:sz w:val="20"/>
                <w:szCs w:val="20"/>
              </w:rPr>
              <w:t>Age (years)</w:t>
            </w:r>
          </w:p>
        </w:tc>
        <w:tc>
          <w:tcPr>
            <w:tcW w:w="2698" w:type="dxa"/>
            <w:vAlign w:val="center"/>
          </w:tcPr>
          <w:p w14:paraId="47AE9D11" w14:textId="4D574398"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51.1 (8.4)</w:t>
            </w:r>
          </w:p>
        </w:tc>
        <w:tc>
          <w:tcPr>
            <w:tcW w:w="2557" w:type="dxa"/>
            <w:vAlign w:val="center"/>
          </w:tcPr>
          <w:p w14:paraId="10CC6474" w14:textId="27C900E7"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50.9 (8.3)</w:t>
            </w:r>
          </w:p>
        </w:tc>
        <w:tc>
          <w:tcPr>
            <w:tcW w:w="1522" w:type="dxa"/>
            <w:vAlign w:val="center"/>
          </w:tcPr>
          <w:p w14:paraId="0C36705D" w14:textId="653459DC"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0.676</w:t>
            </w:r>
          </w:p>
        </w:tc>
      </w:tr>
      <w:tr w:rsidR="00325C10" w14:paraId="1F554694" w14:textId="77777777" w:rsidTr="002701FE">
        <w:trPr>
          <w:trHeight w:val="460"/>
        </w:trPr>
        <w:tc>
          <w:tcPr>
            <w:tcW w:w="2978" w:type="dxa"/>
            <w:vAlign w:val="center"/>
          </w:tcPr>
          <w:p w14:paraId="402A5A17" w14:textId="1E03FBEB" w:rsidR="00325C10" w:rsidRPr="00325C10" w:rsidRDefault="002701FE" w:rsidP="002701FE">
            <w:pPr>
              <w:jc w:val="both"/>
              <w:rPr>
                <w:rFonts w:ascii="Times New Roman" w:hAnsi="Times New Roman" w:cs="Times New Roman"/>
                <w:sz w:val="20"/>
                <w:szCs w:val="20"/>
                <w:lang w:eastAsia="ko-KR"/>
              </w:rPr>
            </w:pPr>
            <w:r>
              <w:rPr>
                <w:rFonts w:ascii="Times New Roman" w:hAnsi="Times New Roman" w:cs="Times New Roman" w:hint="eastAsia"/>
                <w:b/>
                <w:bCs/>
                <w:color w:val="000000" w:themeColor="text1"/>
                <w:kern w:val="2"/>
                <w:sz w:val="20"/>
                <w:szCs w:val="20"/>
                <w:lang w:eastAsia="ko-KR"/>
              </w:rPr>
              <w:t>Sex (</w:t>
            </w:r>
            <w:r w:rsidR="00325C10" w:rsidRPr="00325C10">
              <w:rPr>
                <w:rFonts w:ascii="Times New Roman" w:hAnsi="Times New Roman" w:cs="Times New Roman"/>
                <w:b/>
                <w:bCs/>
                <w:color w:val="000000" w:themeColor="text1"/>
                <w:kern w:val="2"/>
                <w:sz w:val="20"/>
                <w:szCs w:val="20"/>
              </w:rPr>
              <w:t>%</w:t>
            </w:r>
            <w:r>
              <w:rPr>
                <w:rFonts w:ascii="Times New Roman" w:hAnsi="Times New Roman" w:cs="Times New Roman" w:hint="eastAsia"/>
                <w:b/>
                <w:bCs/>
                <w:color w:val="000000" w:themeColor="text1"/>
                <w:kern w:val="2"/>
                <w:sz w:val="20"/>
                <w:szCs w:val="20"/>
                <w:lang w:eastAsia="ko-KR"/>
              </w:rPr>
              <w:t>, male</w:t>
            </w:r>
            <w:r w:rsidR="00325C10" w:rsidRPr="00325C10">
              <w:rPr>
                <w:rFonts w:ascii="Times New Roman" w:hAnsi="Times New Roman" w:cs="Times New Roman"/>
                <w:b/>
                <w:bCs/>
                <w:color w:val="000000" w:themeColor="text1"/>
                <w:kern w:val="2"/>
                <w:sz w:val="20"/>
                <w:szCs w:val="20"/>
              </w:rPr>
              <w:t>)</w:t>
            </w:r>
          </w:p>
        </w:tc>
        <w:tc>
          <w:tcPr>
            <w:tcW w:w="2698" w:type="dxa"/>
            <w:vAlign w:val="center"/>
          </w:tcPr>
          <w:p w14:paraId="33CEEDF0" w14:textId="4C6FC3D2"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1703 (47)</w:t>
            </w:r>
          </w:p>
        </w:tc>
        <w:tc>
          <w:tcPr>
            <w:tcW w:w="2557" w:type="dxa"/>
            <w:vAlign w:val="center"/>
          </w:tcPr>
          <w:p w14:paraId="248AD1E7" w14:textId="76B8217B"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291 (49)</w:t>
            </w:r>
          </w:p>
        </w:tc>
        <w:tc>
          <w:tcPr>
            <w:tcW w:w="1522" w:type="dxa"/>
            <w:vAlign w:val="center"/>
          </w:tcPr>
          <w:p w14:paraId="7CA349DB" w14:textId="10E975DB"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0.278</w:t>
            </w:r>
          </w:p>
        </w:tc>
      </w:tr>
      <w:tr w:rsidR="00325C10" w14:paraId="76F9BF0D" w14:textId="77777777" w:rsidTr="002701FE">
        <w:trPr>
          <w:trHeight w:val="460"/>
        </w:trPr>
        <w:tc>
          <w:tcPr>
            <w:tcW w:w="2978" w:type="dxa"/>
            <w:vAlign w:val="center"/>
          </w:tcPr>
          <w:p w14:paraId="25816486" w14:textId="6DB39BDC"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b/>
                <w:bCs/>
                <w:color w:val="000000" w:themeColor="text1"/>
                <w:kern w:val="2"/>
                <w:sz w:val="20"/>
                <w:szCs w:val="20"/>
              </w:rPr>
              <w:t>B</w:t>
            </w:r>
            <w:r w:rsidR="002701FE">
              <w:rPr>
                <w:rFonts w:ascii="Times New Roman" w:hAnsi="Times New Roman" w:cs="Times New Roman" w:hint="eastAsia"/>
                <w:b/>
                <w:bCs/>
                <w:color w:val="000000" w:themeColor="text1"/>
                <w:kern w:val="2"/>
                <w:sz w:val="20"/>
                <w:szCs w:val="20"/>
                <w:lang w:eastAsia="ko-KR"/>
              </w:rPr>
              <w:t>ody mass index</w:t>
            </w:r>
            <w:r w:rsidRPr="00325C10">
              <w:rPr>
                <w:rFonts w:ascii="Times New Roman" w:hAnsi="Times New Roman" w:cs="Times New Roman"/>
                <w:b/>
                <w:bCs/>
                <w:color w:val="000000" w:themeColor="text1"/>
                <w:kern w:val="2"/>
                <w:sz w:val="20"/>
                <w:szCs w:val="20"/>
              </w:rPr>
              <w:t xml:space="preserve"> (kg/m</w:t>
            </w:r>
            <w:r w:rsidR="002701FE" w:rsidRPr="002701FE">
              <w:rPr>
                <w:rFonts w:ascii="Times New Roman" w:hAnsi="Times New Roman" w:cs="Times New Roman" w:hint="eastAsia"/>
                <w:b/>
                <w:bCs/>
                <w:color w:val="000000" w:themeColor="text1"/>
                <w:kern w:val="2"/>
                <w:sz w:val="20"/>
                <w:szCs w:val="20"/>
                <w:vertAlign w:val="superscript"/>
                <w:lang w:eastAsia="ko-KR"/>
              </w:rPr>
              <w:t>2</w:t>
            </w:r>
            <w:r w:rsidRPr="00325C10">
              <w:rPr>
                <w:rFonts w:ascii="Times New Roman" w:hAnsi="Times New Roman" w:cs="Times New Roman"/>
                <w:b/>
                <w:bCs/>
                <w:color w:val="000000" w:themeColor="text1"/>
                <w:kern w:val="2"/>
                <w:sz w:val="20"/>
                <w:szCs w:val="20"/>
              </w:rPr>
              <w:t>)</w:t>
            </w:r>
          </w:p>
        </w:tc>
        <w:tc>
          <w:tcPr>
            <w:tcW w:w="2698" w:type="dxa"/>
            <w:vAlign w:val="center"/>
          </w:tcPr>
          <w:p w14:paraId="6FFA2A77" w14:textId="29B2DC90"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24.4 (3.0)</w:t>
            </w:r>
          </w:p>
        </w:tc>
        <w:tc>
          <w:tcPr>
            <w:tcW w:w="2557" w:type="dxa"/>
            <w:vAlign w:val="center"/>
          </w:tcPr>
          <w:p w14:paraId="6B3C0380" w14:textId="4DC45A00"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24.7 (3.0)</w:t>
            </w:r>
          </w:p>
        </w:tc>
        <w:tc>
          <w:tcPr>
            <w:tcW w:w="1522" w:type="dxa"/>
            <w:vAlign w:val="center"/>
          </w:tcPr>
          <w:p w14:paraId="785F3178" w14:textId="00BD9C1A"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0.014</w:t>
            </w:r>
          </w:p>
        </w:tc>
      </w:tr>
      <w:tr w:rsidR="00325C10" w14:paraId="7EB7D798" w14:textId="77777777" w:rsidTr="002701FE">
        <w:trPr>
          <w:trHeight w:val="460"/>
        </w:trPr>
        <w:tc>
          <w:tcPr>
            <w:tcW w:w="2978" w:type="dxa"/>
            <w:vAlign w:val="center"/>
          </w:tcPr>
          <w:p w14:paraId="66235CAB" w14:textId="051A4CB8"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b/>
                <w:bCs/>
                <w:color w:val="000000" w:themeColor="text1"/>
                <w:kern w:val="2"/>
                <w:sz w:val="20"/>
                <w:szCs w:val="20"/>
              </w:rPr>
              <w:t>Fasting plasma glucose (mg/dL)</w:t>
            </w:r>
          </w:p>
        </w:tc>
        <w:tc>
          <w:tcPr>
            <w:tcW w:w="2698" w:type="dxa"/>
            <w:vAlign w:val="center"/>
          </w:tcPr>
          <w:p w14:paraId="75A6EB34" w14:textId="5CFDD5F5"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82.8 (8.4)</w:t>
            </w:r>
          </w:p>
        </w:tc>
        <w:tc>
          <w:tcPr>
            <w:tcW w:w="2557" w:type="dxa"/>
            <w:vAlign w:val="center"/>
          </w:tcPr>
          <w:p w14:paraId="1F9A16FD" w14:textId="1105F64D"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83.8 (8.6)</w:t>
            </w:r>
          </w:p>
        </w:tc>
        <w:tc>
          <w:tcPr>
            <w:tcW w:w="1522" w:type="dxa"/>
            <w:vAlign w:val="center"/>
          </w:tcPr>
          <w:p w14:paraId="7570AD5E" w14:textId="2CC6977B"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0.004</w:t>
            </w:r>
          </w:p>
        </w:tc>
      </w:tr>
      <w:tr w:rsidR="00325C10" w14:paraId="22CA32D1" w14:textId="77777777" w:rsidTr="002701FE">
        <w:trPr>
          <w:trHeight w:val="460"/>
        </w:trPr>
        <w:tc>
          <w:tcPr>
            <w:tcW w:w="2978" w:type="dxa"/>
            <w:vAlign w:val="center"/>
          </w:tcPr>
          <w:p w14:paraId="6DD6EA83" w14:textId="426C1276"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b/>
                <w:bCs/>
                <w:color w:val="000000" w:themeColor="text1"/>
                <w:kern w:val="2"/>
                <w:sz w:val="20"/>
                <w:szCs w:val="20"/>
              </w:rPr>
              <w:t>2</w:t>
            </w:r>
            <w:r w:rsidR="004254FF">
              <w:rPr>
                <w:rFonts w:ascii="Times New Roman" w:hAnsi="Times New Roman" w:cs="Times New Roman" w:hint="eastAsia"/>
                <w:b/>
                <w:bCs/>
                <w:color w:val="000000" w:themeColor="text1"/>
                <w:kern w:val="2"/>
                <w:sz w:val="20"/>
                <w:szCs w:val="20"/>
                <w:lang w:eastAsia="ko-KR"/>
              </w:rPr>
              <w:t xml:space="preserve"> </w:t>
            </w:r>
            <w:r w:rsidRPr="00325C10">
              <w:rPr>
                <w:rFonts w:ascii="Times New Roman" w:hAnsi="Times New Roman" w:cs="Times New Roman"/>
                <w:b/>
                <w:bCs/>
                <w:color w:val="000000" w:themeColor="text1"/>
                <w:kern w:val="2"/>
                <w:sz w:val="20"/>
                <w:szCs w:val="20"/>
              </w:rPr>
              <w:t>h glucose (mg/dL)</w:t>
            </w:r>
          </w:p>
        </w:tc>
        <w:tc>
          <w:tcPr>
            <w:tcW w:w="2698" w:type="dxa"/>
            <w:vAlign w:val="center"/>
          </w:tcPr>
          <w:p w14:paraId="68EF8D03" w14:textId="03C194F7"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113 (29)</w:t>
            </w:r>
          </w:p>
        </w:tc>
        <w:tc>
          <w:tcPr>
            <w:tcW w:w="2557" w:type="dxa"/>
            <w:vAlign w:val="center"/>
          </w:tcPr>
          <w:p w14:paraId="49019BCF" w14:textId="347C821A"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116 (31)</w:t>
            </w:r>
          </w:p>
        </w:tc>
        <w:tc>
          <w:tcPr>
            <w:tcW w:w="1522" w:type="dxa"/>
            <w:vAlign w:val="center"/>
          </w:tcPr>
          <w:p w14:paraId="5DC3275E" w14:textId="2797E608"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0.054</w:t>
            </w:r>
          </w:p>
        </w:tc>
      </w:tr>
      <w:tr w:rsidR="00325C10" w14:paraId="024B9939" w14:textId="77777777" w:rsidTr="002701FE">
        <w:trPr>
          <w:trHeight w:val="460"/>
        </w:trPr>
        <w:tc>
          <w:tcPr>
            <w:tcW w:w="2978" w:type="dxa"/>
            <w:vAlign w:val="center"/>
          </w:tcPr>
          <w:p w14:paraId="420C4475" w14:textId="22B83823" w:rsidR="00325C10" w:rsidRPr="00325C10" w:rsidRDefault="002701FE" w:rsidP="002701FE">
            <w:pPr>
              <w:jc w:val="both"/>
              <w:rPr>
                <w:rFonts w:ascii="Times New Roman" w:hAnsi="Times New Roman" w:cs="Times New Roman"/>
                <w:sz w:val="20"/>
                <w:szCs w:val="20"/>
                <w:lang w:eastAsia="ko-KR"/>
              </w:rPr>
            </w:pPr>
            <w:r>
              <w:rPr>
                <w:rFonts w:ascii="Times New Roman" w:hAnsi="Times New Roman" w:cs="Times New Roman" w:hint="eastAsia"/>
                <w:b/>
                <w:bCs/>
                <w:color w:val="000000" w:themeColor="text1"/>
                <w:kern w:val="2"/>
                <w:sz w:val="20"/>
                <w:szCs w:val="20"/>
                <w:lang w:eastAsia="ko-KR"/>
              </w:rPr>
              <w:t>HbA1c</w:t>
            </w:r>
            <w:r w:rsidR="00325C10" w:rsidRPr="00325C10">
              <w:rPr>
                <w:rFonts w:ascii="Times New Roman" w:hAnsi="Times New Roman" w:cs="Times New Roman"/>
                <w:b/>
                <w:bCs/>
                <w:color w:val="000000" w:themeColor="text1"/>
                <w:kern w:val="2"/>
                <w:sz w:val="20"/>
                <w:szCs w:val="20"/>
              </w:rPr>
              <w:t xml:space="preserve"> (%)</w:t>
            </w:r>
          </w:p>
        </w:tc>
        <w:tc>
          <w:tcPr>
            <w:tcW w:w="2698" w:type="dxa"/>
            <w:vAlign w:val="center"/>
          </w:tcPr>
          <w:p w14:paraId="6BAB0FBF" w14:textId="54F8DE4A"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5.52 (0.34)</w:t>
            </w:r>
          </w:p>
        </w:tc>
        <w:tc>
          <w:tcPr>
            <w:tcW w:w="2557" w:type="dxa"/>
            <w:vAlign w:val="center"/>
          </w:tcPr>
          <w:p w14:paraId="1C880B06" w14:textId="6A749DEA"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5.56 (0.35)</w:t>
            </w:r>
          </w:p>
        </w:tc>
        <w:tc>
          <w:tcPr>
            <w:tcW w:w="1522" w:type="dxa"/>
            <w:vAlign w:val="center"/>
          </w:tcPr>
          <w:p w14:paraId="2A1BA9BE" w14:textId="16DAFC77" w:rsidR="00325C10" w:rsidRPr="00325C10" w:rsidRDefault="00325C10" w:rsidP="002701FE">
            <w:pPr>
              <w:jc w:val="both"/>
              <w:rPr>
                <w:rFonts w:ascii="Times New Roman" w:hAnsi="Times New Roman" w:cs="Times New Roman"/>
                <w:sz w:val="20"/>
                <w:szCs w:val="20"/>
                <w:lang w:eastAsia="ko-KR"/>
              </w:rPr>
            </w:pPr>
            <w:r w:rsidRPr="00325C10">
              <w:rPr>
                <w:rFonts w:ascii="Times New Roman" w:eastAsia="맑은 고딕" w:hAnsi="Times New Roman" w:cs="Times New Roman"/>
                <w:color w:val="000000" w:themeColor="text1"/>
                <w:kern w:val="2"/>
                <w:sz w:val="20"/>
                <w:szCs w:val="20"/>
              </w:rPr>
              <w:t>0.017</w:t>
            </w:r>
          </w:p>
        </w:tc>
      </w:tr>
      <w:tr w:rsidR="00325C10" w14:paraId="40C1904D" w14:textId="77777777" w:rsidTr="002701FE">
        <w:trPr>
          <w:trHeight w:val="460"/>
        </w:trPr>
        <w:tc>
          <w:tcPr>
            <w:tcW w:w="2978" w:type="dxa"/>
            <w:vAlign w:val="center"/>
          </w:tcPr>
          <w:p w14:paraId="2941BFDA" w14:textId="76EC6E8A"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b/>
                <w:bCs/>
                <w:color w:val="000000" w:themeColor="text1"/>
                <w:kern w:val="2"/>
                <w:sz w:val="20"/>
                <w:szCs w:val="20"/>
              </w:rPr>
              <w:t>Fasting insulin (pmol/L)</w:t>
            </w:r>
            <w:r w:rsidR="005A2853" w:rsidRPr="00DF28A2">
              <w:rPr>
                <w:rFonts w:ascii="Times New Roman" w:hAnsi="Times New Roman" w:cs="Times New Roman"/>
                <w:b/>
                <w:bCs/>
                <w:color w:val="000000" w:themeColor="text1"/>
                <w:kern w:val="2"/>
                <w:sz w:val="20"/>
                <w:szCs w:val="20"/>
                <w:vertAlign w:val="superscript"/>
              </w:rPr>
              <w:t>†</w:t>
            </w:r>
          </w:p>
        </w:tc>
        <w:tc>
          <w:tcPr>
            <w:tcW w:w="2698" w:type="dxa"/>
            <w:vAlign w:val="center"/>
          </w:tcPr>
          <w:p w14:paraId="5A69E51D" w14:textId="234DC8AE"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6.3 (1.9)</w:t>
            </w:r>
          </w:p>
        </w:tc>
        <w:tc>
          <w:tcPr>
            <w:tcW w:w="2557" w:type="dxa"/>
            <w:vAlign w:val="center"/>
          </w:tcPr>
          <w:p w14:paraId="2B876EFD" w14:textId="7A188E27"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6.6 (1.7)</w:t>
            </w:r>
          </w:p>
        </w:tc>
        <w:tc>
          <w:tcPr>
            <w:tcW w:w="1522" w:type="dxa"/>
            <w:vAlign w:val="center"/>
          </w:tcPr>
          <w:p w14:paraId="05B9B781" w14:textId="1B12714C"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0.080</w:t>
            </w:r>
          </w:p>
        </w:tc>
      </w:tr>
      <w:tr w:rsidR="00325C10" w14:paraId="3633A75D" w14:textId="77777777" w:rsidTr="002701FE">
        <w:trPr>
          <w:trHeight w:val="460"/>
        </w:trPr>
        <w:tc>
          <w:tcPr>
            <w:tcW w:w="2978" w:type="dxa"/>
            <w:vAlign w:val="center"/>
          </w:tcPr>
          <w:p w14:paraId="5CC9BBE7" w14:textId="67599DAA"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b/>
                <w:bCs/>
                <w:color w:val="000000" w:themeColor="text1"/>
                <w:kern w:val="2"/>
                <w:sz w:val="20"/>
                <w:szCs w:val="20"/>
              </w:rPr>
              <w:t>IGI</w:t>
            </w:r>
            <w:r w:rsidR="002701FE" w:rsidRPr="002701FE">
              <w:rPr>
                <w:rFonts w:ascii="Times New Roman" w:hAnsi="Times New Roman" w:cs="Times New Roman" w:hint="eastAsia"/>
                <w:b/>
                <w:bCs/>
                <w:color w:val="000000" w:themeColor="text1"/>
                <w:kern w:val="2"/>
                <w:sz w:val="20"/>
                <w:szCs w:val="20"/>
                <w:vertAlign w:val="subscript"/>
                <w:lang w:eastAsia="ko-KR"/>
              </w:rPr>
              <w:t>60</w:t>
            </w:r>
            <w:r w:rsidR="005A2853" w:rsidRPr="00DF28A2">
              <w:rPr>
                <w:rFonts w:ascii="Times New Roman" w:hAnsi="Times New Roman" w:cs="Times New Roman"/>
                <w:b/>
                <w:bCs/>
                <w:color w:val="000000" w:themeColor="text1"/>
                <w:kern w:val="2"/>
                <w:sz w:val="20"/>
                <w:szCs w:val="20"/>
                <w:vertAlign w:val="superscript"/>
              </w:rPr>
              <w:t>†</w:t>
            </w:r>
          </w:p>
        </w:tc>
        <w:tc>
          <w:tcPr>
            <w:tcW w:w="2698" w:type="dxa"/>
            <w:vAlign w:val="center"/>
          </w:tcPr>
          <w:p w14:paraId="423A7644" w14:textId="336A39F1"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6.8 (3.5)</w:t>
            </w:r>
          </w:p>
        </w:tc>
        <w:tc>
          <w:tcPr>
            <w:tcW w:w="2557" w:type="dxa"/>
            <w:vAlign w:val="center"/>
          </w:tcPr>
          <w:p w14:paraId="57D7F760" w14:textId="0D3DA726"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6.3 (3.5)</w:t>
            </w:r>
          </w:p>
        </w:tc>
        <w:tc>
          <w:tcPr>
            <w:tcW w:w="1522" w:type="dxa"/>
            <w:vAlign w:val="center"/>
          </w:tcPr>
          <w:p w14:paraId="133A1491" w14:textId="1142130E" w:rsidR="00325C10" w:rsidRPr="00325C10" w:rsidRDefault="00325C10" w:rsidP="002701FE">
            <w:pPr>
              <w:jc w:val="both"/>
              <w:rPr>
                <w:rFonts w:ascii="Times New Roman" w:hAnsi="Times New Roman" w:cs="Times New Roman"/>
                <w:sz w:val="20"/>
                <w:szCs w:val="20"/>
                <w:lang w:eastAsia="ko-KR"/>
              </w:rPr>
            </w:pPr>
            <w:r w:rsidRPr="00325C10">
              <w:rPr>
                <w:rFonts w:ascii="Times New Roman" w:eastAsia="맑은 고딕" w:hAnsi="Times New Roman" w:cs="Times New Roman"/>
                <w:color w:val="000000" w:themeColor="text1"/>
                <w:kern w:val="2"/>
                <w:sz w:val="20"/>
                <w:szCs w:val="20"/>
              </w:rPr>
              <w:t>0.167</w:t>
            </w:r>
          </w:p>
        </w:tc>
      </w:tr>
      <w:tr w:rsidR="00325C10" w14:paraId="344F4E79" w14:textId="77777777" w:rsidTr="002701FE">
        <w:trPr>
          <w:trHeight w:val="460"/>
        </w:trPr>
        <w:tc>
          <w:tcPr>
            <w:tcW w:w="2978" w:type="dxa"/>
            <w:vAlign w:val="center"/>
          </w:tcPr>
          <w:p w14:paraId="76A86676" w14:textId="09BB0B67"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b/>
                <w:bCs/>
                <w:color w:val="000000" w:themeColor="text1"/>
                <w:kern w:val="2"/>
                <w:sz w:val="20"/>
                <w:szCs w:val="20"/>
              </w:rPr>
              <w:t>ISI</w:t>
            </w:r>
            <w:r w:rsidR="005A2853" w:rsidRPr="00DF28A2">
              <w:rPr>
                <w:rFonts w:ascii="Times New Roman" w:hAnsi="Times New Roman" w:cs="Times New Roman"/>
                <w:b/>
                <w:bCs/>
                <w:color w:val="000000" w:themeColor="text1"/>
                <w:kern w:val="2"/>
                <w:sz w:val="20"/>
                <w:szCs w:val="20"/>
                <w:vertAlign w:val="superscript"/>
              </w:rPr>
              <w:t>†</w:t>
            </w:r>
          </w:p>
        </w:tc>
        <w:tc>
          <w:tcPr>
            <w:tcW w:w="2698" w:type="dxa"/>
            <w:vAlign w:val="center"/>
          </w:tcPr>
          <w:p w14:paraId="356FA83E" w14:textId="269DCB5D"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9.8 (1.8)</w:t>
            </w:r>
          </w:p>
        </w:tc>
        <w:tc>
          <w:tcPr>
            <w:tcW w:w="2557" w:type="dxa"/>
            <w:vAlign w:val="center"/>
          </w:tcPr>
          <w:p w14:paraId="1796113E" w14:textId="0E8F6483"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9.5 (1.8)</w:t>
            </w:r>
          </w:p>
        </w:tc>
        <w:tc>
          <w:tcPr>
            <w:tcW w:w="1522" w:type="dxa"/>
            <w:vAlign w:val="center"/>
          </w:tcPr>
          <w:p w14:paraId="73202C45" w14:textId="2E0FB222" w:rsidR="00325C10" w:rsidRPr="00325C10" w:rsidRDefault="00325C10" w:rsidP="002701FE">
            <w:pPr>
              <w:jc w:val="both"/>
              <w:rPr>
                <w:rFonts w:ascii="Times New Roman" w:hAnsi="Times New Roman" w:cs="Times New Roman"/>
                <w:sz w:val="20"/>
                <w:szCs w:val="20"/>
                <w:lang w:eastAsia="ko-KR"/>
              </w:rPr>
            </w:pPr>
            <w:r w:rsidRPr="00325C10">
              <w:rPr>
                <w:rFonts w:ascii="Times New Roman" w:eastAsia="맑은 고딕" w:hAnsi="Times New Roman" w:cs="Times New Roman"/>
                <w:color w:val="000000" w:themeColor="text1"/>
                <w:kern w:val="2"/>
                <w:sz w:val="20"/>
                <w:szCs w:val="20"/>
              </w:rPr>
              <w:t>0.168</w:t>
            </w:r>
          </w:p>
        </w:tc>
      </w:tr>
      <w:tr w:rsidR="00325C10" w14:paraId="16E8D53E" w14:textId="77777777" w:rsidTr="002701FE">
        <w:trPr>
          <w:trHeight w:val="460"/>
        </w:trPr>
        <w:tc>
          <w:tcPr>
            <w:tcW w:w="2978" w:type="dxa"/>
            <w:vAlign w:val="center"/>
          </w:tcPr>
          <w:p w14:paraId="61825817" w14:textId="1D3F01DF"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b/>
                <w:bCs/>
                <w:color w:val="000000" w:themeColor="text1"/>
                <w:kern w:val="2"/>
                <w:sz w:val="20"/>
                <w:szCs w:val="20"/>
              </w:rPr>
              <w:t>Disposition Index</w:t>
            </w:r>
            <w:r w:rsidR="00AC63D4" w:rsidRPr="00781648">
              <w:rPr>
                <w:rFonts w:ascii="Times New Roman" w:hAnsi="Times New Roman" w:cs="Times New Roman"/>
                <w:b/>
                <w:bCs/>
                <w:color w:val="000000" w:themeColor="text1"/>
                <w:kern w:val="2"/>
                <w:sz w:val="20"/>
                <w:szCs w:val="20"/>
                <w:vertAlign w:val="superscript"/>
              </w:rPr>
              <w:t>†</w:t>
            </w:r>
          </w:p>
        </w:tc>
        <w:tc>
          <w:tcPr>
            <w:tcW w:w="2698" w:type="dxa"/>
            <w:vAlign w:val="center"/>
          </w:tcPr>
          <w:p w14:paraId="607A45EB" w14:textId="27E8E4FE"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70.9 (3.4)</w:t>
            </w:r>
          </w:p>
        </w:tc>
        <w:tc>
          <w:tcPr>
            <w:tcW w:w="2557" w:type="dxa"/>
            <w:vAlign w:val="center"/>
          </w:tcPr>
          <w:p w14:paraId="4DD920DC" w14:textId="2CA5B978"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61.1 (3.2)</w:t>
            </w:r>
          </w:p>
        </w:tc>
        <w:tc>
          <w:tcPr>
            <w:tcW w:w="1522" w:type="dxa"/>
            <w:vAlign w:val="center"/>
          </w:tcPr>
          <w:p w14:paraId="1DCE859F" w14:textId="6CC8F839"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0.021</w:t>
            </w:r>
          </w:p>
        </w:tc>
      </w:tr>
      <w:tr w:rsidR="00325C10" w14:paraId="267AE71D" w14:textId="77777777" w:rsidTr="002701FE">
        <w:trPr>
          <w:trHeight w:val="460"/>
        </w:trPr>
        <w:tc>
          <w:tcPr>
            <w:tcW w:w="2978" w:type="dxa"/>
            <w:vAlign w:val="center"/>
          </w:tcPr>
          <w:p w14:paraId="7D497300" w14:textId="76CDD6FB"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b/>
                <w:bCs/>
                <w:color w:val="000000" w:themeColor="text1"/>
                <w:kern w:val="2"/>
                <w:sz w:val="20"/>
                <w:szCs w:val="20"/>
              </w:rPr>
              <w:t>Total Cholesterol (mmol/L)</w:t>
            </w:r>
            <w:r w:rsidRPr="00BF5A63">
              <w:rPr>
                <w:rFonts w:ascii="Times New Roman" w:hAnsi="Times New Roman" w:cs="Times New Roman"/>
                <w:b/>
                <w:bCs/>
                <w:color w:val="000000" w:themeColor="text1"/>
                <w:kern w:val="2"/>
                <w:sz w:val="20"/>
                <w:szCs w:val="20"/>
                <w:vertAlign w:val="superscript"/>
              </w:rPr>
              <w:t>†</w:t>
            </w:r>
          </w:p>
        </w:tc>
        <w:tc>
          <w:tcPr>
            <w:tcW w:w="2698" w:type="dxa"/>
            <w:vAlign w:val="center"/>
          </w:tcPr>
          <w:p w14:paraId="05CDD225" w14:textId="735C2DAB"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187 (1.2)</w:t>
            </w:r>
          </w:p>
        </w:tc>
        <w:tc>
          <w:tcPr>
            <w:tcW w:w="2557" w:type="dxa"/>
            <w:vAlign w:val="center"/>
          </w:tcPr>
          <w:p w14:paraId="440394C2" w14:textId="3250E671"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188 (1.2)</w:t>
            </w:r>
          </w:p>
        </w:tc>
        <w:tc>
          <w:tcPr>
            <w:tcW w:w="1522" w:type="dxa"/>
            <w:vAlign w:val="center"/>
          </w:tcPr>
          <w:p w14:paraId="586E9C9C" w14:textId="64A5577D"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0.774</w:t>
            </w:r>
          </w:p>
        </w:tc>
      </w:tr>
      <w:tr w:rsidR="00325C10" w14:paraId="71A7A788" w14:textId="77777777" w:rsidTr="002701FE">
        <w:trPr>
          <w:trHeight w:val="460"/>
        </w:trPr>
        <w:tc>
          <w:tcPr>
            <w:tcW w:w="2978" w:type="dxa"/>
            <w:vAlign w:val="center"/>
          </w:tcPr>
          <w:p w14:paraId="5401003A" w14:textId="1537932B"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b/>
                <w:bCs/>
                <w:color w:val="000000" w:themeColor="text1"/>
                <w:kern w:val="2"/>
                <w:sz w:val="20"/>
                <w:szCs w:val="20"/>
              </w:rPr>
              <w:t>Triglycerides (mmol/L)</w:t>
            </w:r>
            <w:r w:rsidR="00AC63D4" w:rsidRPr="00781648">
              <w:rPr>
                <w:rFonts w:ascii="Times New Roman" w:hAnsi="Times New Roman" w:cs="Times New Roman"/>
                <w:b/>
                <w:bCs/>
                <w:color w:val="000000" w:themeColor="text1"/>
                <w:kern w:val="2"/>
                <w:sz w:val="20"/>
                <w:szCs w:val="20"/>
                <w:vertAlign w:val="superscript"/>
              </w:rPr>
              <w:t>†</w:t>
            </w:r>
          </w:p>
        </w:tc>
        <w:tc>
          <w:tcPr>
            <w:tcW w:w="2698" w:type="dxa"/>
            <w:vAlign w:val="center"/>
          </w:tcPr>
          <w:p w14:paraId="45728FDB" w14:textId="271B6904"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134 (1.6)</w:t>
            </w:r>
          </w:p>
        </w:tc>
        <w:tc>
          <w:tcPr>
            <w:tcW w:w="2557" w:type="dxa"/>
            <w:vAlign w:val="center"/>
          </w:tcPr>
          <w:p w14:paraId="570595C8" w14:textId="61988FAC"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138 (1.6)</w:t>
            </w:r>
          </w:p>
        </w:tc>
        <w:tc>
          <w:tcPr>
            <w:tcW w:w="1522" w:type="dxa"/>
            <w:vAlign w:val="center"/>
          </w:tcPr>
          <w:p w14:paraId="0C4FEF9A" w14:textId="34CCB5CB"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0.270</w:t>
            </w:r>
          </w:p>
        </w:tc>
      </w:tr>
      <w:tr w:rsidR="00325C10" w14:paraId="0D8947D3" w14:textId="77777777" w:rsidTr="002701FE">
        <w:trPr>
          <w:trHeight w:val="460"/>
        </w:trPr>
        <w:tc>
          <w:tcPr>
            <w:tcW w:w="2978" w:type="dxa"/>
            <w:vAlign w:val="center"/>
          </w:tcPr>
          <w:p w14:paraId="47D2FC46" w14:textId="10159338"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b/>
                <w:bCs/>
                <w:color w:val="000000" w:themeColor="text1"/>
                <w:kern w:val="2"/>
                <w:sz w:val="20"/>
                <w:szCs w:val="20"/>
              </w:rPr>
              <w:t>HDL cholesterol (mmol/L)</w:t>
            </w:r>
            <w:r w:rsidR="00AC63D4" w:rsidRPr="00781648">
              <w:rPr>
                <w:rFonts w:ascii="Times New Roman" w:hAnsi="Times New Roman" w:cs="Times New Roman"/>
                <w:b/>
                <w:bCs/>
                <w:color w:val="000000" w:themeColor="text1"/>
                <w:kern w:val="2"/>
                <w:sz w:val="20"/>
                <w:szCs w:val="20"/>
                <w:vertAlign w:val="superscript"/>
              </w:rPr>
              <w:t>†</w:t>
            </w:r>
          </w:p>
        </w:tc>
        <w:tc>
          <w:tcPr>
            <w:tcW w:w="2698" w:type="dxa"/>
            <w:vAlign w:val="center"/>
          </w:tcPr>
          <w:p w14:paraId="0424EA9E" w14:textId="03ABC5C0"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44.1 (1.2)</w:t>
            </w:r>
          </w:p>
        </w:tc>
        <w:tc>
          <w:tcPr>
            <w:tcW w:w="2557" w:type="dxa"/>
            <w:vAlign w:val="center"/>
          </w:tcPr>
          <w:p w14:paraId="17495311" w14:textId="6FCE117E"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44.3 (1.2)</w:t>
            </w:r>
          </w:p>
        </w:tc>
        <w:tc>
          <w:tcPr>
            <w:tcW w:w="1522" w:type="dxa"/>
            <w:vAlign w:val="center"/>
          </w:tcPr>
          <w:p w14:paraId="73047855" w14:textId="4F81F832"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0.555</w:t>
            </w:r>
          </w:p>
        </w:tc>
      </w:tr>
      <w:tr w:rsidR="00325C10" w14:paraId="67D1719D" w14:textId="77777777" w:rsidTr="002701FE">
        <w:trPr>
          <w:trHeight w:val="460"/>
        </w:trPr>
        <w:tc>
          <w:tcPr>
            <w:tcW w:w="2978" w:type="dxa"/>
            <w:vAlign w:val="center"/>
          </w:tcPr>
          <w:p w14:paraId="66950F57" w14:textId="26BD8078"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b/>
                <w:bCs/>
                <w:color w:val="000000" w:themeColor="text1"/>
                <w:kern w:val="2"/>
                <w:sz w:val="20"/>
                <w:szCs w:val="20"/>
              </w:rPr>
              <w:t>LDL cholesterol (mmol/L)</w:t>
            </w:r>
            <w:r w:rsidR="00AC63D4" w:rsidRPr="00781648">
              <w:rPr>
                <w:rFonts w:ascii="Times New Roman" w:hAnsi="Times New Roman" w:cs="Times New Roman"/>
                <w:b/>
                <w:bCs/>
                <w:color w:val="000000" w:themeColor="text1"/>
                <w:kern w:val="2"/>
                <w:sz w:val="20"/>
                <w:szCs w:val="20"/>
                <w:vertAlign w:val="superscript"/>
              </w:rPr>
              <w:t>†</w:t>
            </w:r>
          </w:p>
        </w:tc>
        <w:tc>
          <w:tcPr>
            <w:tcW w:w="2698" w:type="dxa"/>
            <w:vAlign w:val="center"/>
          </w:tcPr>
          <w:p w14:paraId="7F7A6474" w14:textId="62EC0245"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111 (1.3)</w:t>
            </w:r>
          </w:p>
        </w:tc>
        <w:tc>
          <w:tcPr>
            <w:tcW w:w="2557" w:type="dxa"/>
            <w:vAlign w:val="center"/>
          </w:tcPr>
          <w:p w14:paraId="156CACE8" w14:textId="132002BC"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110 (1.4)</w:t>
            </w:r>
          </w:p>
        </w:tc>
        <w:tc>
          <w:tcPr>
            <w:tcW w:w="1522" w:type="dxa"/>
            <w:vAlign w:val="center"/>
          </w:tcPr>
          <w:p w14:paraId="0531F004" w14:textId="4E15AED4" w:rsidR="00325C10" w:rsidRPr="00325C10" w:rsidRDefault="00325C10" w:rsidP="002701FE">
            <w:pPr>
              <w:jc w:val="both"/>
              <w:rPr>
                <w:rFonts w:ascii="Times New Roman" w:hAnsi="Times New Roman" w:cs="Times New Roman"/>
                <w:sz w:val="20"/>
                <w:szCs w:val="20"/>
                <w:lang w:eastAsia="ko-KR"/>
              </w:rPr>
            </w:pPr>
            <w:r w:rsidRPr="00325C10">
              <w:rPr>
                <w:rFonts w:ascii="Times New Roman" w:hAnsi="Times New Roman" w:cs="Times New Roman"/>
                <w:color w:val="000000" w:themeColor="text1"/>
                <w:kern w:val="2"/>
                <w:sz w:val="20"/>
                <w:szCs w:val="20"/>
              </w:rPr>
              <w:t>0.432</w:t>
            </w:r>
          </w:p>
        </w:tc>
      </w:tr>
    </w:tbl>
    <w:p w14:paraId="2A49BAD9" w14:textId="77777777" w:rsidR="002701FE" w:rsidRDefault="002701FE" w:rsidP="002701FE">
      <w:pPr>
        <w:jc w:val="both"/>
        <w:rPr>
          <w:rFonts w:ascii="Times New Roman" w:hAnsi="Times New Roman" w:cs="Times New Roman"/>
          <w:lang w:eastAsia="ko-KR"/>
        </w:rPr>
      </w:pPr>
    </w:p>
    <w:p w14:paraId="11A7F09E" w14:textId="4AEA3261" w:rsidR="002701FE" w:rsidRPr="00BF5A63" w:rsidRDefault="002701FE" w:rsidP="006756AF">
      <w:pPr>
        <w:spacing w:after="0" w:line="240" w:lineRule="auto"/>
        <w:jc w:val="both"/>
        <w:rPr>
          <w:rFonts w:ascii="Times New Roman" w:hAnsi="Times New Roman" w:cs="Times New Roman"/>
          <w:sz w:val="20"/>
          <w:szCs w:val="20"/>
          <w:lang w:eastAsia="ko-KR"/>
        </w:rPr>
      </w:pPr>
      <w:r w:rsidRPr="00BF5A63">
        <w:rPr>
          <w:rFonts w:ascii="Times New Roman" w:hAnsi="Times New Roman" w:cs="Times New Roman"/>
          <w:sz w:val="20"/>
          <w:szCs w:val="20"/>
          <w:lang w:eastAsia="ko-KR"/>
        </w:rPr>
        <w:t xml:space="preserve">Data are unadjusted means (standard deviation), geometric means (geometric standard deviation), or n (%). </w:t>
      </w:r>
    </w:p>
    <w:p w14:paraId="1714CF9B" w14:textId="77777777" w:rsidR="002701FE" w:rsidRPr="00BF5A63" w:rsidRDefault="002701FE" w:rsidP="006756AF">
      <w:pPr>
        <w:spacing w:after="0" w:line="240" w:lineRule="auto"/>
        <w:jc w:val="both"/>
        <w:rPr>
          <w:rFonts w:ascii="Times New Roman" w:hAnsi="Times New Roman" w:cs="Times New Roman"/>
          <w:sz w:val="20"/>
          <w:szCs w:val="20"/>
          <w:lang w:eastAsia="ko-KR"/>
        </w:rPr>
      </w:pPr>
      <w:r w:rsidRPr="00BF5A63">
        <w:rPr>
          <w:rFonts w:ascii="Times New Roman" w:hAnsi="Times New Roman" w:cs="Times New Roman"/>
          <w:sz w:val="20"/>
          <w:szCs w:val="20"/>
          <w:lang w:eastAsia="ko-KR"/>
        </w:rPr>
        <w:t>*</w:t>
      </w:r>
      <w:r w:rsidRPr="00BF5A63">
        <w:rPr>
          <w:rFonts w:ascii="Times New Roman" w:hAnsi="Times New Roman" w:cs="Times New Roman"/>
          <w:i/>
          <w:iCs/>
          <w:sz w:val="20"/>
          <w:szCs w:val="20"/>
          <w:lang w:eastAsia="ko-KR"/>
        </w:rPr>
        <w:t>P</w:t>
      </w:r>
      <w:r w:rsidRPr="00BF5A63">
        <w:rPr>
          <w:rFonts w:ascii="Times New Roman" w:hAnsi="Times New Roman" w:cs="Times New Roman"/>
          <w:sz w:val="20"/>
          <w:szCs w:val="20"/>
          <w:lang w:eastAsia="ko-KR"/>
        </w:rPr>
        <w:t xml:space="preserve"> values for the difference between genetic risk groups are calculated with </w:t>
      </w:r>
      <w:r w:rsidRPr="00BF5A63">
        <w:rPr>
          <w:rFonts w:ascii="Times New Roman" w:hAnsi="Times New Roman" w:cs="Times New Roman"/>
          <w:i/>
          <w:iCs/>
          <w:sz w:val="20"/>
          <w:szCs w:val="20"/>
          <w:lang w:eastAsia="ko-KR"/>
        </w:rPr>
        <w:t>t</w:t>
      </w:r>
      <w:r w:rsidRPr="00BF5A63">
        <w:rPr>
          <w:rFonts w:ascii="Times New Roman" w:hAnsi="Times New Roman" w:cs="Times New Roman"/>
          <w:sz w:val="20"/>
          <w:szCs w:val="20"/>
          <w:lang w:eastAsia="ko-KR"/>
        </w:rPr>
        <w:t xml:space="preserve">-test and the </w:t>
      </w:r>
      <w:r w:rsidRPr="00BF5A63">
        <w:rPr>
          <w:rFonts w:ascii="Times New Roman" w:hAnsi="Times New Roman" w:cs="Times New Roman"/>
          <w:sz w:val="20"/>
          <w:szCs w:val="20"/>
          <w:lang w:val="el-GR" w:eastAsia="ko-KR"/>
        </w:rPr>
        <w:t xml:space="preserve">χ² </w:t>
      </w:r>
      <w:r w:rsidRPr="00BF5A63">
        <w:rPr>
          <w:rFonts w:ascii="Times New Roman" w:hAnsi="Times New Roman" w:cs="Times New Roman"/>
          <w:sz w:val="20"/>
          <w:szCs w:val="20"/>
          <w:lang w:eastAsia="ko-KR"/>
        </w:rPr>
        <w:t>test for continuous and categorical variables, respectively.</w:t>
      </w:r>
    </w:p>
    <w:p w14:paraId="146D1E9D" w14:textId="71FD4C1F" w:rsidR="002701FE" w:rsidRPr="00BF5A63" w:rsidRDefault="002701FE" w:rsidP="006756AF">
      <w:pPr>
        <w:spacing w:after="0" w:line="240" w:lineRule="auto"/>
        <w:jc w:val="both"/>
        <w:rPr>
          <w:rFonts w:ascii="Times New Roman" w:hAnsi="Times New Roman" w:cs="Times New Roman"/>
          <w:sz w:val="20"/>
          <w:szCs w:val="20"/>
          <w:lang w:eastAsia="ko-KR"/>
        </w:rPr>
      </w:pPr>
      <w:r w:rsidRPr="00BF5A63">
        <w:rPr>
          <w:rFonts w:ascii="Times New Roman" w:hAnsi="Times New Roman" w:cs="Times New Roman"/>
          <w:sz w:val="20"/>
          <w:szCs w:val="20"/>
          <w:vertAlign w:val="superscript"/>
          <w:lang w:eastAsia="ko-KR"/>
        </w:rPr>
        <w:t>†</w:t>
      </w:r>
      <w:r w:rsidRPr="00BF5A63">
        <w:rPr>
          <w:rFonts w:ascii="Times New Roman" w:hAnsi="Times New Roman" w:cs="Times New Roman"/>
          <w:sz w:val="20"/>
          <w:szCs w:val="20"/>
          <w:lang w:eastAsia="ko-KR"/>
        </w:rPr>
        <w:t>Variables were log-transformed before statistical analysis and shown as geometric mean (geometric standard deviation).</w:t>
      </w:r>
    </w:p>
    <w:p w14:paraId="010B2657" w14:textId="5D5E5045" w:rsidR="002701FE" w:rsidRPr="00BF5A63" w:rsidRDefault="002701FE" w:rsidP="006756AF">
      <w:pPr>
        <w:spacing w:after="0" w:line="240" w:lineRule="auto"/>
        <w:jc w:val="both"/>
        <w:rPr>
          <w:rFonts w:ascii="Times New Roman" w:hAnsi="Times New Roman" w:cs="Times New Roman"/>
          <w:sz w:val="20"/>
          <w:szCs w:val="20"/>
          <w:lang w:eastAsia="ko-KR"/>
        </w:rPr>
      </w:pPr>
      <w:r w:rsidRPr="00BF5A63">
        <w:rPr>
          <w:rFonts w:ascii="Times New Roman" w:hAnsi="Times New Roman" w:cs="Times New Roman"/>
          <w:sz w:val="20"/>
          <w:szCs w:val="20"/>
          <w:lang w:eastAsia="ko-KR"/>
        </w:rPr>
        <w:t>IGI</w:t>
      </w:r>
      <w:r w:rsidRPr="00BF5A63">
        <w:rPr>
          <w:rFonts w:ascii="Times New Roman" w:hAnsi="Times New Roman" w:cs="Times New Roman"/>
          <w:sz w:val="20"/>
          <w:szCs w:val="20"/>
          <w:vertAlign w:val="subscript"/>
          <w:lang w:eastAsia="ko-KR"/>
        </w:rPr>
        <w:t>60</w:t>
      </w:r>
      <w:r w:rsidR="006756AF">
        <w:rPr>
          <w:rFonts w:ascii="Times New Roman" w:hAnsi="Times New Roman" w:cs="Times New Roman"/>
          <w:sz w:val="20"/>
          <w:szCs w:val="20"/>
          <w:lang w:eastAsia="ko-KR"/>
        </w:rPr>
        <w:t>,</w:t>
      </w:r>
      <w:r w:rsidRPr="00BF5A63">
        <w:rPr>
          <w:rFonts w:ascii="Times New Roman" w:hAnsi="Times New Roman" w:cs="Times New Roman"/>
          <w:sz w:val="20"/>
          <w:szCs w:val="20"/>
          <w:lang w:eastAsia="ko-KR"/>
        </w:rPr>
        <w:t xml:space="preserve"> insulinogenic index at 60 min</w:t>
      </w:r>
      <w:r w:rsidR="006756AF">
        <w:rPr>
          <w:rFonts w:ascii="Times New Roman" w:hAnsi="Times New Roman" w:cs="Times New Roman"/>
          <w:sz w:val="20"/>
          <w:szCs w:val="20"/>
          <w:lang w:eastAsia="ko-KR"/>
        </w:rPr>
        <w:t>;</w:t>
      </w:r>
      <w:r w:rsidRPr="00BF5A63">
        <w:rPr>
          <w:rFonts w:ascii="Times New Roman" w:hAnsi="Times New Roman" w:cs="Times New Roman"/>
          <w:sz w:val="20"/>
          <w:szCs w:val="20"/>
          <w:lang w:eastAsia="ko-KR"/>
        </w:rPr>
        <w:t xml:space="preserve"> ISI</w:t>
      </w:r>
      <w:r w:rsidR="006756AF">
        <w:rPr>
          <w:rFonts w:ascii="Times New Roman" w:hAnsi="Times New Roman" w:cs="Times New Roman"/>
          <w:sz w:val="20"/>
          <w:szCs w:val="20"/>
          <w:lang w:eastAsia="ko-KR"/>
        </w:rPr>
        <w:t>,</w:t>
      </w:r>
      <w:r w:rsidRPr="00BF5A63">
        <w:rPr>
          <w:rFonts w:ascii="Times New Roman" w:hAnsi="Times New Roman" w:cs="Times New Roman"/>
          <w:sz w:val="20"/>
          <w:szCs w:val="20"/>
          <w:lang w:eastAsia="ko-KR"/>
        </w:rPr>
        <w:t xml:space="preserve"> insulin sensitivity index. </w:t>
      </w:r>
    </w:p>
    <w:p w14:paraId="176F3CE3" w14:textId="77777777" w:rsidR="00325C10" w:rsidRPr="002701FE" w:rsidRDefault="00325C10" w:rsidP="00325C10">
      <w:pPr>
        <w:jc w:val="both"/>
        <w:rPr>
          <w:rFonts w:ascii="Times New Roman" w:hAnsi="Times New Roman" w:cs="Times New Roman"/>
          <w:lang w:eastAsia="ko-KR"/>
        </w:rPr>
      </w:pPr>
    </w:p>
    <w:p w14:paraId="26476C42" w14:textId="594E8E83" w:rsidR="00EB1403" w:rsidRPr="00EB1403" w:rsidRDefault="00FC28FA" w:rsidP="00EB1403">
      <w:pPr>
        <w:jc w:val="both"/>
        <w:rPr>
          <w:rFonts w:ascii="Times New Roman" w:hAnsi="Times New Roman" w:cs="Times New Roman"/>
          <w:b/>
          <w:u w:val="single"/>
          <w:lang w:eastAsia="ko-KR"/>
        </w:rPr>
      </w:pPr>
      <w:r w:rsidRPr="00FC28FA">
        <w:rPr>
          <w:rFonts w:ascii="Times New Roman" w:hAnsi="Times New Roman" w:cs="Times New Roman"/>
          <w:b/>
        </w:rPr>
        <w:br w:type="page"/>
      </w:r>
      <w:r w:rsidR="00EB1403" w:rsidRPr="00EB1403">
        <w:rPr>
          <w:rFonts w:ascii="Times New Roman" w:hAnsi="Times New Roman" w:cs="Times New Roman" w:hint="eastAsia"/>
          <w:b/>
          <w:u w:val="single"/>
          <w:lang w:eastAsia="ko-KR"/>
        </w:rPr>
        <w:lastRenderedPageBreak/>
        <w:t>S</w:t>
      </w:r>
      <w:r w:rsidR="00EB1403" w:rsidRPr="00EB1403">
        <w:rPr>
          <w:rFonts w:ascii="Times New Roman" w:hAnsi="Times New Roman" w:cs="Times New Roman"/>
          <w:b/>
          <w:u w:val="single"/>
          <w:lang w:eastAsia="ko-KR"/>
        </w:rPr>
        <w:t xml:space="preserve">upplementary </w:t>
      </w:r>
      <w:r w:rsidR="00EB1403">
        <w:rPr>
          <w:rFonts w:ascii="Times New Roman" w:hAnsi="Times New Roman" w:cs="Times New Roman"/>
          <w:b/>
          <w:u w:val="single"/>
          <w:lang w:eastAsia="ko-KR"/>
        </w:rPr>
        <w:t>Figure</w:t>
      </w:r>
    </w:p>
    <w:p w14:paraId="6B2F5B73" w14:textId="70E3FBA6" w:rsidR="007C7723" w:rsidRPr="00742791" w:rsidRDefault="003406AC" w:rsidP="003B08A8">
      <w:pPr>
        <w:spacing w:after="120" w:line="240" w:lineRule="auto"/>
        <w:contextualSpacing/>
        <w:jc w:val="both"/>
        <w:rPr>
          <w:rFonts w:ascii="Times New Roman" w:hAnsi="Times New Roman" w:cs="Times New Roman"/>
          <w:b/>
          <w:sz w:val="20"/>
          <w:szCs w:val="20"/>
        </w:rPr>
      </w:pPr>
      <w:r>
        <w:rPr>
          <w:rFonts w:ascii="Times New Roman" w:hAnsi="Times New Roman" w:cs="Times New Roman"/>
          <w:b/>
          <w:noProof/>
          <w:sz w:val="20"/>
          <w:szCs w:val="20"/>
          <w:lang w:eastAsia="ko-KR"/>
        </w:rPr>
        <w:drawing>
          <wp:inline distT="0" distB="0" distL="0" distR="0" wp14:anchorId="663EFF81" wp14:editId="0B0BC209">
            <wp:extent cx="6188710" cy="2162810"/>
            <wp:effectExtent l="0" t="0" r="0" b="889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7"/>
                    <pic:cNvPicPr/>
                  </pic:nvPicPr>
                  <pic:blipFill>
                    <a:blip r:embed="rId6" cstate="print">
                      <a:extLst>
                        <a:ext uri="{28A0092B-C50C-407E-A947-70E740481C1C}">
                          <a14:useLocalDpi xmlns:a14="http://schemas.microsoft.com/office/drawing/2010/main" val="0"/>
                        </a:ext>
                      </a:extLst>
                    </a:blip>
                    <a:stretch>
                      <a:fillRect/>
                    </a:stretch>
                  </pic:blipFill>
                  <pic:spPr>
                    <a:xfrm>
                      <a:off x="0" y="0"/>
                      <a:ext cx="6188710" cy="2162810"/>
                    </a:xfrm>
                    <a:prstGeom prst="rect">
                      <a:avLst/>
                    </a:prstGeom>
                  </pic:spPr>
                </pic:pic>
              </a:graphicData>
            </a:graphic>
          </wp:inline>
        </w:drawing>
      </w:r>
    </w:p>
    <w:p w14:paraId="12D444EA" w14:textId="77777777" w:rsidR="007C7723" w:rsidRPr="00742791" w:rsidRDefault="007C7723" w:rsidP="003B08A8">
      <w:pPr>
        <w:spacing w:after="120" w:line="240" w:lineRule="auto"/>
        <w:contextualSpacing/>
        <w:jc w:val="both"/>
        <w:rPr>
          <w:rFonts w:ascii="Times New Roman" w:hAnsi="Times New Roman" w:cs="Times New Roman"/>
          <w:b/>
          <w:sz w:val="20"/>
          <w:szCs w:val="20"/>
        </w:rPr>
      </w:pPr>
    </w:p>
    <w:p w14:paraId="4F1AC179" w14:textId="01118A6C" w:rsidR="009601DE" w:rsidRPr="009601DE" w:rsidRDefault="009601DE" w:rsidP="009601DE">
      <w:pPr>
        <w:spacing w:after="120" w:line="240" w:lineRule="auto"/>
        <w:contextualSpacing/>
        <w:jc w:val="both"/>
        <w:rPr>
          <w:rFonts w:ascii="Times New Roman" w:hAnsi="Times New Roman" w:cs="Times New Roman"/>
          <w:b/>
          <w:sz w:val="20"/>
          <w:szCs w:val="20"/>
        </w:rPr>
      </w:pPr>
      <w:r w:rsidRPr="009601DE">
        <w:rPr>
          <w:rFonts w:ascii="Times New Roman" w:hAnsi="Times New Roman" w:cs="Times New Roman"/>
          <w:b/>
          <w:sz w:val="20"/>
          <w:szCs w:val="20"/>
        </w:rPr>
        <w:t xml:space="preserve">Supplementary </w:t>
      </w:r>
      <w:r w:rsidR="0001131B">
        <w:rPr>
          <w:rFonts w:ascii="Times New Roman" w:hAnsi="Times New Roman" w:cs="Times New Roman"/>
          <w:b/>
          <w:sz w:val="20"/>
          <w:szCs w:val="20"/>
        </w:rPr>
        <w:t>F</w:t>
      </w:r>
      <w:r w:rsidR="0001131B" w:rsidRPr="009601DE">
        <w:rPr>
          <w:rFonts w:ascii="Times New Roman" w:hAnsi="Times New Roman" w:cs="Times New Roman"/>
          <w:b/>
          <w:sz w:val="20"/>
          <w:szCs w:val="20"/>
        </w:rPr>
        <w:t xml:space="preserve">igure </w:t>
      </w:r>
      <w:r w:rsidRPr="009601DE">
        <w:rPr>
          <w:rFonts w:ascii="Times New Roman" w:hAnsi="Times New Roman" w:cs="Times New Roman"/>
          <w:b/>
          <w:sz w:val="20"/>
          <w:szCs w:val="20"/>
        </w:rPr>
        <w:t xml:space="preserve">1. Pancreatic endocrine development was not altered in </w:t>
      </w:r>
      <w:r w:rsidRPr="00AF76AB">
        <w:rPr>
          <w:rFonts w:ascii="Times New Roman" w:hAnsi="Times New Roman" w:cs="Times New Roman"/>
          <w:b/>
          <w:i/>
          <w:sz w:val="20"/>
          <w:szCs w:val="20"/>
        </w:rPr>
        <w:t>Pax4</w:t>
      </w:r>
      <w:r w:rsidRPr="009601DE">
        <w:rPr>
          <w:rFonts w:ascii="Times New Roman" w:hAnsi="Times New Roman" w:cs="Times New Roman"/>
          <w:b/>
          <w:sz w:val="20"/>
          <w:szCs w:val="20"/>
        </w:rPr>
        <w:t xml:space="preserve"> R192H mice</w:t>
      </w:r>
    </w:p>
    <w:p w14:paraId="6A0B3E1A" w14:textId="02789DB9" w:rsidR="00FF6D62" w:rsidRDefault="009601DE" w:rsidP="009601DE">
      <w:pPr>
        <w:spacing w:after="120" w:line="240" w:lineRule="auto"/>
        <w:contextualSpacing/>
        <w:jc w:val="both"/>
        <w:rPr>
          <w:rFonts w:ascii="Times New Roman" w:hAnsi="Times New Roman" w:cs="Times New Roman"/>
          <w:sz w:val="20"/>
          <w:szCs w:val="20"/>
        </w:rPr>
      </w:pPr>
      <w:r w:rsidRPr="009601DE">
        <w:rPr>
          <w:rFonts w:ascii="Times New Roman" w:hAnsi="Times New Roman" w:cs="Times New Roman"/>
          <w:sz w:val="20"/>
          <w:szCs w:val="20"/>
        </w:rPr>
        <w:t xml:space="preserve">(A) Immunofluorescence staining of Neurogenin3 (green) and Pdx1 (red) in the pancreas of wildtype and </w:t>
      </w:r>
      <w:r w:rsidRPr="00AF76AB">
        <w:rPr>
          <w:rFonts w:ascii="Times New Roman" w:hAnsi="Times New Roman" w:cs="Times New Roman"/>
          <w:i/>
          <w:sz w:val="20"/>
          <w:szCs w:val="20"/>
        </w:rPr>
        <w:t>Pax4</w:t>
      </w:r>
      <w:r w:rsidRPr="009601DE">
        <w:rPr>
          <w:rFonts w:ascii="Times New Roman" w:hAnsi="Times New Roman" w:cs="Times New Roman"/>
          <w:sz w:val="20"/>
          <w:szCs w:val="20"/>
        </w:rPr>
        <w:t xml:space="preserve"> R192H mice at embryonic day 15.5 (E15.5), with nuclei stained with DAPI (gray). Immunofluorescence staining of endocrine hormones, including glucagon(red) and somatostatin(blue), and insulin (green) in the pancreas of wildtype and </w:t>
      </w:r>
      <w:r w:rsidRPr="00AF76AB">
        <w:rPr>
          <w:rFonts w:ascii="Times New Roman" w:hAnsi="Times New Roman" w:cs="Times New Roman"/>
          <w:i/>
          <w:sz w:val="20"/>
          <w:szCs w:val="20"/>
        </w:rPr>
        <w:t>Pax4</w:t>
      </w:r>
      <w:r w:rsidRPr="009601DE">
        <w:rPr>
          <w:rFonts w:ascii="Times New Roman" w:hAnsi="Times New Roman" w:cs="Times New Roman"/>
          <w:sz w:val="20"/>
          <w:szCs w:val="20"/>
        </w:rPr>
        <w:t xml:space="preserve"> R192H mice at embryonic day 18.5 (E18.5). Immunofluorescence staining of endocrine hormones in the pancreas at postnatal day 0 (P0), showing Insulin (green), glucagon (red) or somatostatin (red) with nuclei stained with DAPI (blue)</w:t>
      </w:r>
      <w:r w:rsidRPr="009601DE">
        <w:rPr>
          <w:rFonts w:ascii="Times New Roman" w:hAnsi="Times New Roman" w:cs="Times New Roman"/>
          <w:color w:val="FF0000"/>
          <w:sz w:val="20"/>
          <w:szCs w:val="20"/>
        </w:rPr>
        <w:t>;</w:t>
      </w:r>
      <w:r w:rsidRPr="009601DE">
        <w:rPr>
          <w:rFonts w:ascii="Times New Roman" w:hAnsi="Times New Roman" w:cs="Times New Roman"/>
          <w:sz w:val="20"/>
          <w:szCs w:val="20"/>
        </w:rPr>
        <w:t xml:space="preserve"> </w:t>
      </w:r>
      <w:r w:rsidRPr="004D664A">
        <w:rPr>
          <w:rFonts w:ascii="Times New Roman" w:hAnsi="Times New Roman" w:cs="Times New Roman"/>
          <w:sz w:val="20"/>
          <w:szCs w:val="20"/>
        </w:rPr>
        <w:t>n ≥3 per group.</w:t>
      </w:r>
      <w:r w:rsidR="0022142C" w:rsidRPr="004D664A">
        <w:t xml:space="preserve"> </w:t>
      </w:r>
      <w:r w:rsidR="0022142C" w:rsidRPr="004D664A">
        <w:rPr>
          <w:rFonts w:ascii="Times New Roman" w:hAnsi="Times New Roman" w:cs="Times New Roman"/>
          <w:sz w:val="20"/>
          <w:szCs w:val="20"/>
        </w:rPr>
        <w:t>Scale bar, 100 μm</w:t>
      </w:r>
      <w:r w:rsidR="0022142C" w:rsidRPr="004D664A">
        <w:rPr>
          <w:rFonts w:ascii="Times New Roman" w:hAnsi="Times New Roman" w:cs="Times New Roman" w:hint="eastAsia"/>
          <w:sz w:val="20"/>
          <w:szCs w:val="20"/>
          <w:lang w:eastAsia="ko-KR"/>
        </w:rPr>
        <w:t>.</w:t>
      </w:r>
      <w:r w:rsidR="0022142C" w:rsidRPr="004D664A">
        <w:rPr>
          <w:rFonts w:ascii="Times New Roman" w:hAnsi="Times New Roman" w:cs="Times New Roman"/>
          <w:sz w:val="20"/>
          <w:szCs w:val="20"/>
        </w:rPr>
        <w:t xml:space="preserve"> </w:t>
      </w:r>
      <w:r w:rsidRPr="004D664A">
        <w:rPr>
          <w:rFonts w:ascii="Times New Roman" w:hAnsi="Times New Roman" w:cs="Times New Roman"/>
          <w:sz w:val="20"/>
          <w:szCs w:val="20"/>
        </w:rPr>
        <w:t xml:space="preserve">(B,C) The number of glucagon positive (GCG⁺) α cells (B) and somatostatin-positive (SST⁺) δ cells (C) was quantified in pancreatic sections from wildtype (white bars) and </w:t>
      </w:r>
      <w:r w:rsidRPr="004D664A">
        <w:rPr>
          <w:rFonts w:ascii="Times New Roman" w:hAnsi="Times New Roman" w:cs="Times New Roman"/>
          <w:i/>
          <w:sz w:val="20"/>
          <w:szCs w:val="20"/>
        </w:rPr>
        <w:t>Pax4</w:t>
      </w:r>
      <w:r w:rsidRPr="004D664A">
        <w:rPr>
          <w:rFonts w:ascii="Times New Roman" w:hAnsi="Times New Roman" w:cs="Times New Roman"/>
          <w:sz w:val="20"/>
          <w:szCs w:val="20"/>
        </w:rPr>
        <w:t xml:space="preserve"> R192H (red bars) mice at postnatal day 0</w:t>
      </w:r>
      <w:r w:rsidR="0022142C" w:rsidRPr="004D664A">
        <w:rPr>
          <w:rFonts w:ascii="Times New Roman" w:hAnsi="Times New Roman" w:cs="Times New Roman"/>
          <w:sz w:val="20"/>
          <w:szCs w:val="20"/>
        </w:rPr>
        <w:t>; n ≥</w:t>
      </w:r>
      <w:r w:rsidR="0022142C" w:rsidRPr="004D664A">
        <w:rPr>
          <w:rFonts w:ascii="Times New Roman" w:hAnsi="Times New Roman" w:cs="Times New Roman" w:hint="eastAsia"/>
          <w:sz w:val="20"/>
          <w:szCs w:val="20"/>
          <w:lang w:eastAsia="ko-KR"/>
        </w:rPr>
        <w:t>2</w:t>
      </w:r>
      <w:r w:rsidR="0022142C" w:rsidRPr="004D664A">
        <w:rPr>
          <w:rFonts w:ascii="Times New Roman" w:hAnsi="Times New Roman" w:cs="Times New Roman"/>
          <w:sz w:val="20"/>
          <w:szCs w:val="20"/>
        </w:rPr>
        <w:t xml:space="preserve"> </w:t>
      </w:r>
      <w:r w:rsidRPr="004D664A">
        <w:rPr>
          <w:rFonts w:ascii="Times New Roman" w:hAnsi="Times New Roman" w:cs="Times New Roman"/>
          <w:sz w:val="20"/>
          <w:szCs w:val="20"/>
        </w:rPr>
        <w:t xml:space="preserve">per group. </w:t>
      </w:r>
    </w:p>
    <w:p w14:paraId="7B779590" w14:textId="66140501" w:rsidR="00FF6D62" w:rsidRDefault="00FF6D62">
      <w:pPr>
        <w:jc w:val="both"/>
        <w:rPr>
          <w:rFonts w:ascii="Times New Roman" w:hAnsi="Times New Roman" w:cs="Times New Roman"/>
          <w:sz w:val="20"/>
          <w:szCs w:val="20"/>
        </w:rPr>
      </w:pPr>
      <w:r>
        <w:rPr>
          <w:rFonts w:ascii="Times New Roman" w:hAnsi="Times New Roman" w:cs="Times New Roman"/>
          <w:sz w:val="20"/>
          <w:szCs w:val="20"/>
        </w:rPr>
        <w:br w:type="page"/>
      </w:r>
    </w:p>
    <w:p w14:paraId="03624901" w14:textId="59AC1C46" w:rsidR="00935E54" w:rsidRDefault="00935E54" w:rsidP="009601DE">
      <w:pPr>
        <w:spacing w:after="120" w:line="240" w:lineRule="auto"/>
        <w:contextualSpacing/>
        <w:jc w:val="both"/>
        <w:rPr>
          <w:rFonts w:ascii="Times New Roman" w:hAnsi="Times New Roman" w:cs="Times New Roman"/>
          <w:sz w:val="20"/>
          <w:szCs w:val="20"/>
        </w:rPr>
      </w:pPr>
      <w:r w:rsidRPr="00935E54">
        <w:lastRenderedPageBreak/>
        <w:drawing>
          <wp:inline distT="0" distB="0" distL="0" distR="0" wp14:anchorId="3AC5922E" wp14:editId="3D8CA776">
            <wp:extent cx="6188710" cy="3567430"/>
            <wp:effectExtent l="0" t="0" r="254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88710" cy="3567430"/>
                    </a:xfrm>
                    <a:prstGeom prst="rect">
                      <a:avLst/>
                    </a:prstGeom>
                  </pic:spPr>
                </pic:pic>
              </a:graphicData>
            </a:graphic>
          </wp:inline>
        </w:drawing>
      </w:r>
    </w:p>
    <w:p w14:paraId="6591AE91" w14:textId="5594B5B0" w:rsidR="00FF6D62" w:rsidRDefault="00FF6D62" w:rsidP="009601DE">
      <w:pPr>
        <w:spacing w:after="120" w:line="240" w:lineRule="auto"/>
        <w:contextualSpacing/>
        <w:jc w:val="both"/>
        <w:rPr>
          <w:rFonts w:ascii="Times New Roman" w:hAnsi="Times New Roman" w:cs="Times New Roman"/>
          <w:sz w:val="20"/>
          <w:szCs w:val="20"/>
        </w:rPr>
      </w:pPr>
    </w:p>
    <w:p w14:paraId="7C857ED0" w14:textId="0148E9BD" w:rsidR="003406AC" w:rsidRPr="001B75E9" w:rsidRDefault="00FF6D62" w:rsidP="00FF6D62">
      <w:pPr>
        <w:spacing w:after="120" w:line="240" w:lineRule="auto"/>
        <w:contextualSpacing/>
        <w:jc w:val="both"/>
        <w:rPr>
          <w:rFonts w:ascii="Times New Roman" w:hAnsi="Times New Roman" w:cs="Times New Roman"/>
          <w:b/>
          <w:color w:val="FF0000"/>
          <w:sz w:val="20"/>
          <w:szCs w:val="20"/>
        </w:rPr>
      </w:pPr>
      <w:r w:rsidRPr="001B75E9">
        <w:rPr>
          <w:rFonts w:ascii="Times New Roman" w:hAnsi="Times New Roman" w:cs="Times New Roman"/>
          <w:b/>
          <w:color w:val="FF0000"/>
          <w:sz w:val="20"/>
          <w:szCs w:val="20"/>
        </w:rPr>
        <w:t xml:space="preserve">Supplementary Figure 2. </w:t>
      </w:r>
      <w:r w:rsidR="003406AC" w:rsidRPr="00045354">
        <w:rPr>
          <w:rFonts w:ascii="Times New Roman" w:hAnsi="Times New Roman" w:cs="Times New Roman"/>
          <w:b/>
          <w:color w:val="FF0000"/>
          <w:sz w:val="20"/>
          <w:szCs w:val="20"/>
        </w:rPr>
        <w:t>Pax4</w:t>
      </w:r>
      <w:r w:rsidR="003406AC" w:rsidRPr="003406AC">
        <w:rPr>
          <w:rFonts w:ascii="Times New Roman" w:hAnsi="Times New Roman" w:cs="Times New Roman"/>
          <w:b/>
          <w:color w:val="FF0000"/>
          <w:sz w:val="20"/>
          <w:szCs w:val="20"/>
        </w:rPr>
        <w:t xml:space="preserve"> expression in adult islets and glucose tolerance of </w:t>
      </w:r>
      <w:r w:rsidR="003406AC" w:rsidRPr="007362CD">
        <w:rPr>
          <w:rFonts w:ascii="Times New Roman" w:hAnsi="Times New Roman" w:cs="Times New Roman"/>
          <w:b/>
          <w:i/>
          <w:iCs/>
          <w:color w:val="FF0000"/>
          <w:sz w:val="20"/>
          <w:szCs w:val="20"/>
        </w:rPr>
        <w:t>Pax4</w:t>
      </w:r>
      <w:r w:rsidR="003406AC" w:rsidRPr="003406AC">
        <w:rPr>
          <w:rFonts w:ascii="Times New Roman" w:hAnsi="Times New Roman" w:cs="Times New Roman"/>
          <w:b/>
          <w:color w:val="FF0000"/>
          <w:sz w:val="20"/>
          <w:szCs w:val="20"/>
        </w:rPr>
        <w:t xml:space="preserve"> R192H mice</w:t>
      </w:r>
    </w:p>
    <w:p w14:paraId="57A81B5E" w14:textId="1B6C7675" w:rsidR="003406AC" w:rsidRDefault="00625666" w:rsidP="003406AC">
      <w:pPr>
        <w:spacing w:after="120" w:line="240" w:lineRule="auto"/>
        <w:contextualSpacing/>
        <w:jc w:val="both"/>
        <w:rPr>
          <w:rFonts w:ascii="Times New Roman" w:hAnsi="Times New Roman" w:cs="Times New Roman"/>
          <w:sz w:val="20"/>
          <w:szCs w:val="20"/>
        </w:rPr>
      </w:pPr>
      <w:r w:rsidRPr="001B75E9">
        <w:rPr>
          <w:rFonts w:ascii="Times New Roman" w:eastAsiaTheme="minorEastAsia" w:hAnsi="Times New Roman" w:cs="Times New Roman"/>
          <w:color w:val="FF0000"/>
          <w:kern w:val="24"/>
          <w:sz w:val="20"/>
          <w:szCs w:val="20"/>
        </w:rPr>
        <w:t xml:space="preserve">(A) </w:t>
      </w:r>
      <w:r w:rsidRPr="007362CD">
        <w:rPr>
          <w:rFonts w:ascii="Times New Roman" w:eastAsiaTheme="minorEastAsia" w:hAnsi="Times New Roman" w:cs="Times New Roman"/>
          <w:i/>
          <w:iCs/>
          <w:color w:val="FF0000"/>
          <w:kern w:val="24"/>
          <w:sz w:val="20"/>
          <w:szCs w:val="20"/>
        </w:rPr>
        <w:t>Pax4</w:t>
      </w:r>
      <w:r w:rsidRPr="001B75E9">
        <w:rPr>
          <w:rFonts w:ascii="Times New Roman" w:eastAsiaTheme="minorEastAsia" w:hAnsi="Times New Roman" w:cs="Times New Roman"/>
          <w:color w:val="FF0000"/>
          <w:kern w:val="24"/>
          <w:sz w:val="20"/>
          <w:szCs w:val="20"/>
        </w:rPr>
        <w:t xml:space="preserve"> mRNA expression in whole pancreas at embryonic day 13.5 (E13.5) through postnatal day 14 (P14), and in isolated pancreatic islets from 12-week-old adult mice, as measured by quantitative RT–PCR. The accompanying table shows the mean Ct values obtained from qRT–PCR for each condition, providing information on transcript abundance. Expression levels were normalized to </w:t>
      </w:r>
      <w:r w:rsidR="00097827" w:rsidRPr="007362CD">
        <w:rPr>
          <w:rFonts w:ascii="Times New Roman" w:eastAsiaTheme="minorEastAsia" w:hAnsi="Times New Roman" w:cs="Times New Roman"/>
          <w:i/>
          <w:iCs/>
          <w:color w:val="FF0000"/>
          <w:kern w:val="24"/>
          <w:sz w:val="20"/>
          <w:szCs w:val="20"/>
        </w:rPr>
        <w:t>Actb</w:t>
      </w:r>
      <w:r w:rsidRPr="001B75E9">
        <w:rPr>
          <w:rFonts w:ascii="Times New Roman" w:eastAsiaTheme="minorEastAsia" w:hAnsi="Times New Roman" w:cs="Times New Roman"/>
          <w:color w:val="FF0000"/>
          <w:kern w:val="24"/>
          <w:sz w:val="20"/>
          <w:szCs w:val="20"/>
        </w:rPr>
        <w:t xml:space="preserve"> as an internal control, which exhibited stable Ct values of approximately 21 across all samples, supporting the reliability of the qRT–PCR measurements. (B)</w:t>
      </w:r>
      <w:r w:rsidR="00570C48" w:rsidRPr="001B75E9">
        <w:rPr>
          <w:rFonts w:ascii="Times New Roman" w:eastAsiaTheme="minorEastAsia" w:hAnsi="Times New Roman" w:cs="Times New Roman"/>
          <w:color w:val="FF0000"/>
          <w:kern w:val="24"/>
          <w:sz w:val="20"/>
          <w:szCs w:val="20"/>
        </w:rPr>
        <w:t xml:space="preserve"> </w:t>
      </w:r>
      <w:r w:rsidR="001B75E9" w:rsidRPr="001B75E9">
        <w:rPr>
          <w:rFonts w:ascii="Times New Roman" w:eastAsiaTheme="minorEastAsia" w:hAnsi="Times New Roman" w:cs="Times New Roman"/>
          <w:color w:val="FF0000"/>
          <w:kern w:val="24"/>
          <w:sz w:val="20"/>
          <w:szCs w:val="20"/>
        </w:rPr>
        <w:t xml:space="preserve">Representative bright-field images of isolated pancreatic islets from </w:t>
      </w:r>
      <w:r w:rsidR="001B75E9" w:rsidRPr="007362CD">
        <w:rPr>
          <w:rFonts w:ascii="Times New Roman" w:eastAsiaTheme="minorEastAsia" w:hAnsi="Times New Roman" w:cs="Times New Roman"/>
          <w:i/>
          <w:iCs/>
          <w:color w:val="FF0000"/>
          <w:kern w:val="24"/>
          <w:sz w:val="20"/>
          <w:szCs w:val="20"/>
        </w:rPr>
        <w:t>Pax4</w:t>
      </w:r>
      <w:r w:rsidR="001B75E9" w:rsidRPr="007362CD">
        <w:rPr>
          <w:rFonts w:ascii="Times New Roman" w:eastAsiaTheme="minorEastAsia" w:hAnsi="Times New Roman" w:cs="Times New Roman"/>
          <w:i/>
          <w:iCs/>
          <w:color w:val="FF0000"/>
          <w:kern w:val="24"/>
          <w:sz w:val="20"/>
          <w:szCs w:val="20"/>
          <w:vertAlign w:val="superscript"/>
        </w:rPr>
        <w:t>LacZ/+</w:t>
      </w:r>
      <w:r w:rsidR="001B75E9" w:rsidRPr="001B75E9">
        <w:rPr>
          <w:rFonts w:ascii="Times New Roman" w:eastAsiaTheme="minorEastAsia" w:hAnsi="Times New Roman" w:cs="Times New Roman"/>
          <w:color w:val="FF0000"/>
          <w:kern w:val="24"/>
          <w:sz w:val="20"/>
          <w:szCs w:val="20"/>
        </w:rPr>
        <w:t xml:space="preserve"> reporter mice stained with X-gal. X-gal-positive cells (arrows) were detected in adult islets, indicating Pax4 expression with heterogeneous distribution among islet cells.</w:t>
      </w:r>
      <w:r w:rsidR="00574D08" w:rsidRPr="001B75E9">
        <w:rPr>
          <w:rFonts w:ascii="Times New Roman" w:eastAsiaTheme="minorEastAsia" w:hAnsi="Times New Roman" w:cs="Times New Roman"/>
          <w:color w:val="FF0000"/>
          <w:kern w:val="24"/>
          <w:sz w:val="20"/>
          <w:szCs w:val="20"/>
        </w:rPr>
        <w:t xml:space="preserve"> (C) </w:t>
      </w:r>
      <w:r w:rsidR="00574D08" w:rsidRPr="007362CD">
        <w:rPr>
          <w:rFonts w:ascii="Times New Roman" w:eastAsiaTheme="minorEastAsia" w:hAnsi="Times New Roman" w:cs="Times New Roman"/>
          <w:i/>
          <w:iCs/>
          <w:color w:val="FF0000"/>
          <w:kern w:val="24"/>
          <w:sz w:val="20"/>
          <w:szCs w:val="20"/>
        </w:rPr>
        <w:t>Pax4</w:t>
      </w:r>
      <w:r w:rsidR="00574D08" w:rsidRPr="001B75E9">
        <w:rPr>
          <w:rFonts w:ascii="Times New Roman" w:eastAsiaTheme="minorEastAsia" w:hAnsi="Times New Roman" w:cs="Times New Roman"/>
          <w:color w:val="FF0000"/>
          <w:kern w:val="24"/>
          <w:sz w:val="20"/>
          <w:szCs w:val="20"/>
        </w:rPr>
        <w:t xml:space="preserve"> mRNA expression in isolated islets from </w:t>
      </w:r>
      <w:r w:rsidR="00574D08" w:rsidRPr="001B75E9">
        <w:rPr>
          <w:rFonts w:ascii="Times New Roman" w:eastAsiaTheme="minorEastAsia" w:hAnsi="Times New Roman" w:cs="Times New Roman"/>
          <w:i/>
          <w:iCs/>
          <w:color w:val="FF0000"/>
          <w:kern w:val="24"/>
          <w:sz w:val="20"/>
          <w:szCs w:val="20"/>
        </w:rPr>
        <w:t>Pax4</w:t>
      </w:r>
      <w:r w:rsidR="00574D08" w:rsidRPr="001B75E9">
        <w:rPr>
          <w:rFonts w:ascii="Times New Roman" w:eastAsiaTheme="minorEastAsia" w:hAnsi="Times New Roman" w:cs="Times New Roman"/>
          <w:color w:val="FF0000"/>
          <w:kern w:val="24"/>
          <w:sz w:val="20"/>
          <w:szCs w:val="20"/>
        </w:rPr>
        <w:t xml:space="preserve"> R192H mice under standard chow diet </w:t>
      </w:r>
      <w:r w:rsidR="00574D08" w:rsidRPr="00935746">
        <w:rPr>
          <w:rFonts w:ascii="Times New Roman" w:eastAsiaTheme="minorEastAsia" w:hAnsi="Times New Roman" w:cs="Times New Roman"/>
          <w:color w:val="FF0000"/>
          <w:kern w:val="24"/>
          <w:sz w:val="20"/>
          <w:szCs w:val="20"/>
        </w:rPr>
        <w:t xml:space="preserve">conditions. The accompanying table shows the mean Ct values obtained from qRT–PCR for each condition, providing information on transcript abundance. </w:t>
      </w:r>
      <w:r w:rsidR="00097827" w:rsidRPr="007362CD">
        <w:rPr>
          <w:rFonts w:ascii="Times New Roman" w:eastAsiaTheme="minorEastAsia" w:hAnsi="Times New Roman" w:cs="Times New Roman"/>
          <w:i/>
          <w:iCs/>
          <w:color w:val="FF0000"/>
          <w:kern w:val="24"/>
          <w:sz w:val="20"/>
          <w:szCs w:val="20"/>
          <w:lang w:eastAsia="ko-KR"/>
        </w:rPr>
        <w:t>Actb</w:t>
      </w:r>
      <w:r w:rsidR="00574D08" w:rsidRPr="00935746">
        <w:rPr>
          <w:rFonts w:ascii="Times New Roman" w:eastAsiaTheme="minorEastAsia" w:hAnsi="Times New Roman" w:cs="Times New Roman"/>
          <w:color w:val="FF0000"/>
          <w:kern w:val="24"/>
          <w:sz w:val="20"/>
          <w:szCs w:val="20"/>
        </w:rPr>
        <w:t xml:space="preserve"> was used as an endogenous control. n ≥ 3 mice per group.</w:t>
      </w:r>
      <w:r w:rsidR="003406AC">
        <w:rPr>
          <w:rFonts w:ascii="Times New Roman" w:eastAsiaTheme="minorEastAsia" w:hAnsi="Times New Roman" w:cs="Times New Roman"/>
          <w:color w:val="FF0000"/>
          <w:kern w:val="24"/>
          <w:sz w:val="20"/>
          <w:szCs w:val="20"/>
        </w:rPr>
        <w:t xml:space="preserve"> </w:t>
      </w:r>
      <w:r w:rsidR="003406AC" w:rsidRPr="009601DE">
        <w:rPr>
          <w:rFonts w:ascii="Times New Roman" w:hAnsi="Times New Roman" w:cs="Times New Roman"/>
          <w:sz w:val="20"/>
          <w:szCs w:val="20"/>
        </w:rPr>
        <w:t xml:space="preserve">(D,E) Intraperitoneal glucose tolerance test in wildtype and </w:t>
      </w:r>
      <w:r w:rsidR="003406AC" w:rsidRPr="00AF76AB">
        <w:rPr>
          <w:rFonts w:ascii="Times New Roman" w:hAnsi="Times New Roman" w:cs="Times New Roman"/>
          <w:i/>
          <w:sz w:val="20"/>
          <w:szCs w:val="20"/>
        </w:rPr>
        <w:t>Pax4</w:t>
      </w:r>
      <w:r w:rsidR="003406AC" w:rsidRPr="009601DE">
        <w:rPr>
          <w:rFonts w:ascii="Times New Roman" w:hAnsi="Times New Roman" w:cs="Times New Roman"/>
          <w:sz w:val="20"/>
          <w:szCs w:val="20"/>
        </w:rPr>
        <w:t xml:space="preserve"> R192H mice after 16-hour fasting in 4-week-old (D) and 6-week-old (E); n ≥5 per group. WT, wildtype; HH, </w:t>
      </w:r>
      <w:r w:rsidR="003406AC" w:rsidRPr="00AF76AB">
        <w:rPr>
          <w:rFonts w:ascii="Times New Roman" w:hAnsi="Times New Roman" w:cs="Times New Roman"/>
          <w:i/>
          <w:sz w:val="20"/>
          <w:szCs w:val="20"/>
        </w:rPr>
        <w:t xml:space="preserve">Pax4 </w:t>
      </w:r>
      <w:r w:rsidR="003406AC" w:rsidRPr="009601DE">
        <w:rPr>
          <w:rFonts w:ascii="Times New Roman" w:hAnsi="Times New Roman" w:cs="Times New Roman"/>
          <w:sz w:val="20"/>
          <w:szCs w:val="20"/>
        </w:rPr>
        <w:t>R192H; GCG, glucagon; SST, somatostatin; INS, insulin.</w:t>
      </w:r>
    </w:p>
    <w:p w14:paraId="18A6777B" w14:textId="672ED96F" w:rsidR="00574D08" w:rsidRDefault="00574D08" w:rsidP="003406AC">
      <w:pPr>
        <w:spacing w:after="120" w:line="240" w:lineRule="auto"/>
        <w:contextualSpacing/>
        <w:jc w:val="both"/>
        <w:rPr>
          <w:rFonts w:ascii="Times New Roman" w:eastAsiaTheme="minorEastAsia" w:hAnsi="Times New Roman" w:cs="Times New Roman"/>
          <w:color w:val="FF0000"/>
          <w:kern w:val="24"/>
          <w:sz w:val="20"/>
          <w:szCs w:val="20"/>
        </w:rPr>
      </w:pPr>
    </w:p>
    <w:p w14:paraId="5C1CB3C4" w14:textId="454274E9" w:rsidR="00574D08" w:rsidRDefault="00574D08" w:rsidP="00574D08">
      <w:pPr>
        <w:spacing w:after="120" w:line="240" w:lineRule="auto"/>
        <w:contextualSpacing/>
        <w:jc w:val="both"/>
        <w:rPr>
          <w:rFonts w:ascii="Times New Roman" w:eastAsiaTheme="minorEastAsia" w:hAnsi="Times New Roman" w:cs="Times New Roman"/>
          <w:color w:val="FF0000"/>
          <w:kern w:val="24"/>
          <w:sz w:val="20"/>
          <w:szCs w:val="20"/>
        </w:rPr>
      </w:pPr>
    </w:p>
    <w:p w14:paraId="41B5E8B1" w14:textId="54293A7F" w:rsidR="00935746" w:rsidRDefault="00935746" w:rsidP="009601DE">
      <w:pPr>
        <w:spacing w:after="120" w:line="240" w:lineRule="auto"/>
        <w:contextualSpacing/>
        <w:jc w:val="both"/>
        <w:rPr>
          <w:rFonts w:ascii="Times New Roman" w:eastAsiaTheme="minorEastAsia" w:hAnsi="Times New Roman" w:cs="Times New Roman"/>
          <w:color w:val="FF0000"/>
          <w:kern w:val="24"/>
          <w:sz w:val="20"/>
          <w:szCs w:val="20"/>
        </w:rPr>
      </w:pPr>
    </w:p>
    <w:p w14:paraId="1E913680" w14:textId="480756EC" w:rsidR="00935746" w:rsidRPr="009601DE" w:rsidRDefault="00935746" w:rsidP="009601DE">
      <w:pPr>
        <w:spacing w:after="120" w:line="240" w:lineRule="auto"/>
        <w:contextualSpacing/>
        <w:jc w:val="both"/>
        <w:rPr>
          <w:rFonts w:ascii="Times New Roman" w:hAnsi="Times New Roman" w:cs="Times New Roman"/>
          <w:sz w:val="20"/>
          <w:szCs w:val="20"/>
        </w:rPr>
      </w:pPr>
    </w:p>
    <w:p w14:paraId="4DE1F98C" w14:textId="1EA8F706" w:rsidR="007C7723" w:rsidRPr="00742791" w:rsidRDefault="00935E54" w:rsidP="003B08A8">
      <w:pPr>
        <w:spacing w:after="120" w:line="240" w:lineRule="auto"/>
        <w:contextualSpacing/>
        <w:jc w:val="both"/>
        <w:rPr>
          <w:rFonts w:ascii="Times New Roman" w:hAnsi="Times New Roman" w:cs="Times New Roman"/>
          <w:sz w:val="20"/>
          <w:szCs w:val="20"/>
        </w:rPr>
      </w:pPr>
      <w:r w:rsidRPr="00935E54">
        <w:lastRenderedPageBreak/>
        <w:drawing>
          <wp:inline distT="0" distB="0" distL="0" distR="0" wp14:anchorId="5319551B" wp14:editId="79D71011">
            <wp:extent cx="6188710" cy="4645660"/>
            <wp:effectExtent l="0" t="0" r="2540" b="254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4645660"/>
                    </a:xfrm>
                    <a:prstGeom prst="rect">
                      <a:avLst/>
                    </a:prstGeom>
                  </pic:spPr>
                </pic:pic>
              </a:graphicData>
            </a:graphic>
          </wp:inline>
        </w:drawing>
      </w:r>
      <w:bookmarkStart w:id="0" w:name="_GoBack"/>
      <w:bookmarkEnd w:id="0"/>
    </w:p>
    <w:p w14:paraId="712F3E02" w14:textId="77777777" w:rsidR="007C7723" w:rsidRPr="00742791" w:rsidRDefault="007C7723" w:rsidP="003B08A8">
      <w:pPr>
        <w:spacing w:after="120" w:line="240" w:lineRule="auto"/>
        <w:contextualSpacing/>
        <w:jc w:val="both"/>
        <w:rPr>
          <w:rFonts w:ascii="Times New Roman" w:hAnsi="Times New Roman" w:cs="Times New Roman"/>
          <w:sz w:val="20"/>
          <w:szCs w:val="20"/>
        </w:rPr>
      </w:pPr>
    </w:p>
    <w:p w14:paraId="4FE6CCB5" w14:textId="5C9E7D84" w:rsidR="00701365" w:rsidRDefault="0001131B" w:rsidP="003B08A8">
      <w:pPr>
        <w:spacing w:after="120" w:line="240" w:lineRule="auto"/>
        <w:contextualSpacing/>
        <w:jc w:val="both"/>
        <w:rPr>
          <w:rFonts w:ascii="Times New Roman" w:hAnsi="Times New Roman" w:cs="Times New Roman"/>
          <w:b/>
          <w:sz w:val="20"/>
          <w:szCs w:val="20"/>
        </w:rPr>
      </w:pPr>
      <w:r w:rsidRPr="009601DE">
        <w:rPr>
          <w:rFonts w:ascii="Times New Roman" w:hAnsi="Times New Roman" w:cs="Times New Roman"/>
          <w:b/>
          <w:sz w:val="20"/>
          <w:szCs w:val="20"/>
        </w:rPr>
        <w:t>Supplementary</w:t>
      </w:r>
      <w:r w:rsidRPr="00742791">
        <w:rPr>
          <w:rFonts w:ascii="Times New Roman" w:hAnsi="Times New Roman" w:cs="Times New Roman"/>
          <w:b/>
          <w:sz w:val="20"/>
          <w:szCs w:val="20"/>
        </w:rPr>
        <w:t xml:space="preserve"> </w:t>
      </w:r>
      <w:r w:rsidR="007C7723" w:rsidRPr="00742791">
        <w:rPr>
          <w:rFonts w:ascii="Times New Roman" w:hAnsi="Times New Roman" w:cs="Times New Roman"/>
          <w:b/>
          <w:sz w:val="20"/>
          <w:szCs w:val="20"/>
        </w:rPr>
        <w:t xml:space="preserve">Figure </w:t>
      </w:r>
      <w:r w:rsidR="006721FD">
        <w:rPr>
          <w:rFonts w:ascii="Times New Roman" w:hAnsi="Times New Roman" w:cs="Times New Roman"/>
          <w:b/>
          <w:sz w:val="20"/>
          <w:szCs w:val="20"/>
        </w:rPr>
        <w:t>3</w:t>
      </w:r>
      <w:r w:rsidR="007C7723" w:rsidRPr="00742791">
        <w:rPr>
          <w:rFonts w:ascii="Times New Roman" w:hAnsi="Times New Roman" w:cs="Times New Roman"/>
          <w:b/>
          <w:sz w:val="20"/>
          <w:szCs w:val="20"/>
        </w:rPr>
        <w:t xml:space="preserve">. </w:t>
      </w:r>
      <w:r w:rsidR="00701365" w:rsidRPr="00701365">
        <w:rPr>
          <w:rFonts w:ascii="Times New Roman" w:hAnsi="Times New Roman" w:cs="Times New Roman"/>
          <w:b/>
          <w:sz w:val="20"/>
          <w:szCs w:val="20"/>
        </w:rPr>
        <w:t xml:space="preserve">Metabolic phenotypes of </w:t>
      </w:r>
      <w:r w:rsidR="00701365" w:rsidRPr="00701365">
        <w:rPr>
          <w:rFonts w:ascii="Times New Roman" w:hAnsi="Times New Roman" w:cs="Times New Roman"/>
          <w:b/>
          <w:i/>
          <w:iCs/>
          <w:sz w:val="20"/>
          <w:szCs w:val="20"/>
        </w:rPr>
        <w:t>Pax4</w:t>
      </w:r>
      <w:r w:rsidR="00701365" w:rsidRPr="00701365">
        <w:rPr>
          <w:rFonts w:ascii="Times New Roman" w:hAnsi="Times New Roman" w:cs="Times New Roman"/>
          <w:b/>
          <w:sz w:val="20"/>
          <w:szCs w:val="20"/>
        </w:rPr>
        <w:t xml:space="preserve"> R192H mice under high fat diet </w:t>
      </w:r>
    </w:p>
    <w:p w14:paraId="53347EB8" w14:textId="2B09266B" w:rsidR="003B08A8" w:rsidRPr="004D664A" w:rsidRDefault="00E95D48" w:rsidP="003B08A8">
      <w:pPr>
        <w:spacing w:line="240" w:lineRule="auto"/>
        <w:jc w:val="both"/>
        <w:rPr>
          <w:rFonts w:ascii="Times New Roman" w:hAnsi="Times New Roman" w:cs="Times New Roman"/>
          <w:sz w:val="20"/>
          <w:szCs w:val="20"/>
        </w:rPr>
      </w:pPr>
      <w:r w:rsidRPr="00E95D48">
        <w:rPr>
          <w:rFonts w:ascii="Times New Roman" w:hAnsi="Times New Roman" w:cs="Times New Roman"/>
          <w:sz w:val="20"/>
          <w:szCs w:val="20"/>
        </w:rPr>
        <w:t xml:space="preserve">(A) Representative hematoxylin and </w:t>
      </w:r>
      <w:r w:rsidRPr="004D664A">
        <w:rPr>
          <w:rFonts w:ascii="Times New Roman" w:hAnsi="Times New Roman" w:cs="Times New Roman"/>
          <w:sz w:val="20"/>
          <w:szCs w:val="20"/>
        </w:rPr>
        <w:t>eosin (H&amp;E) staining of adipose tissue (iWAT, eWAT) and liver sections from mice fed a high fat diet for 4 weeks (16-week-old); n=4 per group. (B-D) Adipose tissue and liver to body weight ratio of iWAT (B), eWAT (C), and liver (D); n=4 per group.</w:t>
      </w:r>
      <w:r w:rsidR="003406AC">
        <w:rPr>
          <w:rFonts w:ascii="Times New Roman" w:hAnsi="Times New Roman" w:cs="Times New Roman"/>
          <w:sz w:val="20"/>
          <w:szCs w:val="20"/>
        </w:rPr>
        <w:t xml:space="preserve"> </w:t>
      </w:r>
      <w:r w:rsidR="003406AC" w:rsidRPr="001B75E9">
        <w:rPr>
          <w:rFonts w:ascii="Times New Roman" w:eastAsiaTheme="minorEastAsia" w:hAnsi="Times New Roman" w:cs="Times New Roman"/>
          <w:color w:val="FF0000"/>
          <w:kern w:val="24"/>
          <w:sz w:val="20"/>
          <w:szCs w:val="20"/>
        </w:rPr>
        <w:t>(</w:t>
      </w:r>
      <w:r w:rsidR="003406AC">
        <w:rPr>
          <w:rFonts w:ascii="Times New Roman" w:eastAsiaTheme="minorEastAsia" w:hAnsi="Times New Roman" w:cs="Times New Roman" w:hint="eastAsia"/>
          <w:color w:val="FF0000"/>
          <w:kern w:val="24"/>
          <w:sz w:val="20"/>
          <w:szCs w:val="20"/>
          <w:lang w:eastAsia="ko-KR"/>
        </w:rPr>
        <w:t>E</w:t>
      </w:r>
      <w:r w:rsidR="003406AC" w:rsidRPr="001B75E9">
        <w:rPr>
          <w:rFonts w:ascii="Times New Roman" w:eastAsiaTheme="minorEastAsia" w:hAnsi="Times New Roman" w:cs="Times New Roman"/>
          <w:color w:val="FF0000"/>
          <w:kern w:val="24"/>
          <w:sz w:val="20"/>
          <w:szCs w:val="20"/>
        </w:rPr>
        <w:t xml:space="preserve">) </w:t>
      </w:r>
      <w:r w:rsidR="003406AC" w:rsidRPr="007362CD">
        <w:rPr>
          <w:rFonts w:ascii="Times New Roman" w:eastAsiaTheme="minorEastAsia" w:hAnsi="Times New Roman" w:cs="Times New Roman"/>
          <w:i/>
          <w:iCs/>
          <w:color w:val="FF0000"/>
          <w:kern w:val="24"/>
          <w:sz w:val="20"/>
          <w:szCs w:val="20"/>
        </w:rPr>
        <w:t>Pax4</w:t>
      </w:r>
      <w:r w:rsidR="003406AC" w:rsidRPr="001B75E9">
        <w:rPr>
          <w:rFonts w:ascii="Times New Roman" w:eastAsiaTheme="minorEastAsia" w:hAnsi="Times New Roman" w:cs="Times New Roman"/>
          <w:color w:val="FF0000"/>
          <w:kern w:val="24"/>
          <w:sz w:val="20"/>
          <w:szCs w:val="20"/>
        </w:rPr>
        <w:t xml:space="preserve"> mRNA expression in isolated islets from </w:t>
      </w:r>
      <w:r w:rsidR="003406AC" w:rsidRPr="001B75E9">
        <w:rPr>
          <w:rFonts w:ascii="Times New Roman" w:eastAsiaTheme="minorEastAsia" w:hAnsi="Times New Roman" w:cs="Times New Roman"/>
          <w:i/>
          <w:iCs/>
          <w:color w:val="FF0000"/>
          <w:kern w:val="24"/>
          <w:sz w:val="20"/>
          <w:szCs w:val="20"/>
        </w:rPr>
        <w:t>Pax4</w:t>
      </w:r>
      <w:r w:rsidR="003406AC" w:rsidRPr="001B75E9">
        <w:rPr>
          <w:rFonts w:ascii="Times New Roman" w:eastAsiaTheme="minorEastAsia" w:hAnsi="Times New Roman" w:cs="Times New Roman"/>
          <w:color w:val="FF0000"/>
          <w:kern w:val="24"/>
          <w:sz w:val="20"/>
          <w:szCs w:val="20"/>
        </w:rPr>
        <w:t xml:space="preserve"> R192H mice under </w:t>
      </w:r>
      <w:r w:rsidR="003406AC">
        <w:rPr>
          <w:rFonts w:ascii="Times New Roman" w:eastAsiaTheme="minorEastAsia" w:hAnsi="Times New Roman" w:cs="Times New Roman"/>
          <w:color w:val="FF0000"/>
          <w:kern w:val="24"/>
          <w:sz w:val="20"/>
          <w:szCs w:val="20"/>
        </w:rPr>
        <w:t>high fat</w:t>
      </w:r>
      <w:r w:rsidR="003406AC" w:rsidRPr="001B75E9">
        <w:rPr>
          <w:rFonts w:ascii="Times New Roman" w:eastAsiaTheme="minorEastAsia" w:hAnsi="Times New Roman" w:cs="Times New Roman"/>
          <w:color w:val="FF0000"/>
          <w:kern w:val="24"/>
          <w:sz w:val="20"/>
          <w:szCs w:val="20"/>
        </w:rPr>
        <w:t xml:space="preserve"> diet </w:t>
      </w:r>
      <w:r w:rsidR="003406AC" w:rsidRPr="00935746">
        <w:rPr>
          <w:rFonts w:ascii="Times New Roman" w:eastAsiaTheme="minorEastAsia" w:hAnsi="Times New Roman" w:cs="Times New Roman"/>
          <w:color w:val="FF0000"/>
          <w:kern w:val="24"/>
          <w:sz w:val="20"/>
          <w:szCs w:val="20"/>
        </w:rPr>
        <w:t xml:space="preserve">conditions. The accompanying table shows the mean Ct values obtained from qRT–PCR for each condition, providing information on transcript abundance. </w:t>
      </w:r>
      <w:r w:rsidR="00097827" w:rsidRPr="007362CD">
        <w:rPr>
          <w:rFonts w:ascii="Times New Roman" w:eastAsiaTheme="minorEastAsia" w:hAnsi="Times New Roman" w:cs="Times New Roman"/>
          <w:i/>
          <w:iCs/>
          <w:color w:val="FF0000"/>
          <w:kern w:val="24"/>
          <w:sz w:val="20"/>
          <w:szCs w:val="20"/>
        </w:rPr>
        <w:t>Actb</w:t>
      </w:r>
      <w:r w:rsidR="003406AC" w:rsidRPr="00935746">
        <w:rPr>
          <w:rFonts w:ascii="Times New Roman" w:eastAsiaTheme="minorEastAsia" w:hAnsi="Times New Roman" w:cs="Times New Roman"/>
          <w:color w:val="FF0000"/>
          <w:kern w:val="24"/>
          <w:sz w:val="20"/>
          <w:szCs w:val="20"/>
        </w:rPr>
        <w:t xml:space="preserve"> was used as an endogenous control. n ≥ 3 mice per group.</w:t>
      </w:r>
      <w:r w:rsidRPr="00E95D48">
        <w:rPr>
          <w:rFonts w:ascii="Times New Roman" w:hAnsi="Times New Roman" w:cs="Times New Roman"/>
          <w:sz w:val="20"/>
          <w:szCs w:val="20"/>
        </w:rPr>
        <w:t xml:space="preserve"> (</w:t>
      </w:r>
      <w:r w:rsidR="003406AC">
        <w:rPr>
          <w:rFonts w:ascii="Times New Roman" w:hAnsi="Times New Roman" w:cs="Times New Roman"/>
          <w:sz w:val="20"/>
          <w:szCs w:val="20"/>
        </w:rPr>
        <w:t>F</w:t>
      </w:r>
      <w:r w:rsidRPr="00E95D48">
        <w:rPr>
          <w:rFonts w:ascii="Times New Roman" w:hAnsi="Times New Roman" w:cs="Times New Roman"/>
          <w:sz w:val="20"/>
          <w:szCs w:val="20"/>
        </w:rPr>
        <w:t xml:space="preserve">) Immunohistochemical staining of insulin in pancreatic sections from wildtype and </w:t>
      </w:r>
      <w:r w:rsidRPr="00AF76AB">
        <w:rPr>
          <w:rFonts w:ascii="Times New Roman" w:hAnsi="Times New Roman" w:cs="Times New Roman"/>
          <w:i/>
          <w:sz w:val="20"/>
          <w:szCs w:val="20"/>
        </w:rPr>
        <w:t>Pax4</w:t>
      </w:r>
      <w:r w:rsidRPr="00E95D48">
        <w:rPr>
          <w:rFonts w:ascii="Times New Roman" w:hAnsi="Times New Roman" w:cs="Times New Roman"/>
          <w:sz w:val="20"/>
          <w:szCs w:val="20"/>
        </w:rPr>
        <w:t xml:space="preserve"> R192H mice fed a high fat diet for 4 weeks (16-week-</w:t>
      </w:r>
      <w:r w:rsidRPr="004D664A">
        <w:rPr>
          <w:rFonts w:ascii="Times New Roman" w:hAnsi="Times New Roman" w:cs="Times New Roman"/>
          <w:sz w:val="20"/>
          <w:szCs w:val="20"/>
        </w:rPr>
        <w:t>old); n=5 per group. (</w:t>
      </w:r>
      <w:r w:rsidR="003406AC" w:rsidRPr="004D664A">
        <w:rPr>
          <w:rFonts w:ascii="Times New Roman" w:hAnsi="Times New Roman" w:cs="Times New Roman"/>
          <w:sz w:val="20"/>
          <w:szCs w:val="20"/>
        </w:rPr>
        <w:t>G</w:t>
      </w:r>
      <w:r w:rsidRPr="004D664A">
        <w:rPr>
          <w:rFonts w:ascii="Times New Roman" w:hAnsi="Times New Roman" w:cs="Times New Roman"/>
          <w:sz w:val="20"/>
          <w:szCs w:val="20"/>
        </w:rPr>
        <w:t xml:space="preserve">) Immunofluorescence staining with Ki67 (red) and insulin (green) of wildtype and </w:t>
      </w:r>
      <w:r w:rsidRPr="004D664A">
        <w:rPr>
          <w:rFonts w:ascii="Times New Roman" w:hAnsi="Times New Roman" w:cs="Times New Roman"/>
          <w:i/>
          <w:sz w:val="20"/>
          <w:szCs w:val="20"/>
        </w:rPr>
        <w:t>Pax4</w:t>
      </w:r>
      <w:r w:rsidRPr="004D664A">
        <w:rPr>
          <w:rFonts w:ascii="Times New Roman" w:hAnsi="Times New Roman" w:cs="Times New Roman"/>
          <w:sz w:val="20"/>
          <w:szCs w:val="20"/>
        </w:rPr>
        <w:t xml:space="preserve"> R192H mice fed 2 weeks of high fat diet (14-week-old). Yellow arrows=Ki67 and insulin co-positive cells; n=4 per group.</w:t>
      </w:r>
      <w:r w:rsidR="003F405D" w:rsidRPr="004D664A">
        <w:rPr>
          <w:rFonts w:ascii="Times New Roman" w:hAnsi="Times New Roman" w:cs="Times New Roman"/>
          <w:sz w:val="20"/>
          <w:szCs w:val="20"/>
        </w:rPr>
        <w:t xml:space="preserve"> Scale bar, 100 μm</w:t>
      </w:r>
      <w:r w:rsidR="003F405D" w:rsidRPr="004D664A">
        <w:rPr>
          <w:rFonts w:ascii="Times New Roman" w:hAnsi="Times New Roman" w:cs="Times New Roman" w:hint="eastAsia"/>
          <w:sz w:val="20"/>
          <w:szCs w:val="20"/>
          <w:lang w:eastAsia="ko-KR"/>
        </w:rPr>
        <w:t>.</w:t>
      </w:r>
      <w:r w:rsidRPr="004D664A">
        <w:rPr>
          <w:rFonts w:ascii="Times New Roman" w:hAnsi="Times New Roman" w:cs="Times New Roman"/>
          <w:sz w:val="20"/>
          <w:szCs w:val="20"/>
        </w:rPr>
        <w:t xml:space="preserve"> (</w:t>
      </w:r>
      <w:r w:rsidR="003406AC" w:rsidRPr="004D664A">
        <w:rPr>
          <w:rFonts w:ascii="Times New Roman" w:hAnsi="Times New Roman" w:cs="Times New Roman"/>
          <w:sz w:val="20"/>
          <w:szCs w:val="20"/>
        </w:rPr>
        <w:t>H</w:t>
      </w:r>
      <w:r w:rsidRPr="004D664A">
        <w:rPr>
          <w:rFonts w:ascii="Times New Roman" w:hAnsi="Times New Roman" w:cs="Times New Roman"/>
          <w:sz w:val="20"/>
          <w:szCs w:val="20"/>
        </w:rPr>
        <w:t xml:space="preserve">) Immunofluorescence of β cell markers (PDX1, UCN3 and MAFA) and insulin in pancreatic sections from mice fed 4 weeks of high fat diet (16-week-old); n=4 per group. </w:t>
      </w:r>
      <w:r w:rsidR="00F26268" w:rsidRPr="004D664A">
        <w:rPr>
          <w:rFonts w:ascii="Times New Roman" w:hAnsi="Times New Roman" w:cs="Times New Roman"/>
          <w:sz w:val="20"/>
          <w:szCs w:val="20"/>
        </w:rPr>
        <w:t>Scale bar, 100 μm</w:t>
      </w:r>
      <w:r w:rsidR="00F26268" w:rsidRPr="004D664A">
        <w:rPr>
          <w:rFonts w:ascii="Times New Roman" w:hAnsi="Times New Roman" w:cs="Times New Roman" w:hint="eastAsia"/>
          <w:sz w:val="20"/>
          <w:szCs w:val="20"/>
          <w:lang w:eastAsia="ko-KR"/>
        </w:rPr>
        <w:t>.</w:t>
      </w:r>
      <w:r w:rsidR="00F26268" w:rsidRPr="004D664A">
        <w:rPr>
          <w:rFonts w:ascii="Times New Roman" w:hAnsi="Times New Roman" w:cs="Times New Roman"/>
          <w:sz w:val="20"/>
          <w:szCs w:val="20"/>
        </w:rPr>
        <w:t xml:space="preserve"> </w:t>
      </w:r>
      <w:r w:rsidRPr="004D664A">
        <w:rPr>
          <w:rFonts w:ascii="Times New Roman" w:hAnsi="Times New Roman" w:cs="Times New Roman"/>
          <w:sz w:val="20"/>
          <w:szCs w:val="20"/>
        </w:rPr>
        <w:t>BW, body weight; WT, wildtype; HH,</w:t>
      </w:r>
      <w:r w:rsidRPr="004D664A">
        <w:rPr>
          <w:rFonts w:ascii="Times New Roman" w:hAnsi="Times New Roman" w:cs="Times New Roman"/>
          <w:i/>
          <w:sz w:val="20"/>
          <w:szCs w:val="20"/>
        </w:rPr>
        <w:t xml:space="preserve"> Pax4</w:t>
      </w:r>
      <w:r w:rsidRPr="004D664A">
        <w:rPr>
          <w:rFonts w:ascii="Times New Roman" w:hAnsi="Times New Roman" w:cs="Times New Roman"/>
          <w:sz w:val="20"/>
          <w:szCs w:val="20"/>
        </w:rPr>
        <w:t xml:space="preserve"> R192H.</w:t>
      </w:r>
      <w:r w:rsidR="003B08A8" w:rsidRPr="004D664A">
        <w:rPr>
          <w:rFonts w:ascii="Times New Roman" w:hAnsi="Times New Roman" w:cs="Times New Roman"/>
          <w:sz w:val="20"/>
          <w:szCs w:val="20"/>
        </w:rPr>
        <w:br w:type="page"/>
      </w:r>
    </w:p>
    <w:p w14:paraId="6EB8B33F" w14:textId="7F46BB1E" w:rsidR="003B08A8" w:rsidRDefault="00CF59BD" w:rsidP="003B08A8">
      <w:pPr>
        <w:spacing w:after="120" w:line="240" w:lineRule="auto"/>
        <w:contextualSpacing/>
        <w:jc w:val="both"/>
        <w:rPr>
          <w:rFonts w:ascii="Times New Roman" w:hAnsi="Times New Roman" w:cs="Times New Roman"/>
          <w:b/>
          <w:sz w:val="20"/>
          <w:szCs w:val="20"/>
        </w:rPr>
      </w:pPr>
      <w:r>
        <w:rPr>
          <w:rFonts w:ascii="Times New Roman" w:hAnsi="Times New Roman" w:cs="Times New Roman"/>
          <w:b/>
          <w:noProof/>
          <w:sz w:val="20"/>
          <w:szCs w:val="20"/>
          <w:lang w:eastAsia="ko-KR"/>
        </w:rPr>
        <w:lastRenderedPageBreak/>
        <w:drawing>
          <wp:inline distT="0" distB="0" distL="0" distR="0" wp14:anchorId="6D5E35F1" wp14:editId="0C4B2EF8">
            <wp:extent cx="6188710" cy="5434330"/>
            <wp:effectExtent l="0" t="0" r="2540" b="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ppl figure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88710" cy="5434330"/>
                    </a:xfrm>
                    <a:prstGeom prst="rect">
                      <a:avLst/>
                    </a:prstGeom>
                  </pic:spPr>
                </pic:pic>
              </a:graphicData>
            </a:graphic>
          </wp:inline>
        </w:drawing>
      </w:r>
    </w:p>
    <w:p w14:paraId="57856509" w14:textId="77777777" w:rsidR="008F455C" w:rsidRPr="00742791" w:rsidRDefault="008F455C" w:rsidP="003B08A8">
      <w:pPr>
        <w:spacing w:after="120" w:line="240" w:lineRule="auto"/>
        <w:contextualSpacing/>
        <w:jc w:val="both"/>
        <w:rPr>
          <w:rFonts w:ascii="Times New Roman" w:hAnsi="Times New Roman" w:cs="Times New Roman"/>
          <w:b/>
          <w:sz w:val="20"/>
          <w:szCs w:val="20"/>
        </w:rPr>
      </w:pPr>
    </w:p>
    <w:p w14:paraId="5AF6A801" w14:textId="47420C5E" w:rsidR="00CF59BD" w:rsidRPr="004D664A" w:rsidRDefault="0001131B" w:rsidP="003B08A8">
      <w:pPr>
        <w:spacing w:after="120" w:line="240" w:lineRule="auto"/>
        <w:contextualSpacing/>
        <w:jc w:val="both"/>
        <w:rPr>
          <w:rFonts w:ascii="Times New Roman" w:hAnsi="Times New Roman" w:cs="Times New Roman"/>
          <w:b/>
          <w:sz w:val="20"/>
          <w:szCs w:val="20"/>
        </w:rPr>
      </w:pPr>
      <w:r w:rsidRPr="009601DE">
        <w:rPr>
          <w:rFonts w:ascii="Times New Roman" w:hAnsi="Times New Roman" w:cs="Times New Roman"/>
          <w:b/>
          <w:sz w:val="20"/>
          <w:szCs w:val="20"/>
        </w:rPr>
        <w:t>Supplementary</w:t>
      </w:r>
      <w:r w:rsidRPr="00742791">
        <w:rPr>
          <w:rFonts w:ascii="Times New Roman" w:hAnsi="Times New Roman" w:cs="Times New Roman"/>
          <w:b/>
          <w:sz w:val="20"/>
          <w:szCs w:val="20"/>
        </w:rPr>
        <w:t xml:space="preserve"> </w:t>
      </w:r>
      <w:r w:rsidR="007C7723" w:rsidRPr="00742791">
        <w:rPr>
          <w:rFonts w:ascii="Times New Roman" w:hAnsi="Times New Roman" w:cs="Times New Roman"/>
          <w:b/>
          <w:sz w:val="20"/>
          <w:szCs w:val="20"/>
        </w:rPr>
        <w:t xml:space="preserve">Figure </w:t>
      </w:r>
      <w:r w:rsidR="006721FD">
        <w:rPr>
          <w:rFonts w:ascii="Times New Roman" w:hAnsi="Times New Roman" w:cs="Times New Roman"/>
          <w:b/>
          <w:sz w:val="20"/>
          <w:szCs w:val="20"/>
        </w:rPr>
        <w:t>4</w:t>
      </w:r>
      <w:r w:rsidR="007C7723" w:rsidRPr="00742791">
        <w:rPr>
          <w:rFonts w:ascii="Times New Roman" w:hAnsi="Times New Roman" w:cs="Times New Roman"/>
          <w:b/>
          <w:sz w:val="20"/>
          <w:szCs w:val="20"/>
        </w:rPr>
        <w:t xml:space="preserve">. </w:t>
      </w:r>
      <w:r w:rsidR="00CF59BD" w:rsidRPr="00CF59BD">
        <w:rPr>
          <w:rFonts w:ascii="Times New Roman" w:hAnsi="Times New Roman" w:cs="Times New Roman"/>
          <w:b/>
          <w:sz w:val="20"/>
          <w:szCs w:val="20"/>
        </w:rPr>
        <w:t xml:space="preserve">Gene set enrichment analysis reveals altered transcriptional programs in </w:t>
      </w:r>
      <w:r w:rsidR="00CF59BD" w:rsidRPr="00CF59BD">
        <w:rPr>
          <w:rFonts w:ascii="Times New Roman" w:hAnsi="Times New Roman" w:cs="Times New Roman"/>
          <w:b/>
          <w:i/>
          <w:iCs/>
          <w:sz w:val="20"/>
          <w:szCs w:val="20"/>
        </w:rPr>
        <w:t>Pax4</w:t>
      </w:r>
      <w:r w:rsidR="00CF59BD" w:rsidRPr="00CF59BD">
        <w:rPr>
          <w:rFonts w:ascii="Times New Roman" w:hAnsi="Times New Roman" w:cs="Times New Roman"/>
          <w:b/>
          <w:sz w:val="20"/>
          <w:szCs w:val="20"/>
        </w:rPr>
        <w:t xml:space="preserve"> R192H islets </w:t>
      </w:r>
      <w:r w:rsidR="00CF59BD" w:rsidRPr="004D664A">
        <w:rPr>
          <w:rFonts w:ascii="Times New Roman" w:hAnsi="Times New Roman" w:cs="Times New Roman"/>
          <w:b/>
          <w:sz w:val="20"/>
          <w:szCs w:val="20"/>
        </w:rPr>
        <w:t xml:space="preserve">under high fat diet </w:t>
      </w:r>
    </w:p>
    <w:p w14:paraId="1FEE415F" w14:textId="41A9526E" w:rsidR="007C7723" w:rsidRPr="00742791" w:rsidRDefault="00CF59BD" w:rsidP="003B08A8">
      <w:pPr>
        <w:spacing w:after="120" w:line="240" w:lineRule="auto"/>
        <w:contextualSpacing/>
        <w:jc w:val="both"/>
        <w:rPr>
          <w:rFonts w:ascii="Times New Roman" w:hAnsi="Times New Roman" w:cs="Times New Roman"/>
          <w:sz w:val="20"/>
          <w:szCs w:val="20"/>
        </w:rPr>
      </w:pPr>
      <w:r w:rsidRPr="004D664A">
        <w:rPr>
          <w:rFonts w:ascii="Times New Roman" w:hAnsi="Times New Roman" w:cs="Times New Roman"/>
          <w:sz w:val="20"/>
          <w:szCs w:val="20"/>
        </w:rPr>
        <w:t>(A</w:t>
      </w:r>
      <w:r w:rsidR="00EE268F" w:rsidRPr="004D664A">
        <w:rPr>
          <w:rFonts w:ascii="Times New Roman" w:hAnsi="Times New Roman" w:cs="Times New Roman"/>
          <w:sz w:val="20"/>
          <w:szCs w:val="20"/>
        </w:rPr>
        <w:t xml:space="preserve">, </w:t>
      </w:r>
      <w:r w:rsidRPr="004D664A">
        <w:rPr>
          <w:rFonts w:ascii="Times New Roman" w:hAnsi="Times New Roman" w:cs="Times New Roman"/>
          <w:sz w:val="20"/>
          <w:szCs w:val="20"/>
        </w:rPr>
        <w:t xml:space="preserve">B) </w:t>
      </w:r>
      <w:r w:rsidR="0005607B" w:rsidRPr="004D664A">
        <w:rPr>
          <w:rFonts w:ascii="Times New Roman" w:hAnsi="Times New Roman" w:cs="Times New Roman"/>
          <w:sz w:val="20"/>
          <w:szCs w:val="20"/>
        </w:rPr>
        <w:t xml:space="preserve">Volcano plots showing differential gene expression between wildtype and </w:t>
      </w:r>
      <w:r w:rsidR="0005607B" w:rsidRPr="004D664A">
        <w:rPr>
          <w:rFonts w:ascii="Times New Roman" w:hAnsi="Times New Roman" w:cs="Times New Roman"/>
          <w:i/>
          <w:sz w:val="20"/>
          <w:szCs w:val="20"/>
        </w:rPr>
        <w:t>Pax4</w:t>
      </w:r>
      <w:r w:rsidR="0005607B" w:rsidRPr="004D664A">
        <w:rPr>
          <w:rFonts w:ascii="Times New Roman" w:hAnsi="Times New Roman" w:cs="Times New Roman"/>
          <w:sz w:val="20"/>
          <w:szCs w:val="20"/>
        </w:rPr>
        <w:t xml:space="preserve"> R192H mice within each diet condition: (A) SCD at 12 weeks; (B) HFD at 16 weeks. </w:t>
      </w:r>
      <w:r w:rsidRPr="004D664A">
        <w:rPr>
          <w:rFonts w:ascii="Times New Roman" w:hAnsi="Times New Roman" w:cs="Times New Roman"/>
          <w:sz w:val="20"/>
          <w:szCs w:val="20"/>
        </w:rPr>
        <w:t>Vertical lines indicate |log</w:t>
      </w:r>
      <w:r w:rsidRPr="004D664A">
        <w:rPr>
          <w:rFonts w:ascii="Times New Roman" w:hAnsi="Times New Roman" w:cs="Times New Roman"/>
          <w:sz w:val="20"/>
          <w:szCs w:val="20"/>
          <w:vertAlign w:val="subscript"/>
        </w:rPr>
        <w:t>2</w:t>
      </w:r>
      <w:r w:rsidRPr="004D664A">
        <w:rPr>
          <w:rFonts w:ascii="Times New Roman" w:hAnsi="Times New Roman" w:cs="Times New Roman"/>
          <w:sz w:val="20"/>
          <w:szCs w:val="20"/>
        </w:rPr>
        <w:t>(fold change)| = 0.5, and horizontal line indicates -log</w:t>
      </w:r>
      <w:r w:rsidRPr="004D664A">
        <w:rPr>
          <w:rFonts w:ascii="Times New Roman" w:hAnsi="Times New Roman" w:cs="Times New Roman"/>
          <w:sz w:val="20"/>
          <w:szCs w:val="20"/>
          <w:vertAlign w:val="subscript"/>
        </w:rPr>
        <w:t>10</w:t>
      </w:r>
      <w:r w:rsidRPr="004D664A">
        <w:rPr>
          <w:rFonts w:ascii="Times New Roman" w:hAnsi="Times New Roman" w:cs="Times New Roman"/>
          <w:sz w:val="20"/>
          <w:szCs w:val="20"/>
        </w:rPr>
        <w:t xml:space="preserve">(adjusted </w:t>
      </w:r>
      <w:r w:rsidR="00AC63D4" w:rsidRPr="004D664A">
        <w:rPr>
          <w:rFonts w:ascii="Times New Roman" w:hAnsi="Times New Roman" w:cs="Times New Roman"/>
          <w:i/>
          <w:iCs/>
          <w:sz w:val="20"/>
          <w:szCs w:val="20"/>
          <w:lang w:eastAsia="ko-KR"/>
        </w:rPr>
        <w:t>P</w:t>
      </w:r>
      <w:r w:rsidR="00AC63D4" w:rsidRPr="004D664A">
        <w:rPr>
          <w:rFonts w:ascii="Times New Roman" w:hAnsi="Times New Roman" w:cs="Times New Roman" w:hint="eastAsia"/>
          <w:sz w:val="20"/>
          <w:szCs w:val="20"/>
          <w:lang w:eastAsia="ko-KR"/>
        </w:rPr>
        <w:t xml:space="preserve"> </w:t>
      </w:r>
      <w:r w:rsidRPr="004D664A">
        <w:rPr>
          <w:rFonts w:ascii="Times New Roman" w:hAnsi="Times New Roman" w:cs="Times New Roman"/>
          <w:sz w:val="20"/>
          <w:szCs w:val="20"/>
        </w:rPr>
        <w:t>value) = 1.3. (C</w:t>
      </w:r>
      <w:r w:rsidR="00EE268F" w:rsidRPr="004D664A">
        <w:rPr>
          <w:rFonts w:ascii="Times New Roman" w:hAnsi="Times New Roman" w:cs="Times New Roman"/>
          <w:sz w:val="20"/>
          <w:szCs w:val="20"/>
        </w:rPr>
        <w:t xml:space="preserve">, </w:t>
      </w:r>
      <w:r w:rsidRPr="004D664A">
        <w:rPr>
          <w:rFonts w:ascii="Times New Roman" w:hAnsi="Times New Roman" w:cs="Times New Roman"/>
          <w:sz w:val="20"/>
          <w:szCs w:val="20"/>
        </w:rPr>
        <w:t xml:space="preserve">D) Results of over-representation analysis </w:t>
      </w:r>
      <w:r w:rsidRPr="00CF59BD">
        <w:rPr>
          <w:rFonts w:ascii="Times New Roman" w:hAnsi="Times New Roman" w:cs="Times New Roman"/>
          <w:sz w:val="20"/>
          <w:szCs w:val="20"/>
        </w:rPr>
        <w:t xml:space="preserve">showing gene sets </w:t>
      </w:r>
      <w:r w:rsidR="000358C3">
        <w:rPr>
          <w:rFonts w:ascii="Times New Roman" w:hAnsi="Times New Roman" w:cs="Times New Roman"/>
          <w:sz w:val="20"/>
          <w:szCs w:val="20"/>
        </w:rPr>
        <w:t>in the</w:t>
      </w:r>
      <w:r w:rsidRPr="00CF59BD">
        <w:rPr>
          <w:rFonts w:ascii="Times New Roman" w:hAnsi="Times New Roman" w:cs="Times New Roman"/>
          <w:sz w:val="20"/>
          <w:szCs w:val="20"/>
        </w:rPr>
        <w:t xml:space="preserve"> GO Biological Process pathway upregulated (C) or downregulated (D) in </w:t>
      </w:r>
      <w:r w:rsidRPr="00CF59BD">
        <w:rPr>
          <w:rFonts w:ascii="Times New Roman" w:hAnsi="Times New Roman" w:cs="Times New Roman"/>
          <w:i/>
          <w:iCs/>
          <w:sz w:val="20"/>
          <w:szCs w:val="20"/>
        </w:rPr>
        <w:t>Pax4</w:t>
      </w:r>
      <w:r w:rsidRPr="00CF59BD">
        <w:rPr>
          <w:rFonts w:ascii="Times New Roman" w:hAnsi="Times New Roman" w:cs="Times New Roman"/>
          <w:sz w:val="20"/>
          <w:szCs w:val="20"/>
        </w:rPr>
        <w:t xml:space="preserve"> R192H islets under high fat diet (16-week-old). </w:t>
      </w:r>
    </w:p>
    <w:p w14:paraId="407949C7" w14:textId="77777777" w:rsidR="003B08A8" w:rsidRPr="00742791" w:rsidRDefault="003B08A8" w:rsidP="003B08A8">
      <w:pPr>
        <w:spacing w:line="240" w:lineRule="auto"/>
        <w:jc w:val="both"/>
        <w:rPr>
          <w:rFonts w:ascii="Times New Roman" w:hAnsi="Times New Roman" w:cs="Times New Roman"/>
          <w:sz w:val="20"/>
          <w:szCs w:val="20"/>
        </w:rPr>
      </w:pPr>
      <w:r w:rsidRPr="00742791">
        <w:rPr>
          <w:rFonts w:ascii="Times New Roman" w:hAnsi="Times New Roman" w:cs="Times New Roman"/>
          <w:sz w:val="20"/>
          <w:szCs w:val="20"/>
        </w:rPr>
        <w:br w:type="page"/>
      </w:r>
    </w:p>
    <w:p w14:paraId="6CBF9DD8" w14:textId="622CA653" w:rsidR="007C7723" w:rsidRDefault="003F405D" w:rsidP="003B08A8">
      <w:pPr>
        <w:spacing w:after="120" w:line="240" w:lineRule="auto"/>
        <w:contextualSpacing/>
        <w:jc w:val="both"/>
        <w:rPr>
          <w:rFonts w:ascii="Times New Roman" w:hAnsi="Times New Roman" w:cs="Times New Roman"/>
          <w:sz w:val="20"/>
          <w:szCs w:val="20"/>
        </w:rPr>
      </w:pPr>
      <w:r>
        <w:rPr>
          <w:rFonts w:ascii="Times New Roman" w:hAnsi="Times New Roman" w:cs="Times New Roman"/>
          <w:noProof/>
          <w:sz w:val="20"/>
          <w:szCs w:val="20"/>
          <w:lang w:eastAsia="ko-KR"/>
        </w:rPr>
        <w:lastRenderedPageBreak/>
        <w:drawing>
          <wp:inline distT="0" distB="0" distL="0" distR="0" wp14:anchorId="65F5A6E6" wp14:editId="23C4017F">
            <wp:extent cx="6188710" cy="6661785"/>
            <wp:effectExtent l="0" t="0" r="2540" b="571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88710" cy="6661785"/>
                    </a:xfrm>
                    <a:prstGeom prst="rect">
                      <a:avLst/>
                    </a:prstGeom>
                  </pic:spPr>
                </pic:pic>
              </a:graphicData>
            </a:graphic>
          </wp:inline>
        </w:drawing>
      </w:r>
    </w:p>
    <w:p w14:paraId="1804E443" w14:textId="77777777" w:rsidR="008F455C" w:rsidRPr="00742791" w:rsidRDefault="008F455C" w:rsidP="003B08A8">
      <w:pPr>
        <w:spacing w:after="120" w:line="240" w:lineRule="auto"/>
        <w:contextualSpacing/>
        <w:jc w:val="both"/>
        <w:rPr>
          <w:rFonts w:ascii="Times New Roman" w:hAnsi="Times New Roman" w:cs="Times New Roman"/>
          <w:sz w:val="20"/>
          <w:szCs w:val="20"/>
        </w:rPr>
      </w:pPr>
    </w:p>
    <w:p w14:paraId="34705337" w14:textId="4BE13CB4" w:rsidR="00CF59BD" w:rsidRDefault="0001131B" w:rsidP="003B08A8">
      <w:pPr>
        <w:spacing w:after="120" w:line="240" w:lineRule="auto"/>
        <w:contextualSpacing/>
        <w:jc w:val="both"/>
        <w:rPr>
          <w:rFonts w:ascii="Times New Roman" w:hAnsi="Times New Roman" w:cs="Times New Roman"/>
          <w:b/>
          <w:sz w:val="20"/>
          <w:szCs w:val="20"/>
        </w:rPr>
      </w:pPr>
      <w:r w:rsidRPr="009601DE">
        <w:rPr>
          <w:rFonts w:ascii="Times New Roman" w:hAnsi="Times New Roman" w:cs="Times New Roman"/>
          <w:b/>
          <w:sz w:val="20"/>
          <w:szCs w:val="20"/>
        </w:rPr>
        <w:t>Supplementary</w:t>
      </w:r>
      <w:r w:rsidRPr="00742791">
        <w:rPr>
          <w:rFonts w:ascii="Times New Roman" w:hAnsi="Times New Roman" w:cs="Times New Roman"/>
          <w:b/>
          <w:sz w:val="20"/>
          <w:szCs w:val="20"/>
        </w:rPr>
        <w:t xml:space="preserve"> </w:t>
      </w:r>
      <w:r w:rsidR="007C7723" w:rsidRPr="00742791">
        <w:rPr>
          <w:rFonts w:ascii="Times New Roman" w:hAnsi="Times New Roman" w:cs="Times New Roman"/>
          <w:b/>
          <w:sz w:val="20"/>
          <w:szCs w:val="20"/>
        </w:rPr>
        <w:t xml:space="preserve">Figure </w:t>
      </w:r>
      <w:r w:rsidR="006721FD">
        <w:rPr>
          <w:rFonts w:ascii="Times New Roman" w:hAnsi="Times New Roman" w:cs="Times New Roman"/>
          <w:b/>
          <w:sz w:val="20"/>
          <w:szCs w:val="20"/>
        </w:rPr>
        <w:t>5</w:t>
      </w:r>
      <w:r w:rsidR="007C7723" w:rsidRPr="00742791">
        <w:rPr>
          <w:rFonts w:ascii="Times New Roman" w:hAnsi="Times New Roman" w:cs="Times New Roman"/>
          <w:b/>
          <w:sz w:val="20"/>
          <w:szCs w:val="20"/>
        </w:rPr>
        <w:t xml:space="preserve">. </w:t>
      </w:r>
      <w:r w:rsidR="00CF59BD" w:rsidRPr="00CF59BD">
        <w:rPr>
          <w:rFonts w:ascii="Times New Roman" w:hAnsi="Times New Roman" w:cs="Times New Roman"/>
          <w:b/>
          <w:i/>
          <w:iCs/>
          <w:sz w:val="20"/>
          <w:szCs w:val="20"/>
        </w:rPr>
        <w:t>Pax4</w:t>
      </w:r>
      <w:r w:rsidR="00CF59BD" w:rsidRPr="00CF59BD">
        <w:rPr>
          <w:rFonts w:ascii="Times New Roman" w:hAnsi="Times New Roman" w:cs="Times New Roman"/>
          <w:b/>
          <w:sz w:val="20"/>
          <w:szCs w:val="20"/>
        </w:rPr>
        <w:t xml:space="preserve"> variant induces distinct transcriptomic changes in β cells compared to other endocrine cells </w:t>
      </w:r>
    </w:p>
    <w:p w14:paraId="2A569EAE" w14:textId="6D11A0C8" w:rsidR="00CD33B3" w:rsidRPr="00742791" w:rsidRDefault="00CF59BD" w:rsidP="00F82627">
      <w:pPr>
        <w:spacing w:after="120" w:line="240" w:lineRule="auto"/>
        <w:contextualSpacing/>
        <w:jc w:val="both"/>
        <w:rPr>
          <w:rFonts w:ascii="Times New Roman" w:eastAsia="MS Mincho" w:hAnsi="Times New Roman" w:cs="Times New Roman"/>
          <w:b/>
          <w:caps/>
          <w:sz w:val="20"/>
          <w:szCs w:val="20"/>
        </w:rPr>
      </w:pPr>
      <w:r w:rsidRPr="00CF59BD">
        <w:rPr>
          <w:rFonts w:ascii="Times New Roman" w:hAnsi="Times New Roman" w:cs="Times New Roman"/>
          <w:sz w:val="20"/>
          <w:szCs w:val="20"/>
        </w:rPr>
        <w:t xml:space="preserve">(A) UMAP plot of pancreatic endocrine cells from wildtype and </w:t>
      </w:r>
      <w:r w:rsidRPr="00CF59BD">
        <w:rPr>
          <w:rFonts w:ascii="Times New Roman" w:hAnsi="Times New Roman" w:cs="Times New Roman"/>
          <w:i/>
          <w:iCs/>
          <w:sz w:val="20"/>
          <w:szCs w:val="20"/>
        </w:rPr>
        <w:t>Pax4</w:t>
      </w:r>
      <w:r w:rsidRPr="00CF59BD">
        <w:rPr>
          <w:rFonts w:ascii="Times New Roman" w:hAnsi="Times New Roman" w:cs="Times New Roman"/>
          <w:sz w:val="20"/>
          <w:szCs w:val="20"/>
        </w:rPr>
        <w:t xml:space="preserve"> R192H mice fed standard chow diet (12-week-old) or high fat diet (16-week-old). Colors represent a distinct cell </w:t>
      </w:r>
      <w:r w:rsidR="00AC63D4" w:rsidRPr="00CF59BD">
        <w:rPr>
          <w:rFonts w:ascii="Times New Roman" w:hAnsi="Times New Roman" w:cs="Times New Roman"/>
          <w:sz w:val="20"/>
          <w:szCs w:val="20"/>
        </w:rPr>
        <w:t>cluster</w:t>
      </w:r>
      <w:r w:rsidRPr="00CF59BD">
        <w:rPr>
          <w:rFonts w:ascii="Times New Roman" w:hAnsi="Times New Roman" w:cs="Times New Roman"/>
          <w:sz w:val="20"/>
          <w:szCs w:val="20"/>
        </w:rPr>
        <w:t xml:space="preserve">. (B) Composition pattern of cell clusters in wildtype and </w:t>
      </w:r>
      <w:r w:rsidRPr="00CF59BD">
        <w:rPr>
          <w:rFonts w:ascii="Times New Roman" w:hAnsi="Times New Roman" w:cs="Times New Roman"/>
          <w:i/>
          <w:iCs/>
          <w:sz w:val="20"/>
          <w:szCs w:val="20"/>
        </w:rPr>
        <w:t>Pax4</w:t>
      </w:r>
      <w:r w:rsidRPr="00CF59BD">
        <w:rPr>
          <w:rFonts w:ascii="Times New Roman" w:hAnsi="Times New Roman" w:cs="Times New Roman"/>
          <w:sz w:val="20"/>
          <w:szCs w:val="20"/>
        </w:rPr>
        <w:t xml:space="preserve"> R192H mice fed standard chow diet (12-week-old) or high fat diet (16-week-old)</w:t>
      </w:r>
      <w:r w:rsidR="00403E70">
        <w:rPr>
          <w:rFonts w:ascii="Times New Roman" w:hAnsi="Times New Roman" w:cs="Times New Roman"/>
          <w:sz w:val="20"/>
          <w:szCs w:val="20"/>
        </w:rPr>
        <w:t>.</w:t>
      </w:r>
      <w:r w:rsidRPr="00CF59BD">
        <w:rPr>
          <w:rFonts w:ascii="Times New Roman" w:hAnsi="Times New Roman" w:cs="Times New Roman"/>
          <w:sz w:val="20"/>
          <w:szCs w:val="20"/>
        </w:rPr>
        <w:t xml:space="preserve"> (C) Dot plot showing relative expression of endocrine cell markers in each </w:t>
      </w:r>
      <w:r w:rsidR="00AC63D4" w:rsidRPr="00CF59BD">
        <w:rPr>
          <w:rFonts w:ascii="Times New Roman" w:hAnsi="Times New Roman" w:cs="Times New Roman"/>
          <w:sz w:val="20"/>
          <w:szCs w:val="20"/>
        </w:rPr>
        <w:t>cluster</w:t>
      </w:r>
      <w:r w:rsidRPr="00CF59BD">
        <w:rPr>
          <w:rFonts w:ascii="Times New Roman" w:hAnsi="Times New Roman" w:cs="Times New Roman"/>
          <w:sz w:val="20"/>
          <w:szCs w:val="20"/>
        </w:rPr>
        <w:t xml:space="preserve">. Colors indicate relative expression levels and dot sizes indicate percentage of cells expressing each </w:t>
      </w:r>
      <w:r w:rsidR="00AC63D4" w:rsidRPr="00CF59BD">
        <w:rPr>
          <w:rFonts w:ascii="Times New Roman" w:hAnsi="Times New Roman" w:cs="Times New Roman"/>
          <w:sz w:val="20"/>
          <w:szCs w:val="20"/>
        </w:rPr>
        <w:t>gene</w:t>
      </w:r>
      <w:r w:rsidRPr="00CF59BD">
        <w:rPr>
          <w:rFonts w:ascii="Times New Roman" w:hAnsi="Times New Roman" w:cs="Times New Roman"/>
          <w:sz w:val="20"/>
          <w:szCs w:val="20"/>
        </w:rPr>
        <w:t>. (D) UMAP plots showing the scaled expression of representative islet hormone genes (</w:t>
      </w:r>
      <w:r w:rsidRPr="00CF59BD">
        <w:rPr>
          <w:rFonts w:ascii="Times New Roman" w:hAnsi="Times New Roman" w:cs="Times New Roman"/>
          <w:i/>
          <w:iCs/>
          <w:sz w:val="20"/>
          <w:szCs w:val="20"/>
        </w:rPr>
        <w:t>Ins1</w:t>
      </w:r>
      <w:r w:rsidRPr="00CF59BD">
        <w:rPr>
          <w:rFonts w:ascii="Times New Roman" w:hAnsi="Times New Roman" w:cs="Times New Roman"/>
          <w:sz w:val="20"/>
          <w:szCs w:val="20"/>
        </w:rPr>
        <w:t xml:space="preserve">, </w:t>
      </w:r>
      <w:r w:rsidRPr="00CF59BD">
        <w:rPr>
          <w:rFonts w:ascii="Times New Roman" w:hAnsi="Times New Roman" w:cs="Times New Roman"/>
          <w:i/>
          <w:iCs/>
          <w:sz w:val="20"/>
          <w:szCs w:val="20"/>
        </w:rPr>
        <w:t>Gcg</w:t>
      </w:r>
      <w:r w:rsidRPr="00CF59BD">
        <w:rPr>
          <w:rFonts w:ascii="Times New Roman" w:hAnsi="Times New Roman" w:cs="Times New Roman"/>
          <w:sz w:val="20"/>
          <w:szCs w:val="20"/>
        </w:rPr>
        <w:t xml:space="preserve">, </w:t>
      </w:r>
      <w:r w:rsidRPr="00CF59BD">
        <w:rPr>
          <w:rFonts w:ascii="Times New Roman" w:hAnsi="Times New Roman" w:cs="Times New Roman"/>
          <w:i/>
          <w:iCs/>
          <w:sz w:val="20"/>
          <w:szCs w:val="20"/>
        </w:rPr>
        <w:t>Sst</w:t>
      </w:r>
      <w:r w:rsidRPr="00CF59BD">
        <w:rPr>
          <w:rFonts w:ascii="Times New Roman" w:hAnsi="Times New Roman" w:cs="Times New Roman"/>
          <w:sz w:val="20"/>
          <w:szCs w:val="20"/>
        </w:rPr>
        <w:t xml:space="preserve">, and </w:t>
      </w:r>
      <w:r w:rsidRPr="00CF59BD">
        <w:rPr>
          <w:rFonts w:ascii="Times New Roman" w:hAnsi="Times New Roman" w:cs="Times New Roman"/>
          <w:i/>
          <w:iCs/>
          <w:sz w:val="20"/>
          <w:szCs w:val="20"/>
        </w:rPr>
        <w:t>Ppy</w:t>
      </w:r>
      <w:r w:rsidRPr="00CF59BD">
        <w:rPr>
          <w:rFonts w:ascii="Times New Roman" w:hAnsi="Times New Roman" w:cs="Times New Roman"/>
          <w:sz w:val="20"/>
          <w:szCs w:val="20"/>
        </w:rPr>
        <w:t>) (E</w:t>
      </w:r>
      <w:r w:rsidR="00EE268F" w:rsidRPr="00C865F1">
        <w:rPr>
          <w:rFonts w:ascii="Times New Roman" w:eastAsia="바탕체" w:hAnsi="Times New Roman" w:cs="Times New Roman"/>
          <w:sz w:val="24"/>
          <w:szCs w:val="24"/>
        </w:rPr>
        <w:t>–</w:t>
      </w:r>
      <w:r w:rsidRPr="00CF59BD">
        <w:rPr>
          <w:rFonts w:ascii="Times New Roman" w:hAnsi="Times New Roman" w:cs="Times New Roman"/>
          <w:sz w:val="20"/>
          <w:szCs w:val="20"/>
        </w:rPr>
        <w:t xml:space="preserve">H) Volcano plots showing differential gene expression in β cells (E), α cells (F), δ cells (G) or PP cells (H) between wildtype and </w:t>
      </w:r>
      <w:r w:rsidRPr="00CF59BD">
        <w:rPr>
          <w:rFonts w:ascii="Times New Roman" w:hAnsi="Times New Roman" w:cs="Times New Roman"/>
          <w:i/>
          <w:iCs/>
          <w:sz w:val="20"/>
          <w:szCs w:val="20"/>
        </w:rPr>
        <w:t>Pax4</w:t>
      </w:r>
      <w:r w:rsidRPr="00CF59BD">
        <w:rPr>
          <w:rFonts w:ascii="Times New Roman" w:hAnsi="Times New Roman" w:cs="Times New Roman"/>
          <w:sz w:val="20"/>
          <w:szCs w:val="20"/>
        </w:rPr>
        <w:t xml:space="preserve"> R192H under standard chow diet or high fat diet. Vertical lines indicate |log</w:t>
      </w:r>
      <w:r w:rsidRPr="00CF59BD">
        <w:rPr>
          <w:rFonts w:ascii="Times New Roman" w:hAnsi="Times New Roman" w:cs="Times New Roman"/>
          <w:sz w:val="20"/>
          <w:szCs w:val="20"/>
          <w:vertAlign w:val="subscript"/>
        </w:rPr>
        <w:t>2</w:t>
      </w:r>
      <w:r w:rsidRPr="00CF59BD">
        <w:rPr>
          <w:rFonts w:ascii="Times New Roman" w:hAnsi="Times New Roman" w:cs="Times New Roman"/>
          <w:sz w:val="20"/>
          <w:szCs w:val="20"/>
        </w:rPr>
        <w:t>(fold change)| = 0.5, and horizontal line indicates -log</w:t>
      </w:r>
      <w:r w:rsidRPr="00CF59BD">
        <w:rPr>
          <w:rFonts w:ascii="Times New Roman" w:hAnsi="Times New Roman" w:cs="Times New Roman"/>
          <w:sz w:val="20"/>
          <w:szCs w:val="20"/>
          <w:vertAlign w:val="subscript"/>
        </w:rPr>
        <w:t>10</w:t>
      </w:r>
      <w:r w:rsidRPr="00CF59BD">
        <w:rPr>
          <w:rFonts w:ascii="Times New Roman" w:hAnsi="Times New Roman" w:cs="Times New Roman"/>
          <w:sz w:val="20"/>
          <w:szCs w:val="20"/>
        </w:rPr>
        <w:t>(p-adj) = 2. WT</w:t>
      </w:r>
      <w:r w:rsidR="007B2108">
        <w:rPr>
          <w:rFonts w:ascii="Times New Roman" w:hAnsi="Times New Roman" w:cs="Times New Roman"/>
          <w:sz w:val="20"/>
          <w:szCs w:val="20"/>
        </w:rPr>
        <w:t xml:space="preserve"> </w:t>
      </w:r>
      <w:r w:rsidRPr="00CF59BD">
        <w:rPr>
          <w:rFonts w:ascii="Times New Roman" w:hAnsi="Times New Roman" w:cs="Times New Roman"/>
          <w:sz w:val="20"/>
          <w:szCs w:val="20"/>
        </w:rPr>
        <w:t>SCD, wildtype with standard chow diet; HH</w:t>
      </w:r>
      <w:r w:rsidR="007B2108">
        <w:rPr>
          <w:rFonts w:ascii="Times New Roman" w:hAnsi="Times New Roman" w:cs="Times New Roman"/>
          <w:sz w:val="20"/>
          <w:szCs w:val="20"/>
        </w:rPr>
        <w:t xml:space="preserve"> </w:t>
      </w:r>
      <w:r w:rsidRPr="00CF59BD">
        <w:rPr>
          <w:rFonts w:ascii="Times New Roman" w:hAnsi="Times New Roman" w:cs="Times New Roman"/>
          <w:sz w:val="20"/>
          <w:szCs w:val="20"/>
        </w:rPr>
        <w:t xml:space="preserve">SCD, </w:t>
      </w:r>
      <w:r w:rsidRPr="00CF59BD">
        <w:rPr>
          <w:rFonts w:ascii="Times New Roman" w:hAnsi="Times New Roman" w:cs="Times New Roman"/>
          <w:i/>
          <w:iCs/>
          <w:sz w:val="20"/>
          <w:szCs w:val="20"/>
        </w:rPr>
        <w:t>Pax4</w:t>
      </w:r>
      <w:r w:rsidRPr="00CF59BD">
        <w:rPr>
          <w:rFonts w:ascii="Times New Roman" w:hAnsi="Times New Roman" w:cs="Times New Roman"/>
          <w:sz w:val="20"/>
          <w:szCs w:val="20"/>
        </w:rPr>
        <w:t xml:space="preserve"> R192H </w:t>
      </w:r>
      <w:r w:rsidR="00382A20">
        <w:rPr>
          <w:rFonts w:ascii="Times New Roman" w:hAnsi="Times New Roman" w:cs="Times New Roman" w:hint="eastAsia"/>
          <w:sz w:val="20"/>
          <w:szCs w:val="20"/>
          <w:lang w:eastAsia="ko-KR"/>
        </w:rPr>
        <w:t>homozygous knock-in</w:t>
      </w:r>
      <w:r w:rsidR="00382A20" w:rsidRPr="00CF59BD">
        <w:rPr>
          <w:rFonts w:ascii="Times New Roman" w:hAnsi="Times New Roman" w:cs="Times New Roman"/>
          <w:sz w:val="20"/>
          <w:szCs w:val="20"/>
        </w:rPr>
        <w:t xml:space="preserve"> </w:t>
      </w:r>
      <w:r w:rsidRPr="00CF59BD">
        <w:rPr>
          <w:rFonts w:ascii="Times New Roman" w:hAnsi="Times New Roman" w:cs="Times New Roman"/>
          <w:sz w:val="20"/>
          <w:szCs w:val="20"/>
        </w:rPr>
        <w:t>with standard chow diet; WT</w:t>
      </w:r>
      <w:r w:rsidR="007B2108">
        <w:rPr>
          <w:rFonts w:ascii="Times New Roman" w:hAnsi="Times New Roman" w:cs="Times New Roman"/>
          <w:sz w:val="20"/>
          <w:szCs w:val="20"/>
        </w:rPr>
        <w:t xml:space="preserve"> </w:t>
      </w:r>
      <w:r w:rsidRPr="00CF59BD">
        <w:rPr>
          <w:rFonts w:ascii="Times New Roman" w:hAnsi="Times New Roman" w:cs="Times New Roman"/>
          <w:sz w:val="20"/>
          <w:szCs w:val="20"/>
        </w:rPr>
        <w:t>HFD, wildtype with high fat diet; HH</w:t>
      </w:r>
      <w:r w:rsidR="007B2108">
        <w:rPr>
          <w:rFonts w:ascii="Times New Roman" w:hAnsi="Times New Roman" w:cs="Times New Roman"/>
          <w:sz w:val="20"/>
          <w:szCs w:val="20"/>
        </w:rPr>
        <w:t xml:space="preserve"> </w:t>
      </w:r>
      <w:r w:rsidRPr="00CF59BD">
        <w:rPr>
          <w:rFonts w:ascii="Times New Roman" w:hAnsi="Times New Roman" w:cs="Times New Roman"/>
          <w:sz w:val="20"/>
          <w:szCs w:val="20"/>
        </w:rPr>
        <w:t xml:space="preserve">HFD, </w:t>
      </w:r>
      <w:r w:rsidRPr="00CF59BD">
        <w:rPr>
          <w:rFonts w:ascii="Times New Roman" w:hAnsi="Times New Roman" w:cs="Times New Roman"/>
          <w:i/>
          <w:iCs/>
          <w:sz w:val="20"/>
          <w:szCs w:val="20"/>
        </w:rPr>
        <w:t>Pax4</w:t>
      </w:r>
      <w:r w:rsidRPr="00CF59BD">
        <w:rPr>
          <w:rFonts w:ascii="Times New Roman" w:hAnsi="Times New Roman" w:cs="Times New Roman"/>
          <w:sz w:val="20"/>
          <w:szCs w:val="20"/>
        </w:rPr>
        <w:t xml:space="preserve"> R192H</w:t>
      </w:r>
      <w:r w:rsidR="00AC63D4" w:rsidRPr="00AC63D4">
        <w:rPr>
          <w:rFonts w:ascii="Times New Roman" w:hAnsi="Times New Roman" w:cs="Times New Roman"/>
          <w:i/>
          <w:iCs/>
          <w:sz w:val="20"/>
          <w:szCs w:val="20"/>
        </w:rPr>
        <w:t xml:space="preserve"> </w:t>
      </w:r>
      <w:r w:rsidR="00AC63D4">
        <w:rPr>
          <w:rFonts w:ascii="Times New Roman" w:hAnsi="Times New Roman" w:cs="Times New Roman" w:hint="eastAsia"/>
          <w:sz w:val="20"/>
          <w:szCs w:val="20"/>
          <w:lang w:eastAsia="ko-KR"/>
        </w:rPr>
        <w:t>homozygous knock-in</w:t>
      </w:r>
      <w:r w:rsidRPr="00CF59BD">
        <w:rPr>
          <w:rFonts w:ascii="Times New Roman" w:hAnsi="Times New Roman" w:cs="Times New Roman"/>
          <w:sz w:val="20"/>
          <w:szCs w:val="20"/>
        </w:rPr>
        <w:t xml:space="preserve"> with high fat diet.</w:t>
      </w:r>
      <w:r w:rsidR="00DF07F6" w:rsidRPr="00DF07F6">
        <w:t xml:space="preserve"> </w:t>
      </w:r>
    </w:p>
    <w:p w14:paraId="7F7E9CE2" w14:textId="77777777" w:rsidR="00CD33B3" w:rsidRPr="00742791" w:rsidRDefault="00CD33B3">
      <w:pPr>
        <w:jc w:val="both"/>
        <w:rPr>
          <w:rFonts w:ascii="Times New Roman" w:eastAsia="MS Mincho" w:hAnsi="Times New Roman" w:cs="Times New Roman"/>
          <w:b/>
          <w:caps/>
          <w:sz w:val="20"/>
          <w:szCs w:val="20"/>
        </w:rPr>
      </w:pPr>
      <w:r w:rsidRPr="00742791">
        <w:rPr>
          <w:rFonts w:ascii="Times New Roman" w:eastAsia="MS Mincho" w:hAnsi="Times New Roman" w:cs="Times New Roman"/>
          <w:b/>
          <w:caps/>
          <w:sz w:val="20"/>
          <w:szCs w:val="20"/>
        </w:rPr>
        <w:br w:type="page"/>
      </w:r>
    </w:p>
    <w:p w14:paraId="1BAC046D" w14:textId="4839E725" w:rsidR="000C3EBC" w:rsidRDefault="0005607B" w:rsidP="00676404">
      <w:pPr>
        <w:spacing w:after="120" w:line="240" w:lineRule="auto"/>
        <w:contextualSpacing/>
        <w:jc w:val="both"/>
        <w:rPr>
          <w:rFonts w:ascii="Times New Roman" w:hAnsi="Times New Roman" w:cs="Times New Roman"/>
          <w:b/>
          <w:sz w:val="20"/>
          <w:szCs w:val="20"/>
        </w:rPr>
      </w:pPr>
      <w:r>
        <w:rPr>
          <w:rFonts w:ascii="Times New Roman" w:hAnsi="Times New Roman" w:cs="Times New Roman"/>
          <w:b/>
          <w:noProof/>
          <w:sz w:val="20"/>
          <w:szCs w:val="20"/>
          <w:lang w:eastAsia="ko-KR"/>
        </w:rPr>
        <w:lastRenderedPageBreak/>
        <w:drawing>
          <wp:inline distT="0" distB="0" distL="0" distR="0" wp14:anchorId="7065402B" wp14:editId="708C3AE7">
            <wp:extent cx="6188710" cy="5181600"/>
            <wp:effectExtent l="0" t="0" r="254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ppl Fig5.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88710" cy="5181600"/>
                    </a:xfrm>
                    <a:prstGeom prst="rect">
                      <a:avLst/>
                    </a:prstGeom>
                  </pic:spPr>
                </pic:pic>
              </a:graphicData>
            </a:graphic>
          </wp:inline>
        </w:drawing>
      </w:r>
    </w:p>
    <w:p w14:paraId="68627CAE" w14:textId="77777777" w:rsidR="008F455C" w:rsidRDefault="008F455C" w:rsidP="00676404">
      <w:pPr>
        <w:spacing w:after="120" w:line="240" w:lineRule="auto"/>
        <w:contextualSpacing/>
        <w:jc w:val="both"/>
        <w:rPr>
          <w:rFonts w:ascii="Times New Roman" w:hAnsi="Times New Roman" w:cs="Times New Roman"/>
          <w:b/>
          <w:sz w:val="20"/>
          <w:szCs w:val="20"/>
        </w:rPr>
      </w:pPr>
    </w:p>
    <w:p w14:paraId="21B2D95A" w14:textId="1AE294F8" w:rsidR="00DC453A" w:rsidRDefault="0001131B" w:rsidP="00676404">
      <w:pPr>
        <w:spacing w:after="120" w:line="240" w:lineRule="auto"/>
        <w:contextualSpacing/>
        <w:jc w:val="both"/>
        <w:rPr>
          <w:rFonts w:ascii="Times New Roman" w:hAnsi="Times New Roman" w:cs="Times New Roman"/>
          <w:b/>
          <w:sz w:val="20"/>
          <w:szCs w:val="20"/>
        </w:rPr>
      </w:pPr>
      <w:r w:rsidRPr="009601DE">
        <w:rPr>
          <w:rFonts w:ascii="Times New Roman" w:hAnsi="Times New Roman" w:cs="Times New Roman"/>
          <w:b/>
          <w:sz w:val="20"/>
          <w:szCs w:val="20"/>
        </w:rPr>
        <w:t>Supplementary</w:t>
      </w:r>
      <w:r w:rsidRPr="00742791">
        <w:rPr>
          <w:rFonts w:ascii="Times New Roman" w:hAnsi="Times New Roman" w:cs="Times New Roman"/>
          <w:b/>
          <w:sz w:val="20"/>
          <w:szCs w:val="20"/>
        </w:rPr>
        <w:t xml:space="preserve"> </w:t>
      </w:r>
      <w:r w:rsidR="00210EBE" w:rsidRPr="00742791">
        <w:rPr>
          <w:rFonts w:ascii="Times New Roman" w:hAnsi="Times New Roman" w:cs="Times New Roman"/>
          <w:b/>
          <w:sz w:val="20"/>
          <w:szCs w:val="20"/>
        </w:rPr>
        <w:t xml:space="preserve">Figure </w:t>
      </w:r>
      <w:r w:rsidR="006721FD">
        <w:rPr>
          <w:rFonts w:ascii="Times New Roman" w:hAnsi="Times New Roman" w:cs="Times New Roman"/>
          <w:b/>
          <w:sz w:val="20"/>
          <w:szCs w:val="20"/>
        </w:rPr>
        <w:t>6</w:t>
      </w:r>
      <w:r w:rsidR="00210EBE" w:rsidRPr="00742791">
        <w:rPr>
          <w:rFonts w:ascii="Times New Roman" w:hAnsi="Times New Roman" w:cs="Times New Roman"/>
          <w:b/>
          <w:sz w:val="20"/>
          <w:szCs w:val="20"/>
        </w:rPr>
        <w:t xml:space="preserve">. </w:t>
      </w:r>
      <w:r w:rsidR="00CF59BD" w:rsidRPr="00CF59BD">
        <w:rPr>
          <w:rFonts w:ascii="Times New Roman" w:hAnsi="Times New Roman" w:cs="Times New Roman"/>
          <w:b/>
          <w:i/>
          <w:iCs/>
          <w:sz w:val="20"/>
          <w:szCs w:val="20"/>
        </w:rPr>
        <w:t>Pax4</w:t>
      </w:r>
      <w:r w:rsidR="00CF59BD" w:rsidRPr="00CF59BD">
        <w:rPr>
          <w:rFonts w:ascii="Times New Roman" w:hAnsi="Times New Roman" w:cs="Times New Roman"/>
          <w:b/>
          <w:sz w:val="20"/>
          <w:szCs w:val="20"/>
        </w:rPr>
        <w:t xml:space="preserve"> variant induces loss of β cell identity with activation of UPR and translation process</w:t>
      </w:r>
    </w:p>
    <w:p w14:paraId="50CCE888" w14:textId="3BE9E588" w:rsidR="00210EBE" w:rsidRDefault="00CF59BD" w:rsidP="00676404">
      <w:pPr>
        <w:spacing w:after="120" w:line="240" w:lineRule="auto"/>
        <w:contextualSpacing/>
        <w:jc w:val="both"/>
        <w:rPr>
          <w:rFonts w:ascii="Times New Roman" w:hAnsi="Times New Roman" w:cs="Times New Roman"/>
          <w:sz w:val="20"/>
          <w:szCs w:val="20"/>
        </w:rPr>
      </w:pPr>
      <w:r w:rsidRPr="00CF59BD">
        <w:rPr>
          <w:rFonts w:ascii="Times New Roman" w:hAnsi="Times New Roman" w:cs="Times New Roman"/>
          <w:sz w:val="20"/>
          <w:szCs w:val="20"/>
        </w:rPr>
        <w:t xml:space="preserve">(A) UMAP plot showing pancreatic endocrine cells from wildtype and </w:t>
      </w:r>
      <w:r w:rsidRPr="00CF59BD">
        <w:rPr>
          <w:rFonts w:ascii="Times New Roman" w:hAnsi="Times New Roman" w:cs="Times New Roman"/>
          <w:i/>
          <w:iCs/>
          <w:sz w:val="20"/>
          <w:szCs w:val="20"/>
        </w:rPr>
        <w:t>Pax4</w:t>
      </w:r>
      <w:r w:rsidRPr="00CF59BD">
        <w:rPr>
          <w:rFonts w:ascii="Times New Roman" w:hAnsi="Times New Roman" w:cs="Times New Roman"/>
          <w:sz w:val="20"/>
          <w:szCs w:val="20"/>
        </w:rPr>
        <w:t xml:space="preserve"> R192H mice fed standard chow diet (12-week-old) or high fat diet (16-week-old). Colors represent cell </w:t>
      </w:r>
      <w:r w:rsidRPr="004D664A">
        <w:rPr>
          <w:rFonts w:ascii="Times New Roman" w:hAnsi="Times New Roman" w:cs="Times New Roman"/>
          <w:sz w:val="20"/>
          <w:szCs w:val="20"/>
        </w:rPr>
        <w:t xml:space="preserve">types. </w:t>
      </w:r>
      <w:r w:rsidR="0005607B" w:rsidRPr="004D664A">
        <w:rPr>
          <w:rFonts w:ascii="Times New Roman" w:hAnsi="Times New Roman" w:cs="Times New Roman"/>
          <w:sz w:val="20"/>
          <w:szCs w:val="20"/>
        </w:rPr>
        <w:t>(B) Dot plot showing expression levels of genes included in Gene Ontology (GO) terms identified by pathway analysis of β cell clusters. Colors indicate relative expression levels and dot sizes indicate percentage of cells expressing genes included in gene sets. (C)</w:t>
      </w:r>
      <w:r w:rsidRPr="004D664A">
        <w:rPr>
          <w:rFonts w:ascii="Times New Roman" w:hAnsi="Times New Roman" w:cs="Times New Roman"/>
          <w:sz w:val="20"/>
          <w:szCs w:val="20"/>
        </w:rPr>
        <w:t xml:space="preserve"> Dot plot showing relative expression of genes in gene sets termed 'Response to endoplasmic reticulum stress’ and ‘Cytoplasmic translation’ in β cell clusters. Colors indicate relative expression levels and dot sizes indicate percentage of cells e</w:t>
      </w:r>
      <w:r w:rsidR="0005607B" w:rsidRPr="004D664A">
        <w:rPr>
          <w:rFonts w:ascii="Times New Roman" w:hAnsi="Times New Roman" w:cs="Times New Roman"/>
          <w:sz w:val="20"/>
          <w:szCs w:val="20"/>
        </w:rPr>
        <w:t>xpressing each gene. (D</w:t>
      </w:r>
      <w:r w:rsidRPr="004D664A">
        <w:rPr>
          <w:rFonts w:ascii="Times New Roman" w:hAnsi="Times New Roman" w:cs="Times New Roman"/>
          <w:sz w:val="20"/>
          <w:szCs w:val="20"/>
        </w:rPr>
        <w:t xml:space="preserve">) Violin plot showing expression levels of </w:t>
      </w:r>
      <w:r w:rsidRPr="004D664A">
        <w:rPr>
          <w:rFonts w:ascii="Times New Roman" w:hAnsi="Times New Roman" w:cs="Times New Roman"/>
          <w:i/>
          <w:iCs/>
          <w:sz w:val="20"/>
          <w:szCs w:val="20"/>
        </w:rPr>
        <w:t xml:space="preserve">Aldh1a3 and Serpina7 </w:t>
      </w:r>
      <w:r w:rsidRPr="004D664A">
        <w:rPr>
          <w:rFonts w:ascii="Times New Roman" w:hAnsi="Times New Roman" w:cs="Times New Roman"/>
          <w:sz w:val="20"/>
          <w:szCs w:val="20"/>
        </w:rPr>
        <w:t>among β cell clusters. WT</w:t>
      </w:r>
      <w:r w:rsidR="007B2108" w:rsidRPr="004D664A">
        <w:rPr>
          <w:rFonts w:ascii="Times New Roman" w:hAnsi="Times New Roman" w:cs="Times New Roman"/>
          <w:sz w:val="20"/>
          <w:szCs w:val="20"/>
        </w:rPr>
        <w:t xml:space="preserve"> </w:t>
      </w:r>
      <w:r w:rsidRPr="004D664A">
        <w:rPr>
          <w:rFonts w:ascii="Times New Roman" w:hAnsi="Times New Roman" w:cs="Times New Roman"/>
          <w:sz w:val="20"/>
          <w:szCs w:val="20"/>
        </w:rPr>
        <w:t>SCD, wildtype with standard chow diet; HH</w:t>
      </w:r>
      <w:r w:rsidR="007B2108" w:rsidRPr="004D664A">
        <w:rPr>
          <w:rFonts w:ascii="Times New Roman" w:hAnsi="Times New Roman" w:cs="Times New Roman"/>
          <w:sz w:val="20"/>
          <w:szCs w:val="20"/>
        </w:rPr>
        <w:t xml:space="preserve"> </w:t>
      </w:r>
      <w:r w:rsidRPr="004D664A">
        <w:rPr>
          <w:rFonts w:ascii="Times New Roman" w:hAnsi="Times New Roman" w:cs="Times New Roman"/>
          <w:sz w:val="20"/>
          <w:szCs w:val="20"/>
        </w:rPr>
        <w:t xml:space="preserve">SCD, </w:t>
      </w:r>
      <w:r w:rsidRPr="004D664A">
        <w:rPr>
          <w:rFonts w:ascii="Times New Roman" w:hAnsi="Times New Roman" w:cs="Times New Roman"/>
          <w:i/>
          <w:iCs/>
          <w:sz w:val="20"/>
          <w:szCs w:val="20"/>
        </w:rPr>
        <w:t>Pax4</w:t>
      </w:r>
      <w:r w:rsidRPr="004D664A">
        <w:rPr>
          <w:rFonts w:ascii="Times New Roman" w:hAnsi="Times New Roman" w:cs="Times New Roman"/>
          <w:sz w:val="20"/>
          <w:szCs w:val="20"/>
        </w:rPr>
        <w:t xml:space="preserve"> R192H </w:t>
      </w:r>
      <w:r w:rsidR="00382A20" w:rsidRPr="004D664A">
        <w:rPr>
          <w:rFonts w:ascii="Times New Roman" w:hAnsi="Times New Roman" w:cs="Times New Roman" w:hint="eastAsia"/>
          <w:sz w:val="20"/>
          <w:szCs w:val="20"/>
          <w:lang w:eastAsia="ko-KR"/>
        </w:rPr>
        <w:t>homozygous knock-in</w:t>
      </w:r>
      <w:r w:rsidR="00382A20" w:rsidRPr="004D664A">
        <w:rPr>
          <w:rFonts w:ascii="Times New Roman" w:hAnsi="Times New Roman" w:cs="Times New Roman"/>
          <w:sz w:val="20"/>
          <w:szCs w:val="20"/>
        </w:rPr>
        <w:t xml:space="preserve"> </w:t>
      </w:r>
      <w:r w:rsidRPr="004D664A">
        <w:rPr>
          <w:rFonts w:ascii="Times New Roman" w:hAnsi="Times New Roman" w:cs="Times New Roman"/>
          <w:sz w:val="20"/>
          <w:szCs w:val="20"/>
        </w:rPr>
        <w:t>with standard chow diet; WT</w:t>
      </w:r>
      <w:r w:rsidR="007B2108" w:rsidRPr="004D664A">
        <w:rPr>
          <w:rFonts w:ascii="Times New Roman" w:hAnsi="Times New Roman" w:cs="Times New Roman"/>
          <w:sz w:val="20"/>
          <w:szCs w:val="20"/>
        </w:rPr>
        <w:t xml:space="preserve"> </w:t>
      </w:r>
      <w:r w:rsidRPr="004D664A">
        <w:rPr>
          <w:rFonts w:ascii="Times New Roman" w:hAnsi="Times New Roman" w:cs="Times New Roman"/>
          <w:sz w:val="20"/>
          <w:szCs w:val="20"/>
        </w:rPr>
        <w:t xml:space="preserve">HFD, wildtype with high fat diet; </w:t>
      </w:r>
      <w:r w:rsidRPr="00CF59BD">
        <w:rPr>
          <w:rFonts w:ascii="Times New Roman" w:hAnsi="Times New Roman" w:cs="Times New Roman"/>
          <w:sz w:val="20"/>
          <w:szCs w:val="20"/>
        </w:rPr>
        <w:t>HH</w:t>
      </w:r>
      <w:r w:rsidR="007B2108">
        <w:rPr>
          <w:rFonts w:ascii="Times New Roman" w:hAnsi="Times New Roman" w:cs="Times New Roman"/>
          <w:sz w:val="20"/>
          <w:szCs w:val="20"/>
        </w:rPr>
        <w:t xml:space="preserve"> </w:t>
      </w:r>
      <w:r w:rsidRPr="00CF59BD">
        <w:rPr>
          <w:rFonts w:ascii="Times New Roman" w:hAnsi="Times New Roman" w:cs="Times New Roman"/>
          <w:sz w:val="20"/>
          <w:szCs w:val="20"/>
        </w:rPr>
        <w:t xml:space="preserve">HFD, </w:t>
      </w:r>
      <w:r w:rsidRPr="00CF59BD">
        <w:rPr>
          <w:rFonts w:ascii="Times New Roman" w:hAnsi="Times New Roman" w:cs="Times New Roman"/>
          <w:i/>
          <w:iCs/>
          <w:sz w:val="20"/>
          <w:szCs w:val="20"/>
        </w:rPr>
        <w:t>Pax4</w:t>
      </w:r>
      <w:r w:rsidRPr="00CF59BD">
        <w:rPr>
          <w:rFonts w:ascii="Times New Roman" w:hAnsi="Times New Roman" w:cs="Times New Roman"/>
          <w:sz w:val="20"/>
          <w:szCs w:val="20"/>
        </w:rPr>
        <w:t xml:space="preserve"> R192H </w:t>
      </w:r>
      <w:r w:rsidR="00AC63D4">
        <w:rPr>
          <w:rFonts w:ascii="Times New Roman" w:hAnsi="Times New Roman" w:cs="Times New Roman" w:hint="eastAsia"/>
          <w:sz w:val="20"/>
          <w:szCs w:val="20"/>
          <w:lang w:eastAsia="ko-KR"/>
        </w:rPr>
        <w:t>homozygous knock-in</w:t>
      </w:r>
      <w:r w:rsidR="00AC63D4" w:rsidRPr="00CF59BD">
        <w:rPr>
          <w:rFonts w:ascii="Times New Roman" w:hAnsi="Times New Roman" w:cs="Times New Roman"/>
          <w:sz w:val="20"/>
          <w:szCs w:val="20"/>
        </w:rPr>
        <w:t xml:space="preserve"> </w:t>
      </w:r>
      <w:r w:rsidRPr="00CF59BD">
        <w:rPr>
          <w:rFonts w:ascii="Times New Roman" w:hAnsi="Times New Roman" w:cs="Times New Roman"/>
          <w:sz w:val="20"/>
          <w:szCs w:val="20"/>
        </w:rPr>
        <w:t xml:space="preserve">with high fat diet. </w:t>
      </w:r>
    </w:p>
    <w:p w14:paraId="3270E0C0" w14:textId="0F34A7A7" w:rsidR="00CF59BD" w:rsidRDefault="00CF59BD" w:rsidP="00BF5A63">
      <w:pPr>
        <w:spacing w:after="120" w:line="240" w:lineRule="auto"/>
        <w:contextualSpacing/>
        <w:jc w:val="both"/>
        <w:rPr>
          <w:rFonts w:ascii="Times New Roman" w:hAnsi="Times New Roman" w:cs="Times New Roman"/>
          <w:sz w:val="20"/>
          <w:szCs w:val="20"/>
        </w:rPr>
      </w:pPr>
      <w:r>
        <w:rPr>
          <w:rFonts w:ascii="Times New Roman" w:hAnsi="Times New Roman" w:cs="Times New Roman"/>
          <w:sz w:val="20"/>
          <w:szCs w:val="20"/>
        </w:rPr>
        <w:br w:type="page"/>
      </w:r>
    </w:p>
    <w:p w14:paraId="72106E82" w14:textId="319D463F" w:rsidR="00192B08" w:rsidRDefault="002C5B0B" w:rsidP="00BF5A63">
      <w:pPr>
        <w:spacing w:after="120" w:line="240" w:lineRule="auto"/>
        <w:contextualSpacing/>
        <w:jc w:val="both"/>
        <w:rPr>
          <w:rFonts w:ascii="Times New Roman" w:hAnsi="Times New Roman" w:cs="Times New Roman"/>
          <w:sz w:val="20"/>
          <w:szCs w:val="20"/>
        </w:rPr>
      </w:pPr>
      <w:r>
        <w:rPr>
          <w:rFonts w:ascii="Times New Roman" w:hAnsi="Times New Roman" w:cs="Times New Roman"/>
          <w:noProof/>
          <w:sz w:val="20"/>
          <w:szCs w:val="20"/>
          <w:lang w:eastAsia="ko-KR"/>
        </w:rPr>
        <w:lastRenderedPageBreak/>
        <w:drawing>
          <wp:inline distT="0" distB="0" distL="0" distR="0" wp14:anchorId="799CBF8B" wp14:editId="254CED05">
            <wp:extent cx="6188710" cy="1380490"/>
            <wp:effectExtent l="0" t="0" r="254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88710" cy="1380490"/>
                    </a:xfrm>
                    <a:prstGeom prst="rect">
                      <a:avLst/>
                    </a:prstGeom>
                  </pic:spPr>
                </pic:pic>
              </a:graphicData>
            </a:graphic>
          </wp:inline>
        </w:drawing>
      </w:r>
    </w:p>
    <w:p w14:paraId="5448FDE2" w14:textId="01799DD4" w:rsidR="00FA39DF" w:rsidRPr="004D664A" w:rsidRDefault="0001131B" w:rsidP="00686629">
      <w:pPr>
        <w:spacing w:after="120"/>
        <w:contextualSpacing/>
        <w:jc w:val="both"/>
        <w:rPr>
          <w:rFonts w:ascii="Times New Roman" w:hAnsi="Times New Roman" w:cs="Times New Roman"/>
          <w:b/>
          <w:iCs/>
          <w:sz w:val="20"/>
          <w:szCs w:val="20"/>
          <w:lang w:eastAsia="ko-KR"/>
        </w:rPr>
      </w:pPr>
      <w:r w:rsidRPr="004D664A">
        <w:rPr>
          <w:rFonts w:ascii="Times New Roman" w:hAnsi="Times New Roman" w:cs="Times New Roman"/>
          <w:b/>
          <w:sz w:val="20"/>
          <w:szCs w:val="20"/>
        </w:rPr>
        <w:t xml:space="preserve">Supplementary </w:t>
      </w:r>
      <w:r w:rsidR="00FA39DF" w:rsidRPr="004D664A">
        <w:rPr>
          <w:rFonts w:ascii="Times New Roman" w:hAnsi="Times New Roman" w:cs="Times New Roman"/>
          <w:b/>
          <w:sz w:val="20"/>
          <w:szCs w:val="20"/>
        </w:rPr>
        <w:t xml:space="preserve">Figure </w:t>
      </w:r>
      <w:r w:rsidR="006721FD" w:rsidRPr="004D664A">
        <w:rPr>
          <w:rFonts w:ascii="Times New Roman" w:hAnsi="Times New Roman" w:cs="Times New Roman"/>
          <w:b/>
          <w:sz w:val="20"/>
          <w:szCs w:val="20"/>
        </w:rPr>
        <w:t>7</w:t>
      </w:r>
      <w:r w:rsidR="00FA39DF" w:rsidRPr="004D664A">
        <w:rPr>
          <w:rFonts w:ascii="Times New Roman" w:hAnsi="Times New Roman" w:cs="Times New Roman"/>
          <w:b/>
          <w:sz w:val="20"/>
          <w:szCs w:val="20"/>
        </w:rPr>
        <w:t>.</w:t>
      </w:r>
      <w:r w:rsidR="00192B08" w:rsidRPr="004D664A">
        <w:rPr>
          <w:rFonts w:ascii="Times New Roman" w:hAnsi="Times New Roman" w:cs="Times New Roman"/>
          <w:b/>
          <w:i/>
          <w:iCs/>
          <w:sz w:val="20"/>
          <w:szCs w:val="20"/>
        </w:rPr>
        <w:t xml:space="preserve"> </w:t>
      </w:r>
      <w:r w:rsidR="00686629" w:rsidRPr="004D664A">
        <w:rPr>
          <w:rFonts w:ascii="Times New Roman" w:hAnsi="Times New Roman" w:cs="Times New Roman"/>
          <w:b/>
          <w:iCs/>
          <w:sz w:val="20"/>
          <w:szCs w:val="20"/>
        </w:rPr>
        <w:t xml:space="preserve">PAX4 binding targets are associated with </w:t>
      </w:r>
      <w:r w:rsidR="00686629" w:rsidRPr="004D664A">
        <w:rPr>
          <w:rFonts w:ascii="Times New Roman" w:hAnsi="Times New Roman" w:cs="Times New Roman"/>
          <w:b/>
          <w:iCs/>
          <w:sz w:val="20"/>
          <w:szCs w:val="20"/>
          <w:lang w:val="el-GR"/>
        </w:rPr>
        <w:t xml:space="preserve">β </w:t>
      </w:r>
      <w:r w:rsidR="00686629" w:rsidRPr="004D664A">
        <w:rPr>
          <w:rFonts w:ascii="Times New Roman" w:hAnsi="Times New Roman" w:cs="Times New Roman"/>
          <w:b/>
          <w:iCs/>
          <w:sz w:val="20"/>
          <w:szCs w:val="20"/>
        </w:rPr>
        <w:t>cell function</w:t>
      </w:r>
    </w:p>
    <w:p w14:paraId="532B87A1" w14:textId="759445DC" w:rsidR="00D10618" w:rsidRPr="004D664A" w:rsidRDefault="00192B08" w:rsidP="00192B08">
      <w:pPr>
        <w:spacing w:after="120" w:line="240" w:lineRule="auto"/>
        <w:contextualSpacing/>
        <w:jc w:val="both"/>
        <w:rPr>
          <w:rFonts w:ascii="Times New Roman" w:hAnsi="Times New Roman" w:cs="Times New Roman"/>
          <w:iCs/>
          <w:sz w:val="20"/>
          <w:szCs w:val="20"/>
        </w:rPr>
      </w:pPr>
      <w:r w:rsidRPr="004D664A">
        <w:rPr>
          <w:rFonts w:ascii="Times New Roman" w:hAnsi="Times New Roman" w:cs="Times New Roman"/>
          <w:iCs/>
          <w:sz w:val="20"/>
          <w:szCs w:val="20"/>
        </w:rPr>
        <w:t>(A) Venn diagram showing the num</w:t>
      </w:r>
      <w:r w:rsidR="005C775B" w:rsidRPr="004D664A">
        <w:rPr>
          <w:rFonts w:ascii="Times New Roman" w:hAnsi="Times New Roman" w:cs="Times New Roman"/>
          <w:iCs/>
          <w:sz w:val="20"/>
          <w:szCs w:val="20"/>
        </w:rPr>
        <w:t>ber of genes associated with PAX</w:t>
      </w:r>
      <w:r w:rsidRPr="004D664A">
        <w:rPr>
          <w:rFonts w:ascii="Times New Roman" w:hAnsi="Times New Roman" w:cs="Times New Roman"/>
          <w:iCs/>
          <w:sz w:val="20"/>
          <w:szCs w:val="20"/>
        </w:rPr>
        <w:t xml:space="preserve">4 binding peaks in EndoC-βH1 (Russ-Silsby et al. Mol Metab. 2025) and differentially expressed genes in β3 cluster from the scRNA-seq analysis in Figure 4. (B-D) Violin plots showing expression levels of </w:t>
      </w:r>
      <w:r w:rsidRPr="004D664A">
        <w:rPr>
          <w:rFonts w:ascii="Times New Roman" w:hAnsi="Times New Roman" w:cs="Times New Roman"/>
          <w:i/>
          <w:iCs/>
          <w:sz w:val="20"/>
          <w:szCs w:val="20"/>
        </w:rPr>
        <w:t>Glp1r</w:t>
      </w:r>
      <w:r w:rsidRPr="004D664A">
        <w:rPr>
          <w:rFonts w:ascii="Times New Roman" w:hAnsi="Times New Roman" w:cs="Times New Roman"/>
          <w:iCs/>
          <w:sz w:val="20"/>
          <w:szCs w:val="20"/>
        </w:rPr>
        <w:t xml:space="preserve"> (B), </w:t>
      </w:r>
      <w:r w:rsidRPr="004D664A">
        <w:rPr>
          <w:rFonts w:ascii="Times New Roman" w:hAnsi="Times New Roman" w:cs="Times New Roman"/>
          <w:i/>
          <w:iCs/>
          <w:sz w:val="20"/>
          <w:szCs w:val="20"/>
        </w:rPr>
        <w:t>Cacna1d</w:t>
      </w:r>
      <w:r w:rsidRPr="004D664A">
        <w:rPr>
          <w:rFonts w:ascii="Times New Roman" w:hAnsi="Times New Roman" w:cs="Times New Roman"/>
          <w:iCs/>
          <w:sz w:val="20"/>
          <w:szCs w:val="20"/>
        </w:rPr>
        <w:t xml:space="preserve"> (C), and </w:t>
      </w:r>
      <w:r w:rsidRPr="004D664A">
        <w:rPr>
          <w:rFonts w:ascii="Times New Roman" w:hAnsi="Times New Roman" w:cs="Times New Roman"/>
          <w:i/>
          <w:iCs/>
          <w:sz w:val="20"/>
          <w:szCs w:val="20"/>
        </w:rPr>
        <w:t>Itpr1</w:t>
      </w:r>
      <w:r w:rsidRPr="004D664A">
        <w:rPr>
          <w:rFonts w:ascii="Times New Roman" w:hAnsi="Times New Roman" w:cs="Times New Roman"/>
          <w:iCs/>
          <w:sz w:val="20"/>
          <w:szCs w:val="20"/>
        </w:rPr>
        <w:t xml:space="preserve"> (D) among β cell clusters from wildtype and </w:t>
      </w:r>
      <w:r w:rsidRPr="004D664A">
        <w:rPr>
          <w:rFonts w:ascii="Times New Roman" w:hAnsi="Times New Roman" w:cs="Times New Roman"/>
          <w:i/>
          <w:iCs/>
          <w:sz w:val="20"/>
          <w:szCs w:val="20"/>
        </w:rPr>
        <w:t>Pax4</w:t>
      </w:r>
      <w:r w:rsidRPr="004D664A">
        <w:rPr>
          <w:rFonts w:ascii="Times New Roman" w:hAnsi="Times New Roman" w:cs="Times New Roman"/>
          <w:iCs/>
          <w:sz w:val="20"/>
          <w:szCs w:val="20"/>
        </w:rPr>
        <w:t xml:space="preserve"> R192H mice fed high fat diet. </w:t>
      </w:r>
    </w:p>
    <w:p w14:paraId="4C6CA74F" w14:textId="333BBBC7" w:rsidR="00D10618" w:rsidRPr="004D664A" w:rsidRDefault="00D10618">
      <w:pPr>
        <w:jc w:val="both"/>
        <w:rPr>
          <w:rFonts w:ascii="Times New Roman" w:hAnsi="Times New Roman" w:cs="Times New Roman"/>
          <w:iCs/>
          <w:sz w:val="20"/>
          <w:szCs w:val="20"/>
        </w:rPr>
      </w:pPr>
      <w:r w:rsidRPr="004D664A">
        <w:rPr>
          <w:rFonts w:ascii="Times New Roman" w:hAnsi="Times New Roman" w:cs="Times New Roman"/>
          <w:iCs/>
          <w:sz w:val="20"/>
          <w:szCs w:val="20"/>
        </w:rPr>
        <w:br w:type="page"/>
      </w:r>
    </w:p>
    <w:p w14:paraId="2CE8F6E5" w14:textId="77777777" w:rsidR="008A246B" w:rsidRDefault="008A246B" w:rsidP="00676404">
      <w:pPr>
        <w:spacing w:after="120" w:line="240" w:lineRule="auto"/>
        <w:contextualSpacing/>
        <w:jc w:val="both"/>
        <w:rPr>
          <w:rFonts w:ascii="Times New Roman" w:hAnsi="Times New Roman" w:cs="Times New Roman"/>
          <w:b/>
          <w:sz w:val="20"/>
          <w:szCs w:val="20"/>
        </w:rPr>
      </w:pPr>
    </w:p>
    <w:p w14:paraId="63C0CA96" w14:textId="7180D8B2" w:rsidR="00D10618" w:rsidRDefault="00D10618" w:rsidP="00676404">
      <w:pPr>
        <w:spacing w:after="120" w:line="240" w:lineRule="auto"/>
        <w:contextualSpacing/>
        <w:jc w:val="both"/>
        <w:rPr>
          <w:rFonts w:ascii="Times New Roman" w:hAnsi="Times New Roman" w:cs="Times New Roman"/>
          <w:b/>
          <w:sz w:val="20"/>
          <w:szCs w:val="20"/>
        </w:rPr>
      </w:pPr>
      <w:r>
        <w:rPr>
          <w:rFonts w:ascii="Times New Roman" w:hAnsi="Times New Roman" w:cs="Times New Roman"/>
          <w:b/>
          <w:noProof/>
          <w:sz w:val="20"/>
          <w:szCs w:val="20"/>
          <w:lang w:eastAsia="ko-KR"/>
        </w:rPr>
        <w:drawing>
          <wp:inline distT="0" distB="0" distL="0" distR="0" wp14:anchorId="77061A84" wp14:editId="184B1258">
            <wp:extent cx="3077155" cy="2034282"/>
            <wp:effectExtent l="0" t="0" r="0" b="0"/>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uppl Fig7.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82192" cy="2037612"/>
                    </a:xfrm>
                    <a:prstGeom prst="rect">
                      <a:avLst/>
                    </a:prstGeom>
                  </pic:spPr>
                </pic:pic>
              </a:graphicData>
            </a:graphic>
          </wp:inline>
        </w:drawing>
      </w:r>
    </w:p>
    <w:p w14:paraId="5690A59C" w14:textId="31A8762E" w:rsidR="008A246B" w:rsidRPr="004D664A" w:rsidRDefault="0001131B" w:rsidP="008A246B">
      <w:pPr>
        <w:spacing w:after="120" w:line="240" w:lineRule="auto"/>
        <w:contextualSpacing/>
        <w:jc w:val="both"/>
        <w:rPr>
          <w:rFonts w:ascii="Times New Roman" w:hAnsi="Times New Roman" w:cs="Times New Roman"/>
          <w:b/>
          <w:i/>
          <w:iCs/>
          <w:sz w:val="20"/>
          <w:szCs w:val="20"/>
        </w:rPr>
      </w:pPr>
      <w:r w:rsidRPr="004D664A">
        <w:rPr>
          <w:rFonts w:ascii="Times New Roman" w:hAnsi="Times New Roman" w:cs="Times New Roman"/>
          <w:b/>
          <w:sz w:val="20"/>
          <w:szCs w:val="20"/>
        </w:rPr>
        <w:t xml:space="preserve">Supplementary </w:t>
      </w:r>
      <w:r w:rsidR="008A246B" w:rsidRPr="004D664A">
        <w:rPr>
          <w:rFonts w:ascii="Times New Roman" w:hAnsi="Times New Roman" w:cs="Times New Roman"/>
          <w:b/>
          <w:sz w:val="20"/>
          <w:szCs w:val="20"/>
        </w:rPr>
        <w:t xml:space="preserve">Figure </w:t>
      </w:r>
      <w:r w:rsidR="006721FD" w:rsidRPr="004D664A">
        <w:rPr>
          <w:rFonts w:ascii="Times New Roman" w:hAnsi="Times New Roman" w:cs="Times New Roman"/>
          <w:b/>
          <w:iCs/>
          <w:sz w:val="20"/>
          <w:szCs w:val="20"/>
        </w:rPr>
        <w:t>8</w:t>
      </w:r>
      <w:r w:rsidR="008A246B" w:rsidRPr="004D664A">
        <w:rPr>
          <w:rFonts w:ascii="Times New Roman" w:hAnsi="Times New Roman" w:cs="Times New Roman"/>
          <w:b/>
          <w:i/>
          <w:iCs/>
          <w:sz w:val="20"/>
          <w:szCs w:val="20"/>
        </w:rPr>
        <w:t xml:space="preserve">. </w:t>
      </w:r>
      <w:r w:rsidR="008A246B" w:rsidRPr="004D664A">
        <w:rPr>
          <w:rFonts w:ascii="Times New Roman" w:hAnsi="Times New Roman" w:cs="Times New Roman"/>
          <w:b/>
          <w:iCs/>
          <w:sz w:val="20"/>
          <w:szCs w:val="20"/>
        </w:rPr>
        <w:t>Pax4</w:t>
      </w:r>
      <w:r w:rsidR="008A246B" w:rsidRPr="004D664A">
        <w:rPr>
          <w:rFonts w:ascii="Times New Roman" w:hAnsi="Times New Roman" w:cs="Times New Roman"/>
          <w:b/>
          <w:i/>
          <w:iCs/>
          <w:sz w:val="20"/>
          <w:szCs w:val="20"/>
        </w:rPr>
        <w:t xml:space="preserve"> </w:t>
      </w:r>
      <w:r w:rsidR="008A246B" w:rsidRPr="004D664A">
        <w:rPr>
          <w:rFonts w:ascii="Times New Roman" w:hAnsi="Times New Roman" w:cs="Times New Roman"/>
          <w:b/>
          <w:iCs/>
          <w:sz w:val="20"/>
          <w:szCs w:val="20"/>
        </w:rPr>
        <w:t xml:space="preserve">Deletion in </w:t>
      </w:r>
      <w:r w:rsidR="008A246B" w:rsidRPr="004D664A">
        <w:rPr>
          <w:rFonts w:ascii="Times New Roman" w:hAnsi="Times New Roman" w:cs="Times New Roman"/>
          <w:b/>
          <w:i/>
          <w:iCs/>
          <w:sz w:val="20"/>
          <w:szCs w:val="20"/>
        </w:rPr>
        <w:t>Pax4</w:t>
      </w:r>
      <w:r w:rsidR="008A246B" w:rsidRPr="004D664A">
        <w:rPr>
          <w:rFonts w:ascii="Times New Roman" w:hAnsi="Times New Roman" w:cs="Times New Roman"/>
          <w:b/>
          <w:iCs/>
          <w:sz w:val="20"/>
          <w:szCs w:val="20"/>
        </w:rPr>
        <w:t xml:space="preserve"> βiKO Islets</w:t>
      </w:r>
    </w:p>
    <w:p w14:paraId="7628C996" w14:textId="348456AA" w:rsidR="008A246B" w:rsidRPr="004D664A" w:rsidRDefault="008A246B" w:rsidP="008A246B">
      <w:pPr>
        <w:spacing w:after="120" w:line="240" w:lineRule="auto"/>
        <w:contextualSpacing/>
        <w:jc w:val="both"/>
        <w:rPr>
          <w:rFonts w:ascii="Times New Roman" w:hAnsi="Times New Roman" w:cs="Times New Roman"/>
          <w:iCs/>
          <w:sz w:val="20"/>
          <w:szCs w:val="20"/>
        </w:rPr>
      </w:pPr>
      <w:r w:rsidRPr="004D664A">
        <w:rPr>
          <w:rFonts w:ascii="Times New Roman" w:hAnsi="Times New Roman" w:cs="Times New Roman"/>
          <w:iCs/>
          <w:sz w:val="20"/>
          <w:szCs w:val="20"/>
        </w:rPr>
        <w:t xml:space="preserve">(A) PCR analysis of genomic DNA purified from pancreatic islets confirming Cre-mediated recombination of the Pax4 floxed allele in </w:t>
      </w:r>
      <w:r w:rsidRPr="004D664A">
        <w:rPr>
          <w:rFonts w:ascii="Times New Roman" w:hAnsi="Times New Roman" w:cs="Times New Roman"/>
          <w:i/>
          <w:iCs/>
          <w:sz w:val="20"/>
          <w:szCs w:val="20"/>
        </w:rPr>
        <w:t>Pax4</w:t>
      </w:r>
      <w:r w:rsidRPr="004D664A">
        <w:rPr>
          <w:rFonts w:ascii="Times New Roman" w:hAnsi="Times New Roman" w:cs="Times New Roman"/>
          <w:iCs/>
          <w:sz w:val="20"/>
          <w:szCs w:val="20"/>
        </w:rPr>
        <w:t xml:space="preserve"> βiKO mice. The intact floxed allele yields a 2</w:t>
      </w:r>
      <w:r w:rsidR="00D10618" w:rsidRPr="004D664A">
        <w:rPr>
          <w:rFonts w:ascii="Times New Roman" w:hAnsi="Times New Roman" w:cs="Times New Roman" w:hint="eastAsia"/>
          <w:iCs/>
          <w:sz w:val="20"/>
          <w:szCs w:val="20"/>
          <w:lang w:eastAsia="ko-KR"/>
        </w:rPr>
        <w:t>,</w:t>
      </w:r>
      <w:r w:rsidRPr="004D664A">
        <w:rPr>
          <w:rFonts w:ascii="Times New Roman" w:hAnsi="Times New Roman" w:cs="Times New Roman"/>
          <w:iCs/>
          <w:sz w:val="20"/>
          <w:szCs w:val="20"/>
        </w:rPr>
        <w:t xml:space="preserve">097 bp PCR product, whereas recombined alleles generate a &lt;500 bp fragment. (B) Quantitative RT–PCR analysis of Pax4 mRNA expression in isolated islets from control and </w:t>
      </w:r>
      <w:r w:rsidRPr="004D664A">
        <w:rPr>
          <w:rFonts w:ascii="Times New Roman" w:hAnsi="Times New Roman" w:cs="Times New Roman"/>
          <w:i/>
          <w:iCs/>
          <w:sz w:val="20"/>
          <w:szCs w:val="20"/>
        </w:rPr>
        <w:t>Pax4</w:t>
      </w:r>
      <w:r w:rsidR="00E94722" w:rsidRPr="004D664A">
        <w:rPr>
          <w:rFonts w:ascii="Times New Roman" w:hAnsi="Times New Roman" w:cs="Times New Roman"/>
          <w:iCs/>
          <w:sz w:val="20"/>
          <w:szCs w:val="20"/>
        </w:rPr>
        <w:t xml:space="preserve"> βiKO mice. n=</w:t>
      </w:r>
      <w:r w:rsidRPr="004D664A">
        <w:rPr>
          <w:rFonts w:ascii="Times New Roman" w:hAnsi="Times New Roman" w:cs="Times New Roman"/>
          <w:iCs/>
          <w:sz w:val="20"/>
          <w:szCs w:val="20"/>
        </w:rPr>
        <w:t>3 mice per group.</w:t>
      </w:r>
    </w:p>
    <w:p w14:paraId="15CA266A" w14:textId="42D33BF0" w:rsidR="008A246B" w:rsidRDefault="008A246B" w:rsidP="008A246B">
      <w:pPr>
        <w:spacing w:after="120" w:line="240" w:lineRule="auto"/>
        <w:contextualSpacing/>
        <w:jc w:val="both"/>
        <w:rPr>
          <w:rFonts w:ascii="Times New Roman" w:hAnsi="Times New Roman" w:cs="Times New Roman"/>
          <w:sz w:val="20"/>
          <w:szCs w:val="20"/>
        </w:rPr>
      </w:pPr>
    </w:p>
    <w:p w14:paraId="3CAF3F5A" w14:textId="7DBD211F" w:rsidR="008A246B" w:rsidRDefault="008A246B">
      <w:pPr>
        <w:jc w:val="both"/>
        <w:rPr>
          <w:rFonts w:ascii="Times New Roman" w:hAnsi="Times New Roman" w:cs="Times New Roman"/>
          <w:sz w:val="20"/>
          <w:szCs w:val="20"/>
        </w:rPr>
      </w:pPr>
      <w:r>
        <w:rPr>
          <w:rFonts w:ascii="Times New Roman" w:hAnsi="Times New Roman" w:cs="Times New Roman"/>
          <w:sz w:val="20"/>
          <w:szCs w:val="20"/>
        </w:rPr>
        <w:br w:type="page"/>
      </w:r>
    </w:p>
    <w:p w14:paraId="5BACA23D" w14:textId="77777777" w:rsidR="008A246B" w:rsidRDefault="008A246B" w:rsidP="008A246B">
      <w:pPr>
        <w:spacing w:after="120" w:line="240" w:lineRule="auto"/>
        <w:contextualSpacing/>
        <w:jc w:val="both"/>
        <w:rPr>
          <w:rFonts w:ascii="Times New Roman" w:hAnsi="Times New Roman" w:cs="Times New Roman"/>
          <w:sz w:val="20"/>
          <w:szCs w:val="20"/>
        </w:rPr>
      </w:pPr>
    </w:p>
    <w:p w14:paraId="6572445A" w14:textId="77777777" w:rsidR="008A246B" w:rsidRPr="008A246B" w:rsidRDefault="008A246B" w:rsidP="008A246B">
      <w:pPr>
        <w:spacing w:after="120" w:line="240" w:lineRule="auto"/>
        <w:contextualSpacing/>
        <w:jc w:val="both"/>
        <w:rPr>
          <w:rFonts w:ascii="Times New Roman" w:hAnsi="Times New Roman" w:cs="Times New Roman"/>
          <w:sz w:val="20"/>
          <w:szCs w:val="20"/>
        </w:rPr>
      </w:pPr>
    </w:p>
    <w:p w14:paraId="6BAF7620" w14:textId="35DFBF75" w:rsidR="00CF59BD" w:rsidRDefault="00CF59BD" w:rsidP="00676404">
      <w:pPr>
        <w:spacing w:after="120" w:line="240" w:lineRule="auto"/>
        <w:contextualSpacing/>
        <w:jc w:val="both"/>
        <w:rPr>
          <w:rFonts w:ascii="Times New Roman" w:hAnsi="Times New Roman" w:cs="Times New Roman"/>
          <w:b/>
          <w:sz w:val="20"/>
          <w:szCs w:val="20"/>
        </w:rPr>
      </w:pPr>
      <w:r>
        <w:rPr>
          <w:rFonts w:ascii="Times New Roman" w:hAnsi="Times New Roman" w:cs="Times New Roman"/>
          <w:b/>
          <w:noProof/>
          <w:sz w:val="20"/>
          <w:szCs w:val="20"/>
          <w:lang w:eastAsia="ko-KR"/>
        </w:rPr>
        <w:drawing>
          <wp:inline distT="0" distB="0" distL="0" distR="0" wp14:anchorId="0311F573" wp14:editId="1D5E27D7">
            <wp:extent cx="3924300" cy="1605799"/>
            <wp:effectExtent l="0" t="0" r="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ppl figure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40887" cy="1612586"/>
                    </a:xfrm>
                    <a:prstGeom prst="rect">
                      <a:avLst/>
                    </a:prstGeom>
                  </pic:spPr>
                </pic:pic>
              </a:graphicData>
            </a:graphic>
          </wp:inline>
        </w:drawing>
      </w:r>
    </w:p>
    <w:p w14:paraId="70CF9BE8" w14:textId="77777777" w:rsidR="008F455C" w:rsidRDefault="008F455C" w:rsidP="00676404">
      <w:pPr>
        <w:spacing w:after="120" w:line="240" w:lineRule="auto"/>
        <w:contextualSpacing/>
        <w:jc w:val="both"/>
        <w:rPr>
          <w:rFonts w:ascii="Times New Roman" w:hAnsi="Times New Roman" w:cs="Times New Roman"/>
          <w:b/>
          <w:sz w:val="20"/>
          <w:szCs w:val="20"/>
        </w:rPr>
      </w:pPr>
    </w:p>
    <w:p w14:paraId="3F38599F" w14:textId="26CA83FA" w:rsidR="00CF59BD" w:rsidRPr="004D664A" w:rsidRDefault="0001131B" w:rsidP="00CF59BD">
      <w:pPr>
        <w:spacing w:after="120" w:line="240" w:lineRule="auto"/>
        <w:contextualSpacing/>
        <w:jc w:val="both"/>
        <w:rPr>
          <w:rFonts w:ascii="Times New Roman" w:hAnsi="Times New Roman" w:cs="Times New Roman"/>
          <w:sz w:val="20"/>
          <w:szCs w:val="20"/>
        </w:rPr>
      </w:pPr>
      <w:r w:rsidRPr="004D664A">
        <w:rPr>
          <w:rFonts w:ascii="Times New Roman" w:hAnsi="Times New Roman" w:cs="Times New Roman"/>
          <w:b/>
          <w:sz w:val="20"/>
          <w:szCs w:val="20"/>
        </w:rPr>
        <w:t xml:space="preserve">Supplementary </w:t>
      </w:r>
      <w:r w:rsidR="00F9497B" w:rsidRPr="004D664A">
        <w:rPr>
          <w:rFonts w:ascii="Times New Roman" w:hAnsi="Times New Roman" w:cs="Times New Roman"/>
          <w:b/>
          <w:sz w:val="20"/>
          <w:szCs w:val="20"/>
        </w:rPr>
        <w:t xml:space="preserve">Figure </w:t>
      </w:r>
      <w:r w:rsidR="006721FD" w:rsidRPr="004D664A">
        <w:rPr>
          <w:rFonts w:ascii="Times New Roman" w:hAnsi="Times New Roman" w:cs="Times New Roman"/>
          <w:b/>
          <w:sz w:val="20"/>
          <w:szCs w:val="20"/>
        </w:rPr>
        <w:t>9</w:t>
      </w:r>
      <w:r w:rsidR="00CF59BD" w:rsidRPr="004D664A">
        <w:rPr>
          <w:rFonts w:ascii="Times New Roman" w:hAnsi="Times New Roman" w:cs="Times New Roman"/>
          <w:b/>
          <w:sz w:val="20"/>
          <w:szCs w:val="20"/>
        </w:rPr>
        <w:t xml:space="preserve">. </w:t>
      </w:r>
      <w:r w:rsidR="00CF59BD" w:rsidRPr="004D664A">
        <w:rPr>
          <w:rFonts w:ascii="Times New Roman" w:hAnsi="Times New Roman" w:cs="Times New Roman"/>
          <w:b/>
          <w:i/>
          <w:iCs/>
          <w:sz w:val="20"/>
          <w:szCs w:val="20"/>
        </w:rPr>
        <w:t xml:space="preserve">Pax4 </w:t>
      </w:r>
      <w:r w:rsidR="00CF59BD" w:rsidRPr="004D664A">
        <w:rPr>
          <w:rFonts w:ascii="Times New Roman" w:hAnsi="Times New Roman" w:cs="Times New Roman"/>
          <w:b/>
          <w:iCs/>
          <w:sz w:val="20"/>
          <w:szCs w:val="20"/>
        </w:rPr>
        <w:t>βiKO mice exhibit comparable phenotypes under standard chow diet conditions</w:t>
      </w:r>
      <w:r w:rsidR="00CF59BD" w:rsidRPr="004D664A">
        <w:rPr>
          <w:rFonts w:ascii="Times New Roman" w:hAnsi="Times New Roman" w:cs="Times New Roman"/>
          <w:b/>
          <w:sz w:val="20"/>
          <w:szCs w:val="20"/>
        </w:rPr>
        <w:br/>
      </w:r>
      <w:r w:rsidR="00CF59BD" w:rsidRPr="004D664A">
        <w:rPr>
          <w:rFonts w:ascii="Times New Roman" w:hAnsi="Times New Roman" w:cs="Times New Roman"/>
          <w:sz w:val="20"/>
          <w:szCs w:val="20"/>
        </w:rPr>
        <w:t xml:space="preserve">(A) Body weight of </w:t>
      </w:r>
      <w:r w:rsidR="00CF59BD" w:rsidRPr="004D664A">
        <w:rPr>
          <w:rFonts w:ascii="Times New Roman" w:hAnsi="Times New Roman" w:cs="Times New Roman"/>
          <w:i/>
          <w:iCs/>
          <w:sz w:val="20"/>
          <w:szCs w:val="20"/>
        </w:rPr>
        <w:t>Pax4</w:t>
      </w:r>
      <w:r w:rsidR="00CF59BD" w:rsidRPr="004D664A">
        <w:rPr>
          <w:rFonts w:ascii="Times New Roman" w:hAnsi="Times New Roman" w:cs="Times New Roman"/>
          <w:sz w:val="20"/>
          <w:szCs w:val="20"/>
        </w:rPr>
        <w:t xml:space="preserve"> βiKO and control mice fed a standard chow diet (12-week-old)</w:t>
      </w:r>
      <w:r w:rsidR="003F72E1" w:rsidRPr="004D664A">
        <w:rPr>
          <w:rFonts w:ascii="Times New Roman" w:hAnsi="Times New Roman" w:cs="Times New Roman"/>
          <w:sz w:val="20"/>
          <w:szCs w:val="20"/>
        </w:rPr>
        <w:t>; n=8–11 per group</w:t>
      </w:r>
      <w:r w:rsidR="00CF59BD" w:rsidRPr="004D664A">
        <w:rPr>
          <w:rFonts w:ascii="Times New Roman" w:hAnsi="Times New Roman" w:cs="Times New Roman"/>
          <w:sz w:val="20"/>
          <w:szCs w:val="20"/>
        </w:rPr>
        <w:t xml:space="preserve">. (B) </w:t>
      </w:r>
      <w:r w:rsidR="00CF59BD" w:rsidRPr="004D664A">
        <w:rPr>
          <w:rFonts w:ascii="Times New Roman" w:hAnsi="Times New Roman" w:cs="Times New Roman"/>
          <w:i/>
          <w:iCs/>
          <w:sz w:val="20"/>
          <w:szCs w:val="20"/>
        </w:rPr>
        <w:t xml:space="preserve">In vivo </w:t>
      </w:r>
      <w:r w:rsidR="00CF59BD" w:rsidRPr="004D664A">
        <w:rPr>
          <w:rFonts w:ascii="Times New Roman" w:hAnsi="Times New Roman" w:cs="Times New Roman"/>
          <w:sz w:val="20"/>
          <w:szCs w:val="20"/>
        </w:rPr>
        <w:t xml:space="preserve">glucose-stimulated insulin secretion test in </w:t>
      </w:r>
      <w:r w:rsidR="00AC63D4" w:rsidRPr="004D664A">
        <w:rPr>
          <w:rFonts w:ascii="Times New Roman" w:hAnsi="Times New Roman" w:cs="Times New Roman"/>
          <w:sz w:val="20"/>
          <w:szCs w:val="20"/>
        </w:rPr>
        <w:t>12-week-old</w:t>
      </w:r>
      <w:r w:rsidR="00CF59BD" w:rsidRPr="004D664A">
        <w:rPr>
          <w:rFonts w:ascii="Times New Roman" w:hAnsi="Times New Roman" w:cs="Times New Roman"/>
          <w:sz w:val="20"/>
          <w:szCs w:val="20"/>
        </w:rPr>
        <w:t xml:space="preserve"> control and </w:t>
      </w:r>
      <w:r w:rsidR="00CF59BD" w:rsidRPr="004D664A">
        <w:rPr>
          <w:rFonts w:ascii="Times New Roman" w:hAnsi="Times New Roman" w:cs="Times New Roman"/>
          <w:i/>
          <w:iCs/>
          <w:sz w:val="20"/>
          <w:szCs w:val="20"/>
        </w:rPr>
        <w:t>Pax4</w:t>
      </w:r>
      <w:r w:rsidR="00CF59BD" w:rsidRPr="004D664A">
        <w:rPr>
          <w:rFonts w:ascii="Times New Roman" w:hAnsi="Times New Roman" w:cs="Times New Roman"/>
          <w:sz w:val="20"/>
          <w:szCs w:val="20"/>
        </w:rPr>
        <w:t xml:space="preserve"> βiKO mice </w:t>
      </w:r>
      <w:r w:rsidR="00CE242E" w:rsidRPr="004D664A">
        <w:rPr>
          <w:rFonts w:ascii="Times New Roman" w:hAnsi="Times New Roman" w:cs="Times New Roman"/>
          <w:sz w:val="20"/>
          <w:szCs w:val="20"/>
        </w:rPr>
        <w:t>fed</w:t>
      </w:r>
      <w:r w:rsidR="00CF59BD" w:rsidRPr="004D664A">
        <w:rPr>
          <w:rFonts w:ascii="Times New Roman" w:hAnsi="Times New Roman" w:cs="Times New Roman"/>
          <w:sz w:val="20"/>
          <w:szCs w:val="20"/>
        </w:rPr>
        <w:t xml:space="preserve"> a standard chow diet for 16-hour fasting</w:t>
      </w:r>
      <w:r w:rsidR="003F72E1" w:rsidRPr="004D664A">
        <w:rPr>
          <w:rFonts w:ascii="Times New Roman" w:hAnsi="Times New Roman" w:cs="Times New Roman"/>
          <w:sz w:val="20"/>
          <w:szCs w:val="20"/>
        </w:rPr>
        <w:t>; n=4–7 per group.</w:t>
      </w:r>
      <w:r w:rsidR="00CF59BD" w:rsidRPr="004D664A">
        <w:rPr>
          <w:rFonts w:ascii="Times New Roman" w:hAnsi="Times New Roman" w:cs="Times New Roman"/>
          <w:sz w:val="20"/>
          <w:szCs w:val="20"/>
        </w:rPr>
        <w:t xml:space="preserve"> </w:t>
      </w:r>
    </w:p>
    <w:p w14:paraId="775799A0" w14:textId="77777777" w:rsidR="00F9497B" w:rsidRDefault="00CF59BD" w:rsidP="00F9497B">
      <w:pPr>
        <w:spacing w:after="120" w:line="240" w:lineRule="auto"/>
        <w:contextualSpacing/>
        <w:jc w:val="both"/>
        <w:rPr>
          <w:rFonts w:ascii="Times New Roman" w:hAnsi="Times New Roman" w:cs="Times New Roman"/>
          <w:b/>
          <w:sz w:val="20"/>
          <w:szCs w:val="20"/>
        </w:rPr>
      </w:pPr>
      <w:r>
        <w:rPr>
          <w:rFonts w:ascii="Times New Roman" w:hAnsi="Times New Roman" w:cs="Times New Roman"/>
          <w:b/>
          <w:sz w:val="20"/>
          <w:szCs w:val="20"/>
        </w:rPr>
        <w:br w:type="page"/>
      </w:r>
      <w:r w:rsidR="00F9497B">
        <w:rPr>
          <w:rFonts w:ascii="Times New Roman" w:hAnsi="Times New Roman" w:cs="Times New Roman"/>
          <w:b/>
          <w:noProof/>
          <w:sz w:val="20"/>
          <w:szCs w:val="20"/>
          <w:lang w:eastAsia="ko-KR"/>
        </w:rPr>
        <w:lastRenderedPageBreak/>
        <w:drawing>
          <wp:inline distT="0" distB="0" distL="0" distR="0" wp14:anchorId="42473DB6" wp14:editId="1BCE8757">
            <wp:extent cx="2625688" cy="1991762"/>
            <wp:effectExtent l="0" t="0" r="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pl Fig9.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31151" cy="1995906"/>
                    </a:xfrm>
                    <a:prstGeom prst="rect">
                      <a:avLst/>
                    </a:prstGeom>
                  </pic:spPr>
                </pic:pic>
              </a:graphicData>
            </a:graphic>
          </wp:inline>
        </w:drawing>
      </w:r>
    </w:p>
    <w:p w14:paraId="49B814D5" w14:textId="4235D4D1" w:rsidR="00F9497B" w:rsidRPr="004D664A" w:rsidRDefault="0001131B" w:rsidP="00F9497B">
      <w:pPr>
        <w:spacing w:after="120" w:line="240" w:lineRule="auto"/>
        <w:contextualSpacing/>
        <w:jc w:val="both"/>
        <w:rPr>
          <w:rFonts w:ascii="Times New Roman" w:hAnsi="Times New Roman" w:cs="Times New Roman"/>
          <w:b/>
          <w:iCs/>
          <w:sz w:val="20"/>
          <w:szCs w:val="20"/>
        </w:rPr>
      </w:pPr>
      <w:r w:rsidRPr="004D664A">
        <w:rPr>
          <w:rFonts w:ascii="Times New Roman" w:hAnsi="Times New Roman" w:cs="Times New Roman"/>
          <w:b/>
          <w:sz w:val="20"/>
          <w:szCs w:val="20"/>
        </w:rPr>
        <w:t xml:space="preserve">Supplementary </w:t>
      </w:r>
      <w:r w:rsidR="00F9497B" w:rsidRPr="004D664A">
        <w:rPr>
          <w:rFonts w:ascii="Times New Roman" w:hAnsi="Times New Roman" w:cs="Times New Roman"/>
          <w:b/>
          <w:sz w:val="20"/>
          <w:szCs w:val="20"/>
        </w:rPr>
        <w:t xml:space="preserve">Figure </w:t>
      </w:r>
      <w:r w:rsidR="006721FD" w:rsidRPr="004D664A">
        <w:rPr>
          <w:rFonts w:ascii="Times New Roman" w:hAnsi="Times New Roman" w:cs="Times New Roman"/>
          <w:b/>
          <w:sz w:val="20"/>
          <w:szCs w:val="20"/>
        </w:rPr>
        <w:t>10</w:t>
      </w:r>
      <w:r w:rsidR="00F9497B" w:rsidRPr="004D664A">
        <w:rPr>
          <w:rFonts w:ascii="Times New Roman" w:hAnsi="Times New Roman" w:cs="Times New Roman"/>
          <w:b/>
          <w:sz w:val="20"/>
          <w:szCs w:val="20"/>
        </w:rPr>
        <w:t xml:space="preserve">. </w:t>
      </w:r>
      <w:r w:rsidR="00F9497B" w:rsidRPr="004D664A">
        <w:rPr>
          <w:rFonts w:ascii="Times New Roman" w:hAnsi="Times New Roman" w:cs="Times New Roman"/>
          <w:b/>
          <w:iCs/>
          <w:sz w:val="20"/>
          <w:szCs w:val="20"/>
        </w:rPr>
        <w:t>Decreased GLUT2</w:t>
      </w:r>
      <w:r w:rsidR="000A445C" w:rsidRPr="004D664A">
        <w:rPr>
          <w:rFonts w:ascii="Times New Roman" w:hAnsi="Times New Roman" w:cs="Times New Roman"/>
          <w:b/>
          <w:sz w:val="20"/>
          <w:szCs w:val="20"/>
        </w:rPr>
        <w:t>-positive</w:t>
      </w:r>
      <w:r w:rsidR="00F9497B" w:rsidRPr="004D664A">
        <w:rPr>
          <w:rFonts w:ascii="Times New Roman" w:hAnsi="Times New Roman" w:cs="Times New Roman"/>
          <w:b/>
          <w:iCs/>
          <w:sz w:val="20"/>
          <w:szCs w:val="20"/>
        </w:rPr>
        <w:t xml:space="preserve"> area and </w:t>
      </w:r>
      <w:r w:rsidR="00996AFF" w:rsidRPr="004D664A">
        <w:rPr>
          <w:rFonts w:ascii="Times New Roman" w:hAnsi="Times New Roman" w:cs="Times New Roman"/>
          <w:b/>
          <w:iCs/>
          <w:sz w:val="20"/>
          <w:szCs w:val="20"/>
        </w:rPr>
        <w:t xml:space="preserve">proportion of </w:t>
      </w:r>
      <w:r w:rsidR="00F9497B" w:rsidRPr="004D664A">
        <w:rPr>
          <w:rFonts w:ascii="Times New Roman" w:hAnsi="Times New Roman" w:cs="Times New Roman"/>
          <w:b/>
          <w:iCs/>
          <w:sz w:val="20"/>
          <w:szCs w:val="20"/>
        </w:rPr>
        <w:t>MAFA</w:t>
      </w:r>
      <w:r w:rsidR="000A445C" w:rsidRPr="004D664A">
        <w:rPr>
          <w:rFonts w:ascii="Times New Roman" w:hAnsi="Times New Roman" w:cs="Times New Roman"/>
          <w:b/>
          <w:sz w:val="20"/>
          <w:szCs w:val="20"/>
        </w:rPr>
        <w:t>-positive</w:t>
      </w:r>
      <w:r w:rsidR="00F9497B" w:rsidRPr="004D664A">
        <w:rPr>
          <w:rFonts w:ascii="Times New Roman" w:hAnsi="Times New Roman" w:cs="Times New Roman"/>
          <w:b/>
          <w:iCs/>
          <w:sz w:val="20"/>
          <w:szCs w:val="20"/>
        </w:rPr>
        <w:t xml:space="preserve"> cells in HFD-fed</w:t>
      </w:r>
      <w:r w:rsidR="00F9497B" w:rsidRPr="004D664A">
        <w:rPr>
          <w:rFonts w:ascii="Times New Roman" w:hAnsi="Times New Roman" w:cs="Times New Roman"/>
          <w:b/>
          <w:i/>
          <w:iCs/>
          <w:sz w:val="20"/>
          <w:szCs w:val="20"/>
        </w:rPr>
        <w:t xml:space="preserve"> Pax4</w:t>
      </w:r>
      <w:r w:rsidR="00F9497B" w:rsidRPr="004D664A">
        <w:rPr>
          <w:rFonts w:ascii="Times New Roman" w:hAnsi="Times New Roman" w:cs="Times New Roman"/>
          <w:b/>
          <w:iCs/>
          <w:sz w:val="20"/>
          <w:szCs w:val="20"/>
        </w:rPr>
        <w:t xml:space="preserve"> βiKO mice </w:t>
      </w:r>
    </w:p>
    <w:p w14:paraId="56A19211" w14:textId="26322098" w:rsidR="00F9497B" w:rsidRPr="00EA3757" w:rsidRDefault="00F9497B" w:rsidP="00F9497B">
      <w:pPr>
        <w:spacing w:after="120" w:line="240" w:lineRule="auto"/>
        <w:contextualSpacing/>
        <w:jc w:val="both"/>
        <w:rPr>
          <w:rFonts w:ascii="Times New Roman" w:hAnsi="Times New Roman" w:cs="Times New Roman"/>
          <w:color w:val="FF0000"/>
          <w:sz w:val="20"/>
          <w:szCs w:val="20"/>
        </w:rPr>
      </w:pPr>
      <w:r w:rsidRPr="004D664A">
        <w:rPr>
          <w:rFonts w:ascii="Times New Roman" w:hAnsi="Times New Roman" w:cs="Times New Roman"/>
          <w:sz w:val="20"/>
          <w:szCs w:val="20"/>
        </w:rPr>
        <w:t>(A) Quantification of GLUT2-positive area normalized to insulin-positive area based on immunofluorescence images using ImageJ. (B) Quantification of MAFA</w:t>
      </w:r>
      <w:r w:rsidR="000A445C" w:rsidRPr="004D664A">
        <w:rPr>
          <w:rFonts w:ascii="Times New Roman" w:hAnsi="Times New Roman" w:cs="Times New Roman"/>
          <w:sz w:val="20"/>
          <w:szCs w:val="20"/>
        </w:rPr>
        <w:t>-positive/</w:t>
      </w:r>
      <w:r w:rsidRPr="004D664A">
        <w:rPr>
          <w:rFonts w:ascii="Times New Roman" w:hAnsi="Times New Roman" w:cs="Times New Roman"/>
          <w:sz w:val="20"/>
          <w:szCs w:val="20"/>
        </w:rPr>
        <w:t>Insulin</w:t>
      </w:r>
      <w:r w:rsidR="000A445C" w:rsidRPr="004D664A">
        <w:rPr>
          <w:rFonts w:ascii="Times New Roman" w:hAnsi="Times New Roman" w:cs="Times New Roman"/>
          <w:sz w:val="20"/>
          <w:szCs w:val="20"/>
        </w:rPr>
        <w:t>-positive</w:t>
      </w:r>
      <w:r w:rsidRPr="004D664A">
        <w:rPr>
          <w:rFonts w:ascii="Times New Roman" w:hAnsi="Times New Roman" w:cs="Times New Roman"/>
          <w:sz w:val="20"/>
          <w:szCs w:val="20"/>
        </w:rPr>
        <w:t xml:space="preserve"> cells normalized to total insulin-positive cells in control and </w:t>
      </w:r>
      <w:r w:rsidRPr="004D664A">
        <w:rPr>
          <w:rFonts w:ascii="Times New Roman" w:hAnsi="Times New Roman" w:cs="Times New Roman"/>
          <w:i/>
          <w:sz w:val="20"/>
          <w:szCs w:val="20"/>
        </w:rPr>
        <w:t>Pax4</w:t>
      </w:r>
      <w:r w:rsidRPr="004D664A">
        <w:rPr>
          <w:rFonts w:ascii="Times New Roman" w:hAnsi="Times New Roman" w:cs="Times New Roman"/>
          <w:sz w:val="20"/>
          <w:szCs w:val="20"/>
        </w:rPr>
        <w:t xml:space="preserve"> βiKO mice. n ≥3 mice per group</w:t>
      </w:r>
      <w:r w:rsidR="00D62180" w:rsidRPr="004D664A">
        <w:rPr>
          <w:rFonts w:ascii="Times New Roman" w:hAnsi="Times New Roman" w:cs="Times New Roman"/>
          <w:sz w:val="20"/>
          <w:szCs w:val="20"/>
        </w:rPr>
        <w:t xml:space="preserve"> </w:t>
      </w:r>
      <w:r w:rsidR="00D62180" w:rsidRPr="00EA3757">
        <w:rPr>
          <w:rFonts w:ascii="Times New Roman" w:hAnsi="Times New Roman" w:cs="Times New Roman"/>
          <w:color w:val="FF0000"/>
          <w:sz w:val="20"/>
          <w:szCs w:val="20"/>
        </w:rPr>
        <w:t>and more than 100 islets per mouse were analyzed.</w:t>
      </w:r>
    </w:p>
    <w:p w14:paraId="796491B5" w14:textId="197BD3FA" w:rsidR="00F9497B" w:rsidRPr="004D664A" w:rsidRDefault="00F9497B" w:rsidP="00F9497B">
      <w:pPr>
        <w:jc w:val="both"/>
        <w:rPr>
          <w:rFonts w:ascii="Times New Roman" w:hAnsi="Times New Roman" w:cs="Times New Roman"/>
          <w:sz w:val="20"/>
          <w:szCs w:val="20"/>
        </w:rPr>
      </w:pPr>
      <w:r w:rsidRPr="004D664A">
        <w:rPr>
          <w:rFonts w:ascii="Times New Roman" w:hAnsi="Times New Roman" w:cs="Times New Roman"/>
          <w:sz w:val="20"/>
          <w:szCs w:val="20"/>
        </w:rPr>
        <w:br w:type="page"/>
      </w:r>
    </w:p>
    <w:p w14:paraId="511BF354" w14:textId="77777777" w:rsidR="00F9497B" w:rsidRDefault="00F9497B">
      <w:pPr>
        <w:jc w:val="both"/>
        <w:rPr>
          <w:rFonts w:ascii="Times New Roman" w:hAnsi="Times New Roman" w:cs="Times New Roman"/>
          <w:b/>
          <w:sz w:val="20"/>
          <w:szCs w:val="20"/>
        </w:rPr>
      </w:pPr>
    </w:p>
    <w:p w14:paraId="54CCE89D" w14:textId="77777777" w:rsidR="00CF59BD" w:rsidRDefault="00CF59BD">
      <w:pPr>
        <w:jc w:val="both"/>
        <w:rPr>
          <w:rFonts w:ascii="Times New Roman" w:hAnsi="Times New Roman" w:cs="Times New Roman"/>
          <w:b/>
          <w:sz w:val="20"/>
          <w:szCs w:val="20"/>
        </w:rPr>
      </w:pPr>
    </w:p>
    <w:p w14:paraId="2DEE124C" w14:textId="679D0026" w:rsidR="00CF59BD" w:rsidRDefault="00CF59BD" w:rsidP="00676404">
      <w:pPr>
        <w:spacing w:after="120" w:line="240" w:lineRule="auto"/>
        <w:contextualSpacing/>
        <w:jc w:val="both"/>
        <w:rPr>
          <w:rFonts w:ascii="Times New Roman" w:hAnsi="Times New Roman" w:cs="Times New Roman"/>
          <w:b/>
          <w:sz w:val="20"/>
          <w:szCs w:val="20"/>
        </w:rPr>
      </w:pPr>
      <w:r>
        <w:rPr>
          <w:rFonts w:ascii="Times New Roman" w:hAnsi="Times New Roman" w:cs="Times New Roman"/>
          <w:b/>
          <w:noProof/>
          <w:sz w:val="20"/>
          <w:szCs w:val="20"/>
          <w:lang w:eastAsia="ko-KR"/>
        </w:rPr>
        <w:drawing>
          <wp:inline distT="0" distB="0" distL="0" distR="0" wp14:anchorId="40E559F3" wp14:editId="0B4C7CAC">
            <wp:extent cx="6188710" cy="5802630"/>
            <wp:effectExtent l="0" t="0" r="2540" b="762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uppl figure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88710" cy="5802630"/>
                    </a:xfrm>
                    <a:prstGeom prst="rect">
                      <a:avLst/>
                    </a:prstGeom>
                  </pic:spPr>
                </pic:pic>
              </a:graphicData>
            </a:graphic>
          </wp:inline>
        </w:drawing>
      </w:r>
    </w:p>
    <w:p w14:paraId="0D1BAF2A" w14:textId="77777777" w:rsidR="008F455C" w:rsidRDefault="008F455C" w:rsidP="00676404">
      <w:pPr>
        <w:spacing w:after="120" w:line="240" w:lineRule="auto"/>
        <w:contextualSpacing/>
        <w:jc w:val="both"/>
        <w:rPr>
          <w:rFonts w:ascii="Times New Roman" w:hAnsi="Times New Roman" w:cs="Times New Roman"/>
          <w:b/>
          <w:sz w:val="20"/>
          <w:szCs w:val="20"/>
        </w:rPr>
      </w:pPr>
    </w:p>
    <w:p w14:paraId="1DF6077E" w14:textId="6C192E19" w:rsidR="00CF59BD" w:rsidRDefault="0001131B" w:rsidP="00CF59BD">
      <w:pPr>
        <w:spacing w:after="120" w:line="240" w:lineRule="auto"/>
        <w:contextualSpacing/>
        <w:jc w:val="both"/>
        <w:rPr>
          <w:rFonts w:ascii="Times New Roman" w:hAnsi="Times New Roman" w:cs="Times New Roman"/>
          <w:sz w:val="20"/>
          <w:szCs w:val="20"/>
        </w:rPr>
      </w:pPr>
      <w:r w:rsidRPr="009601DE">
        <w:rPr>
          <w:rFonts w:ascii="Times New Roman" w:hAnsi="Times New Roman" w:cs="Times New Roman"/>
          <w:b/>
          <w:sz w:val="20"/>
          <w:szCs w:val="20"/>
        </w:rPr>
        <w:t>Supplementary</w:t>
      </w:r>
      <w:r>
        <w:rPr>
          <w:rFonts w:ascii="Times New Roman" w:hAnsi="Times New Roman" w:cs="Times New Roman"/>
          <w:b/>
          <w:sz w:val="20"/>
          <w:szCs w:val="20"/>
        </w:rPr>
        <w:t xml:space="preserve"> </w:t>
      </w:r>
      <w:r w:rsidR="00D81716">
        <w:rPr>
          <w:rFonts w:ascii="Times New Roman" w:hAnsi="Times New Roman" w:cs="Times New Roman"/>
          <w:b/>
          <w:sz w:val="20"/>
          <w:szCs w:val="20"/>
        </w:rPr>
        <w:t>Figure 1</w:t>
      </w:r>
      <w:r w:rsidR="006721FD">
        <w:rPr>
          <w:rFonts w:ascii="Times New Roman" w:hAnsi="Times New Roman" w:cs="Times New Roman"/>
          <w:b/>
          <w:sz w:val="20"/>
          <w:szCs w:val="20"/>
        </w:rPr>
        <w:t>1</w:t>
      </w:r>
      <w:r w:rsidR="00CF59BD" w:rsidRPr="00742791">
        <w:rPr>
          <w:rFonts w:ascii="Times New Roman" w:hAnsi="Times New Roman" w:cs="Times New Roman"/>
          <w:b/>
          <w:sz w:val="20"/>
          <w:szCs w:val="20"/>
        </w:rPr>
        <w:t xml:space="preserve">. </w:t>
      </w:r>
      <w:r w:rsidR="00CF59BD" w:rsidRPr="004E54A3">
        <w:rPr>
          <w:rFonts w:ascii="Times New Roman" w:hAnsi="Times New Roman" w:cs="Times New Roman"/>
          <w:b/>
          <w:iCs/>
          <w:sz w:val="20"/>
          <w:szCs w:val="20"/>
        </w:rPr>
        <w:t>Transcriptomic analyses revealed a positive correlation between gene expression changes observed in</w:t>
      </w:r>
      <w:r w:rsidR="00CF59BD" w:rsidRPr="00CF59BD">
        <w:rPr>
          <w:rFonts w:ascii="Times New Roman" w:hAnsi="Times New Roman" w:cs="Times New Roman"/>
          <w:b/>
          <w:i/>
          <w:iCs/>
          <w:sz w:val="20"/>
          <w:szCs w:val="20"/>
        </w:rPr>
        <w:t xml:space="preserve"> Pax4 </w:t>
      </w:r>
      <w:r w:rsidR="00CF59BD" w:rsidRPr="004E54A3">
        <w:rPr>
          <w:rFonts w:ascii="Times New Roman" w:hAnsi="Times New Roman" w:cs="Times New Roman"/>
          <w:b/>
          <w:iCs/>
          <w:sz w:val="20"/>
          <w:szCs w:val="20"/>
        </w:rPr>
        <w:t>R192H and</w:t>
      </w:r>
      <w:r w:rsidR="00CF59BD" w:rsidRPr="00CF59BD">
        <w:rPr>
          <w:rFonts w:ascii="Times New Roman" w:hAnsi="Times New Roman" w:cs="Times New Roman"/>
          <w:b/>
          <w:i/>
          <w:iCs/>
          <w:sz w:val="20"/>
          <w:szCs w:val="20"/>
        </w:rPr>
        <w:t xml:space="preserve"> Pax4 </w:t>
      </w:r>
      <w:r w:rsidR="00CF59BD" w:rsidRPr="004E54A3">
        <w:rPr>
          <w:rFonts w:ascii="Times New Roman" w:hAnsi="Times New Roman" w:cs="Times New Roman"/>
          <w:b/>
          <w:iCs/>
          <w:sz w:val="20"/>
          <w:szCs w:val="20"/>
        </w:rPr>
        <w:t>βiKO islets</w:t>
      </w:r>
      <w:r w:rsidR="00CF59BD" w:rsidRPr="00CF59BD">
        <w:rPr>
          <w:rFonts w:ascii="Times New Roman" w:hAnsi="Times New Roman" w:cs="Times New Roman"/>
          <w:b/>
          <w:i/>
          <w:iCs/>
          <w:sz w:val="20"/>
          <w:szCs w:val="20"/>
        </w:rPr>
        <w:t>.</w:t>
      </w:r>
      <w:r w:rsidR="00CF59BD" w:rsidRPr="00742791">
        <w:rPr>
          <w:rFonts w:ascii="Times New Roman" w:hAnsi="Times New Roman" w:cs="Times New Roman"/>
          <w:b/>
          <w:sz w:val="20"/>
          <w:szCs w:val="20"/>
        </w:rPr>
        <w:br/>
      </w:r>
      <w:r w:rsidR="00CF59BD" w:rsidRPr="00CF59BD">
        <w:rPr>
          <w:rFonts w:ascii="Times New Roman" w:hAnsi="Times New Roman" w:cs="Times New Roman"/>
          <w:sz w:val="20"/>
          <w:szCs w:val="20"/>
        </w:rPr>
        <w:t xml:space="preserve">(A) Principal component analysis (PCA) of bulk RNA-seq data from control and </w:t>
      </w:r>
      <w:r w:rsidR="00CF59BD" w:rsidRPr="00CF59BD">
        <w:rPr>
          <w:rFonts w:ascii="Times New Roman" w:hAnsi="Times New Roman" w:cs="Times New Roman"/>
          <w:i/>
          <w:iCs/>
          <w:sz w:val="20"/>
          <w:szCs w:val="20"/>
        </w:rPr>
        <w:t>Pax4</w:t>
      </w:r>
      <w:r w:rsidR="00CF59BD" w:rsidRPr="00CF59BD">
        <w:rPr>
          <w:rFonts w:ascii="Times New Roman" w:hAnsi="Times New Roman" w:cs="Times New Roman"/>
          <w:sz w:val="20"/>
          <w:szCs w:val="20"/>
        </w:rPr>
        <w:t xml:space="preserve"> βiKO islets after 8 weeks of high fat diet (20-week-old). (B) Venn diagram showing the number of differentially expressed genes (DEGs, log</w:t>
      </w:r>
      <w:r w:rsidR="00CF59BD" w:rsidRPr="00CF59BD">
        <w:rPr>
          <w:rFonts w:ascii="Times New Roman" w:hAnsi="Times New Roman" w:cs="Times New Roman"/>
          <w:sz w:val="20"/>
          <w:szCs w:val="20"/>
          <w:vertAlign w:val="subscript"/>
        </w:rPr>
        <w:t>2</w:t>
      </w:r>
      <w:r w:rsidR="00CF59BD" w:rsidRPr="00CF59BD">
        <w:rPr>
          <w:rFonts w:ascii="Times New Roman" w:hAnsi="Times New Roman" w:cs="Times New Roman"/>
          <w:sz w:val="20"/>
          <w:szCs w:val="20"/>
        </w:rPr>
        <w:t xml:space="preserve">(fold change) &gt;0.5, adjusted </w:t>
      </w:r>
      <w:r w:rsidR="00AC63D4" w:rsidRPr="00BF5A63">
        <w:rPr>
          <w:rFonts w:ascii="Times New Roman" w:hAnsi="Times New Roman" w:cs="Times New Roman"/>
          <w:i/>
          <w:iCs/>
          <w:sz w:val="20"/>
          <w:szCs w:val="20"/>
          <w:lang w:eastAsia="ko-KR"/>
        </w:rPr>
        <w:t>P</w:t>
      </w:r>
      <w:r w:rsidR="00AC63D4">
        <w:rPr>
          <w:rFonts w:ascii="Times New Roman" w:hAnsi="Times New Roman" w:cs="Times New Roman" w:hint="eastAsia"/>
          <w:sz w:val="20"/>
          <w:szCs w:val="20"/>
          <w:lang w:eastAsia="ko-KR"/>
        </w:rPr>
        <w:t xml:space="preserve"> </w:t>
      </w:r>
      <w:r w:rsidR="00CF59BD" w:rsidRPr="00CF59BD">
        <w:rPr>
          <w:rFonts w:ascii="Times New Roman" w:hAnsi="Times New Roman" w:cs="Times New Roman"/>
          <w:sz w:val="20"/>
          <w:szCs w:val="20"/>
        </w:rPr>
        <w:t xml:space="preserve">value &lt;0.05) in islets of </w:t>
      </w:r>
      <w:r w:rsidR="00CF59BD" w:rsidRPr="00CF59BD">
        <w:rPr>
          <w:rFonts w:ascii="Times New Roman" w:hAnsi="Times New Roman" w:cs="Times New Roman"/>
          <w:i/>
          <w:iCs/>
          <w:sz w:val="20"/>
          <w:szCs w:val="20"/>
        </w:rPr>
        <w:t>Pax4</w:t>
      </w:r>
      <w:r w:rsidR="00CF59BD" w:rsidRPr="00CF59BD">
        <w:rPr>
          <w:rFonts w:ascii="Times New Roman" w:hAnsi="Times New Roman" w:cs="Times New Roman"/>
          <w:sz w:val="20"/>
          <w:szCs w:val="20"/>
        </w:rPr>
        <w:t xml:space="preserve"> R192H mice (compared to wildtype mice, green circle) and </w:t>
      </w:r>
      <w:r w:rsidR="00CF59BD" w:rsidRPr="00CF59BD">
        <w:rPr>
          <w:rFonts w:ascii="Times New Roman" w:hAnsi="Times New Roman" w:cs="Times New Roman"/>
          <w:i/>
          <w:iCs/>
          <w:sz w:val="20"/>
          <w:szCs w:val="20"/>
        </w:rPr>
        <w:t>Pax4</w:t>
      </w:r>
      <w:r w:rsidR="00CF59BD" w:rsidRPr="00CF59BD">
        <w:rPr>
          <w:rFonts w:ascii="Times New Roman" w:hAnsi="Times New Roman" w:cs="Times New Roman"/>
          <w:sz w:val="20"/>
          <w:szCs w:val="20"/>
        </w:rPr>
        <w:t xml:space="preserve"> βiKO mice (compared to control mice, purple circle) respectively. (C) Scatterplot showing the correlation of log</w:t>
      </w:r>
      <w:r w:rsidR="00CF59BD" w:rsidRPr="00BF5A63">
        <w:rPr>
          <w:rFonts w:ascii="Times New Roman" w:hAnsi="Times New Roman" w:cs="Times New Roman"/>
          <w:sz w:val="20"/>
          <w:szCs w:val="20"/>
          <w:vertAlign w:val="subscript"/>
        </w:rPr>
        <w:t>2</w:t>
      </w:r>
      <w:r w:rsidR="00CF59BD" w:rsidRPr="00CF59BD">
        <w:rPr>
          <w:rFonts w:ascii="Times New Roman" w:hAnsi="Times New Roman" w:cs="Times New Roman"/>
          <w:sz w:val="20"/>
          <w:szCs w:val="20"/>
          <w:vertAlign w:val="subscript"/>
        </w:rPr>
        <w:t xml:space="preserve"> </w:t>
      </w:r>
      <w:r w:rsidR="00CF59BD" w:rsidRPr="00CF59BD">
        <w:rPr>
          <w:rFonts w:ascii="Times New Roman" w:hAnsi="Times New Roman" w:cs="Times New Roman"/>
          <w:sz w:val="20"/>
          <w:szCs w:val="20"/>
        </w:rPr>
        <w:t xml:space="preserve">fold changes of gene expression in islets of </w:t>
      </w:r>
      <w:r w:rsidR="00CF59BD" w:rsidRPr="00CF59BD">
        <w:rPr>
          <w:rFonts w:ascii="Times New Roman" w:hAnsi="Times New Roman" w:cs="Times New Roman"/>
          <w:i/>
          <w:iCs/>
          <w:sz w:val="20"/>
          <w:szCs w:val="20"/>
        </w:rPr>
        <w:t>Pax4</w:t>
      </w:r>
      <w:r w:rsidR="00CF59BD" w:rsidRPr="00CF59BD">
        <w:rPr>
          <w:rFonts w:ascii="Times New Roman" w:hAnsi="Times New Roman" w:cs="Times New Roman"/>
          <w:sz w:val="20"/>
          <w:szCs w:val="20"/>
        </w:rPr>
        <w:t xml:space="preserve"> R192H mice (compared to wildtype mice) and </w:t>
      </w:r>
      <w:r w:rsidR="00CF59BD" w:rsidRPr="00CF59BD">
        <w:rPr>
          <w:rFonts w:ascii="Times New Roman" w:hAnsi="Times New Roman" w:cs="Times New Roman"/>
          <w:i/>
          <w:iCs/>
          <w:sz w:val="20"/>
          <w:szCs w:val="20"/>
        </w:rPr>
        <w:t>Pax4</w:t>
      </w:r>
      <w:r w:rsidR="00CF59BD" w:rsidRPr="00CF59BD">
        <w:rPr>
          <w:rFonts w:ascii="Times New Roman" w:hAnsi="Times New Roman" w:cs="Times New Roman"/>
          <w:sz w:val="20"/>
          <w:szCs w:val="20"/>
        </w:rPr>
        <w:t xml:space="preserve"> βiKO mice (compared to control mice). Colored dots indicate significant DEGs (log</w:t>
      </w:r>
      <w:r w:rsidR="00CF59BD" w:rsidRPr="00CF59BD">
        <w:rPr>
          <w:rFonts w:ascii="Times New Roman" w:hAnsi="Times New Roman" w:cs="Times New Roman"/>
          <w:sz w:val="20"/>
          <w:szCs w:val="20"/>
          <w:vertAlign w:val="subscript"/>
        </w:rPr>
        <w:t>2</w:t>
      </w:r>
      <w:r w:rsidR="00CF59BD" w:rsidRPr="00CF59BD">
        <w:rPr>
          <w:rFonts w:ascii="Times New Roman" w:hAnsi="Times New Roman" w:cs="Times New Roman"/>
          <w:sz w:val="20"/>
          <w:szCs w:val="20"/>
        </w:rPr>
        <w:t xml:space="preserve">(fold change) &gt;0.5, adjusted </w:t>
      </w:r>
      <w:r w:rsidR="00AC63D4" w:rsidRPr="00BF5A63">
        <w:rPr>
          <w:rFonts w:ascii="Times New Roman" w:hAnsi="Times New Roman" w:cs="Times New Roman"/>
          <w:i/>
          <w:iCs/>
          <w:sz w:val="20"/>
          <w:szCs w:val="20"/>
          <w:lang w:eastAsia="ko-KR"/>
        </w:rPr>
        <w:t>P</w:t>
      </w:r>
      <w:r w:rsidR="00AC63D4">
        <w:rPr>
          <w:rFonts w:ascii="Times New Roman" w:hAnsi="Times New Roman" w:cs="Times New Roman" w:hint="eastAsia"/>
          <w:sz w:val="20"/>
          <w:szCs w:val="20"/>
          <w:lang w:eastAsia="ko-KR"/>
        </w:rPr>
        <w:t xml:space="preserve"> </w:t>
      </w:r>
      <w:r w:rsidR="00CF59BD" w:rsidRPr="00CF59BD">
        <w:rPr>
          <w:rFonts w:ascii="Times New Roman" w:hAnsi="Times New Roman" w:cs="Times New Roman"/>
          <w:sz w:val="20"/>
          <w:szCs w:val="20"/>
        </w:rPr>
        <w:t xml:space="preserve">value &lt;0.05) in </w:t>
      </w:r>
      <w:r w:rsidR="00CF59BD" w:rsidRPr="00CF59BD">
        <w:rPr>
          <w:rFonts w:ascii="Times New Roman" w:hAnsi="Times New Roman" w:cs="Times New Roman"/>
          <w:i/>
          <w:iCs/>
          <w:sz w:val="20"/>
          <w:szCs w:val="20"/>
        </w:rPr>
        <w:t>Pax4</w:t>
      </w:r>
      <w:r w:rsidR="00CF59BD" w:rsidRPr="00CF59BD">
        <w:rPr>
          <w:rFonts w:ascii="Times New Roman" w:hAnsi="Times New Roman" w:cs="Times New Roman"/>
          <w:sz w:val="20"/>
          <w:szCs w:val="20"/>
        </w:rPr>
        <w:t xml:space="preserve"> R192H mice (green), </w:t>
      </w:r>
      <w:r w:rsidR="00CF59BD" w:rsidRPr="00CF59BD">
        <w:rPr>
          <w:rFonts w:ascii="Times New Roman" w:hAnsi="Times New Roman" w:cs="Times New Roman"/>
          <w:i/>
          <w:iCs/>
          <w:sz w:val="20"/>
          <w:szCs w:val="20"/>
        </w:rPr>
        <w:t>Pax4</w:t>
      </w:r>
      <w:r w:rsidR="00CF59BD" w:rsidRPr="00CF59BD">
        <w:rPr>
          <w:rFonts w:ascii="Times New Roman" w:hAnsi="Times New Roman" w:cs="Times New Roman"/>
          <w:sz w:val="20"/>
          <w:szCs w:val="20"/>
        </w:rPr>
        <w:t xml:space="preserve"> βiKO mice (purple), or both genotypes (red). Trend lines and Pearson correlation coefficient were derived from all genes (black) or significant DEGs (blue). </w:t>
      </w:r>
    </w:p>
    <w:p w14:paraId="3A0C3469" w14:textId="77777777" w:rsidR="00CF59BD" w:rsidRPr="00742791" w:rsidRDefault="00CF59BD" w:rsidP="00676404">
      <w:pPr>
        <w:spacing w:after="120" w:line="240" w:lineRule="auto"/>
        <w:contextualSpacing/>
        <w:jc w:val="both"/>
        <w:rPr>
          <w:rFonts w:ascii="Times New Roman" w:hAnsi="Times New Roman" w:cs="Times New Roman"/>
          <w:b/>
          <w:sz w:val="20"/>
          <w:szCs w:val="20"/>
        </w:rPr>
      </w:pPr>
    </w:p>
    <w:sectPr w:rsidR="00CF59BD" w:rsidRPr="00742791" w:rsidSect="003B08A8">
      <w:pgSz w:w="11906" w:h="16838"/>
      <w:pgMar w:top="1440" w:right="1080" w:bottom="1440" w:left="1080" w:header="851" w:footer="992" w:gutter="0"/>
      <w:cols w:space="425"/>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B9CEC6B" w16cex:dateUtc="2026-04-13T21: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0964B3" w16cid:durableId="6B9CEC6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02F733" w14:textId="77777777" w:rsidR="00494698" w:rsidRDefault="00494698" w:rsidP="000C3EBC">
      <w:pPr>
        <w:spacing w:after="0" w:line="240" w:lineRule="auto"/>
      </w:pPr>
      <w:r>
        <w:separator/>
      </w:r>
    </w:p>
  </w:endnote>
  <w:endnote w:type="continuationSeparator" w:id="0">
    <w:p w14:paraId="10773946" w14:textId="77777777" w:rsidR="00494698" w:rsidRDefault="00494698" w:rsidP="000C3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굴림">
    <w:altName w:val="Gulim"/>
    <w:panose1 w:val="020B0600000101010101"/>
    <w:charset w:val="81"/>
    <w:family w:val="modern"/>
    <w:pitch w:val="variable"/>
    <w:sig w:usb0="B00002AF" w:usb1="69D77CFB" w:usb2="00000030" w:usb3="00000000" w:csb0="0008009F" w:csb1="00000000"/>
  </w:font>
  <w:font w:name="바탕체">
    <w:altName w:val="BatangChe"/>
    <w:panose1 w:val="02030609000101010101"/>
    <w:charset w:val="81"/>
    <w:family w:val="roma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293DB" w14:textId="77777777" w:rsidR="00494698" w:rsidRDefault="00494698" w:rsidP="000C3EBC">
      <w:pPr>
        <w:spacing w:after="0" w:line="240" w:lineRule="auto"/>
      </w:pPr>
      <w:r>
        <w:separator/>
      </w:r>
    </w:p>
  </w:footnote>
  <w:footnote w:type="continuationSeparator" w:id="0">
    <w:p w14:paraId="6CB84CBF" w14:textId="77777777" w:rsidR="00494698" w:rsidRDefault="00494698" w:rsidP="000C3E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723"/>
    <w:rsid w:val="0001131B"/>
    <w:rsid w:val="00022D50"/>
    <w:rsid w:val="000358C3"/>
    <w:rsid w:val="00045354"/>
    <w:rsid w:val="00047F45"/>
    <w:rsid w:val="0005607B"/>
    <w:rsid w:val="0006465B"/>
    <w:rsid w:val="000777E7"/>
    <w:rsid w:val="000975AD"/>
    <w:rsid w:val="00097827"/>
    <w:rsid w:val="000A445C"/>
    <w:rsid w:val="000B67DB"/>
    <w:rsid w:val="000C3EBC"/>
    <w:rsid w:val="000D1C41"/>
    <w:rsid w:val="000E7A2C"/>
    <w:rsid w:val="000F7974"/>
    <w:rsid w:val="00131BB2"/>
    <w:rsid w:val="00133089"/>
    <w:rsid w:val="00142551"/>
    <w:rsid w:val="00192B08"/>
    <w:rsid w:val="00195B6E"/>
    <w:rsid w:val="001B75E9"/>
    <w:rsid w:val="001C3EC7"/>
    <w:rsid w:val="001D19CB"/>
    <w:rsid w:val="001E2754"/>
    <w:rsid w:val="001E308F"/>
    <w:rsid w:val="0020187B"/>
    <w:rsid w:val="00204820"/>
    <w:rsid w:val="00210EBE"/>
    <w:rsid w:val="0021263C"/>
    <w:rsid w:val="0022142C"/>
    <w:rsid w:val="00222F68"/>
    <w:rsid w:val="002701FE"/>
    <w:rsid w:val="00270357"/>
    <w:rsid w:val="002A5F4F"/>
    <w:rsid w:val="002C5B0B"/>
    <w:rsid w:val="002D456A"/>
    <w:rsid w:val="002D6165"/>
    <w:rsid w:val="002F3A39"/>
    <w:rsid w:val="00325C10"/>
    <w:rsid w:val="003406AC"/>
    <w:rsid w:val="00354942"/>
    <w:rsid w:val="00370EE6"/>
    <w:rsid w:val="00382A20"/>
    <w:rsid w:val="003844EE"/>
    <w:rsid w:val="0038510A"/>
    <w:rsid w:val="003A4308"/>
    <w:rsid w:val="003A4A9C"/>
    <w:rsid w:val="003B08A8"/>
    <w:rsid w:val="003F405D"/>
    <w:rsid w:val="003F72E1"/>
    <w:rsid w:val="00403E70"/>
    <w:rsid w:val="004254FF"/>
    <w:rsid w:val="00445492"/>
    <w:rsid w:val="00467837"/>
    <w:rsid w:val="00494698"/>
    <w:rsid w:val="004B58F3"/>
    <w:rsid w:val="004B6D14"/>
    <w:rsid w:val="004B7893"/>
    <w:rsid w:val="004C0606"/>
    <w:rsid w:val="004D6317"/>
    <w:rsid w:val="004D664A"/>
    <w:rsid w:val="004E54A3"/>
    <w:rsid w:val="004F380C"/>
    <w:rsid w:val="005012CD"/>
    <w:rsid w:val="005124C0"/>
    <w:rsid w:val="00512533"/>
    <w:rsid w:val="0051419F"/>
    <w:rsid w:val="00536EB1"/>
    <w:rsid w:val="00570C48"/>
    <w:rsid w:val="00571F55"/>
    <w:rsid w:val="00574D08"/>
    <w:rsid w:val="00580AAB"/>
    <w:rsid w:val="005870E2"/>
    <w:rsid w:val="005901D2"/>
    <w:rsid w:val="005A212E"/>
    <w:rsid w:val="005A2853"/>
    <w:rsid w:val="005B07C1"/>
    <w:rsid w:val="005C464B"/>
    <w:rsid w:val="005C775B"/>
    <w:rsid w:val="005D0B5E"/>
    <w:rsid w:val="00616206"/>
    <w:rsid w:val="00623ADF"/>
    <w:rsid w:val="00625666"/>
    <w:rsid w:val="0063362F"/>
    <w:rsid w:val="00642811"/>
    <w:rsid w:val="006721FD"/>
    <w:rsid w:val="006756AF"/>
    <w:rsid w:val="00676404"/>
    <w:rsid w:val="00681FE4"/>
    <w:rsid w:val="00686629"/>
    <w:rsid w:val="006A1DEE"/>
    <w:rsid w:val="006B37AD"/>
    <w:rsid w:val="006E4DA3"/>
    <w:rsid w:val="00701365"/>
    <w:rsid w:val="007362CD"/>
    <w:rsid w:val="0074095B"/>
    <w:rsid w:val="00742791"/>
    <w:rsid w:val="0075777F"/>
    <w:rsid w:val="007751D7"/>
    <w:rsid w:val="007B2108"/>
    <w:rsid w:val="007C7723"/>
    <w:rsid w:val="007D04A0"/>
    <w:rsid w:val="007E64D0"/>
    <w:rsid w:val="007F6BD6"/>
    <w:rsid w:val="00817272"/>
    <w:rsid w:val="00823365"/>
    <w:rsid w:val="008A246B"/>
    <w:rsid w:val="008B0C60"/>
    <w:rsid w:val="008C0DFC"/>
    <w:rsid w:val="008F455C"/>
    <w:rsid w:val="00935746"/>
    <w:rsid w:val="00935E54"/>
    <w:rsid w:val="009478C4"/>
    <w:rsid w:val="00952C80"/>
    <w:rsid w:val="009601DE"/>
    <w:rsid w:val="00966C49"/>
    <w:rsid w:val="00982BCB"/>
    <w:rsid w:val="0099309F"/>
    <w:rsid w:val="00996AFF"/>
    <w:rsid w:val="009A5C45"/>
    <w:rsid w:val="009B789E"/>
    <w:rsid w:val="009D0B1E"/>
    <w:rsid w:val="00A0274E"/>
    <w:rsid w:val="00A07195"/>
    <w:rsid w:val="00A15A4F"/>
    <w:rsid w:val="00A2489D"/>
    <w:rsid w:val="00A24F61"/>
    <w:rsid w:val="00A42EA7"/>
    <w:rsid w:val="00A47244"/>
    <w:rsid w:val="00A64E8A"/>
    <w:rsid w:val="00A84A75"/>
    <w:rsid w:val="00A96A93"/>
    <w:rsid w:val="00AC63D4"/>
    <w:rsid w:val="00AF5C4D"/>
    <w:rsid w:val="00AF76AB"/>
    <w:rsid w:val="00B02FED"/>
    <w:rsid w:val="00B33D1D"/>
    <w:rsid w:val="00B6234E"/>
    <w:rsid w:val="00B653DE"/>
    <w:rsid w:val="00B942C5"/>
    <w:rsid w:val="00BC2AE8"/>
    <w:rsid w:val="00BD7928"/>
    <w:rsid w:val="00BE1ED4"/>
    <w:rsid w:val="00BF5A63"/>
    <w:rsid w:val="00C05983"/>
    <w:rsid w:val="00C114F9"/>
    <w:rsid w:val="00C12351"/>
    <w:rsid w:val="00C17899"/>
    <w:rsid w:val="00C35C80"/>
    <w:rsid w:val="00C36616"/>
    <w:rsid w:val="00C413B5"/>
    <w:rsid w:val="00C504D7"/>
    <w:rsid w:val="00C55358"/>
    <w:rsid w:val="00C73411"/>
    <w:rsid w:val="00C75B75"/>
    <w:rsid w:val="00C90F8F"/>
    <w:rsid w:val="00CA1BD9"/>
    <w:rsid w:val="00CB43BB"/>
    <w:rsid w:val="00CD33B3"/>
    <w:rsid w:val="00CE05E1"/>
    <w:rsid w:val="00CE242E"/>
    <w:rsid w:val="00CE26C4"/>
    <w:rsid w:val="00CF59BD"/>
    <w:rsid w:val="00D10618"/>
    <w:rsid w:val="00D32801"/>
    <w:rsid w:val="00D32CC5"/>
    <w:rsid w:val="00D50D9B"/>
    <w:rsid w:val="00D62180"/>
    <w:rsid w:val="00D81716"/>
    <w:rsid w:val="00D86C81"/>
    <w:rsid w:val="00D96423"/>
    <w:rsid w:val="00DC453A"/>
    <w:rsid w:val="00DD4AE6"/>
    <w:rsid w:val="00DF07F6"/>
    <w:rsid w:val="00DF2A30"/>
    <w:rsid w:val="00E20321"/>
    <w:rsid w:val="00E30ED5"/>
    <w:rsid w:val="00E66627"/>
    <w:rsid w:val="00E676F1"/>
    <w:rsid w:val="00E94722"/>
    <w:rsid w:val="00E95D48"/>
    <w:rsid w:val="00EA1B6F"/>
    <w:rsid w:val="00EA2213"/>
    <w:rsid w:val="00EA3757"/>
    <w:rsid w:val="00EA57A2"/>
    <w:rsid w:val="00EB1403"/>
    <w:rsid w:val="00EC4040"/>
    <w:rsid w:val="00ED1358"/>
    <w:rsid w:val="00ED1995"/>
    <w:rsid w:val="00ED7200"/>
    <w:rsid w:val="00EE022F"/>
    <w:rsid w:val="00EE05C1"/>
    <w:rsid w:val="00EE268F"/>
    <w:rsid w:val="00F117F5"/>
    <w:rsid w:val="00F141D5"/>
    <w:rsid w:val="00F1630F"/>
    <w:rsid w:val="00F173DE"/>
    <w:rsid w:val="00F26268"/>
    <w:rsid w:val="00F468C4"/>
    <w:rsid w:val="00F656B3"/>
    <w:rsid w:val="00F82627"/>
    <w:rsid w:val="00F9497B"/>
    <w:rsid w:val="00F966C6"/>
    <w:rsid w:val="00FA39DF"/>
    <w:rsid w:val="00FB7C1C"/>
    <w:rsid w:val="00FC28FA"/>
    <w:rsid w:val="00FD0B58"/>
    <w:rsid w:val="00FE727D"/>
    <w:rsid w:val="00FF6D6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93194"/>
  <w15:chartTrackingRefBased/>
  <w15:docId w15:val="{44911DA4-F69C-4F4B-B1FF-1BFDE15D7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F8F"/>
    <w:pPr>
      <w:jc w:val="left"/>
    </w:pPr>
    <w:rPr>
      <w:rFonts w:eastAsia="바탕"/>
      <w:kern w:val="0"/>
      <w:sz w:val="22"/>
      <w:lang w:eastAsia="en-US"/>
    </w:rPr>
  </w:style>
  <w:style w:type="paragraph" w:styleId="1">
    <w:name w:val="heading 1"/>
    <w:basedOn w:val="a"/>
    <w:next w:val="a"/>
    <w:link w:val="1Char"/>
    <w:uiPriority w:val="9"/>
    <w:qFormat/>
    <w:rsid w:val="007C7723"/>
    <w:pPr>
      <w:spacing w:after="120" w:line="240" w:lineRule="auto"/>
      <w:outlineLvl w:val="0"/>
    </w:pPr>
    <w:rPr>
      <w:rFonts w:ascii="Arial" w:eastAsia="MS Mincho" w:hAnsi="Arial" w:cs="Helvetica"/>
      <w:b/>
      <w:caps/>
      <w:color w:val="AB4C4C"/>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7C7723"/>
    <w:rPr>
      <w:rFonts w:ascii="Arial" w:eastAsia="MS Mincho" w:hAnsi="Arial" w:cs="Helvetica"/>
      <w:b/>
      <w:caps/>
      <w:color w:val="AB4C4C"/>
      <w:kern w:val="0"/>
      <w:szCs w:val="20"/>
      <w:lang w:eastAsia="en-US"/>
    </w:rPr>
  </w:style>
  <w:style w:type="character" w:styleId="a3">
    <w:name w:val="Hyperlink"/>
    <w:basedOn w:val="a0"/>
    <w:uiPriority w:val="99"/>
    <w:unhideWhenUsed/>
    <w:rsid w:val="007C7723"/>
    <w:rPr>
      <w:color w:val="0086BF"/>
      <w:u w:val="single"/>
    </w:rPr>
  </w:style>
  <w:style w:type="character" w:styleId="a4">
    <w:name w:val="annotation reference"/>
    <w:basedOn w:val="a0"/>
    <w:uiPriority w:val="99"/>
    <w:semiHidden/>
    <w:unhideWhenUsed/>
    <w:rsid w:val="007C7723"/>
    <w:rPr>
      <w:sz w:val="16"/>
      <w:szCs w:val="16"/>
    </w:rPr>
  </w:style>
  <w:style w:type="paragraph" w:styleId="a5">
    <w:name w:val="annotation text"/>
    <w:basedOn w:val="a"/>
    <w:link w:val="Char"/>
    <w:uiPriority w:val="99"/>
    <w:unhideWhenUsed/>
    <w:rsid w:val="007C7723"/>
    <w:pPr>
      <w:spacing w:line="240" w:lineRule="auto"/>
    </w:pPr>
    <w:rPr>
      <w:sz w:val="20"/>
      <w:szCs w:val="20"/>
    </w:rPr>
  </w:style>
  <w:style w:type="character" w:customStyle="1" w:styleId="Char">
    <w:name w:val="메모 텍스트 Char"/>
    <w:basedOn w:val="a0"/>
    <w:link w:val="a5"/>
    <w:uiPriority w:val="99"/>
    <w:rsid w:val="007C7723"/>
    <w:rPr>
      <w:rFonts w:eastAsia="바탕"/>
      <w:kern w:val="0"/>
      <w:szCs w:val="20"/>
      <w:lang w:eastAsia="en-US"/>
    </w:rPr>
  </w:style>
  <w:style w:type="paragraph" w:styleId="a6">
    <w:name w:val="Balloon Text"/>
    <w:basedOn w:val="a"/>
    <w:link w:val="Char0"/>
    <w:uiPriority w:val="99"/>
    <w:semiHidden/>
    <w:unhideWhenUsed/>
    <w:rsid w:val="007C7723"/>
    <w:pPr>
      <w:spacing w:after="0" w:line="240" w:lineRule="auto"/>
    </w:pPr>
    <w:rPr>
      <w:rFonts w:asciiTheme="majorHAnsi" w:eastAsiaTheme="majorEastAsia" w:hAnsiTheme="majorHAnsi" w:cstheme="majorBidi"/>
      <w:sz w:val="18"/>
      <w:szCs w:val="18"/>
    </w:rPr>
  </w:style>
  <w:style w:type="character" w:customStyle="1" w:styleId="Char0">
    <w:name w:val="풍선 도움말 텍스트 Char"/>
    <w:basedOn w:val="a0"/>
    <w:link w:val="a6"/>
    <w:uiPriority w:val="99"/>
    <w:semiHidden/>
    <w:rsid w:val="007C7723"/>
    <w:rPr>
      <w:rFonts w:asciiTheme="majorHAnsi" w:eastAsiaTheme="majorEastAsia" w:hAnsiTheme="majorHAnsi" w:cstheme="majorBidi"/>
      <w:kern w:val="0"/>
      <w:sz w:val="18"/>
      <w:szCs w:val="18"/>
      <w:lang w:eastAsia="en-US"/>
    </w:rPr>
  </w:style>
  <w:style w:type="paragraph" w:styleId="a7">
    <w:name w:val="Normal (Web)"/>
    <w:basedOn w:val="a"/>
    <w:uiPriority w:val="99"/>
    <w:unhideWhenUsed/>
    <w:rsid w:val="007C7723"/>
    <w:pPr>
      <w:spacing w:before="100" w:beforeAutospacing="1" w:after="100" w:afterAutospacing="1" w:line="240" w:lineRule="auto"/>
    </w:pPr>
    <w:rPr>
      <w:rFonts w:ascii="굴림" w:eastAsia="굴림" w:hAnsi="굴림" w:cs="굴림"/>
      <w:sz w:val="24"/>
      <w:szCs w:val="24"/>
      <w:lang w:eastAsia="ko-KR"/>
    </w:rPr>
  </w:style>
  <w:style w:type="table" w:styleId="a8">
    <w:name w:val="Table Grid"/>
    <w:basedOn w:val="a1"/>
    <w:uiPriority w:val="39"/>
    <w:rsid w:val="007C7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Char1"/>
    <w:uiPriority w:val="99"/>
    <w:unhideWhenUsed/>
    <w:rsid w:val="000C3EBC"/>
    <w:pPr>
      <w:tabs>
        <w:tab w:val="center" w:pos="4513"/>
        <w:tab w:val="right" w:pos="9026"/>
      </w:tabs>
      <w:snapToGrid w:val="0"/>
    </w:pPr>
  </w:style>
  <w:style w:type="character" w:customStyle="1" w:styleId="Char1">
    <w:name w:val="머리글 Char"/>
    <w:basedOn w:val="a0"/>
    <w:link w:val="a9"/>
    <w:uiPriority w:val="99"/>
    <w:rsid w:val="000C3EBC"/>
    <w:rPr>
      <w:rFonts w:eastAsia="바탕"/>
      <w:kern w:val="0"/>
      <w:sz w:val="22"/>
      <w:lang w:eastAsia="en-US"/>
    </w:rPr>
  </w:style>
  <w:style w:type="paragraph" w:styleId="aa">
    <w:name w:val="footer"/>
    <w:basedOn w:val="a"/>
    <w:link w:val="Char2"/>
    <w:uiPriority w:val="99"/>
    <w:unhideWhenUsed/>
    <w:rsid w:val="000C3EBC"/>
    <w:pPr>
      <w:tabs>
        <w:tab w:val="center" w:pos="4513"/>
        <w:tab w:val="right" w:pos="9026"/>
      </w:tabs>
      <w:snapToGrid w:val="0"/>
    </w:pPr>
  </w:style>
  <w:style w:type="character" w:customStyle="1" w:styleId="Char2">
    <w:name w:val="바닥글 Char"/>
    <w:basedOn w:val="a0"/>
    <w:link w:val="aa"/>
    <w:uiPriority w:val="99"/>
    <w:rsid w:val="000C3EBC"/>
    <w:rPr>
      <w:rFonts w:eastAsia="바탕"/>
      <w:kern w:val="0"/>
      <w:sz w:val="22"/>
      <w:lang w:eastAsia="en-US"/>
    </w:rPr>
  </w:style>
  <w:style w:type="paragraph" w:styleId="ab">
    <w:name w:val="caption"/>
    <w:basedOn w:val="a"/>
    <w:next w:val="a"/>
    <w:uiPriority w:val="35"/>
    <w:unhideWhenUsed/>
    <w:qFormat/>
    <w:rsid w:val="00F468C4"/>
    <w:rPr>
      <w:b/>
      <w:bCs/>
      <w:sz w:val="20"/>
      <w:szCs w:val="20"/>
    </w:rPr>
  </w:style>
  <w:style w:type="paragraph" w:styleId="ac">
    <w:name w:val="Revision"/>
    <w:hidden/>
    <w:uiPriority w:val="99"/>
    <w:semiHidden/>
    <w:rsid w:val="00AC63D4"/>
    <w:pPr>
      <w:spacing w:after="0" w:line="240" w:lineRule="auto"/>
      <w:jc w:val="left"/>
    </w:pPr>
    <w:rPr>
      <w:rFonts w:eastAsia="바탕"/>
      <w:kern w:val="0"/>
      <w:sz w:val="22"/>
      <w:lang w:eastAsia="en-US"/>
    </w:rPr>
  </w:style>
  <w:style w:type="paragraph" w:styleId="ad">
    <w:name w:val="List Paragraph"/>
    <w:basedOn w:val="a"/>
    <w:uiPriority w:val="34"/>
    <w:qFormat/>
    <w:rsid w:val="008A246B"/>
    <w:pPr>
      <w:ind w:leftChars="400" w:left="800"/>
    </w:pPr>
  </w:style>
  <w:style w:type="paragraph" w:styleId="ae">
    <w:name w:val="annotation subject"/>
    <w:basedOn w:val="a5"/>
    <w:next w:val="a5"/>
    <w:link w:val="Char3"/>
    <w:uiPriority w:val="99"/>
    <w:semiHidden/>
    <w:unhideWhenUsed/>
    <w:rsid w:val="00DC453A"/>
    <w:pPr>
      <w:spacing w:line="259" w:lineRule="auto"/>
    </w:pPr>
    <w:rPr>
      <w:b/>
      <w:bCs/>
      <w:sz w:val="22"/>
      <w:szCs w:val="22"/>
    </w:rPr>
  </w:style>
  <w:style w:type="character" w:customStyle="1" w:styleId="Char3">
    <w:name w:val="메모 주제 Char"/>
    <w:basedOn w:val="Char"/>
    <w:link w:val="ae"/>
    <w:uiPriority w:val="99"/>
    <w:semiHidden/>
    <w:rsid w:val="00DC453A"/>
    <w:rPr>
      <w:rFonts w:eastAsia="바탕"/>
      <w:b/>
      <w:bCs/>
      <w:kern w:val="0"/>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68">
      <w:bodyDiv w:val="1"/>
      <w:marLeft w:val="0"/>
      <w:marRight w:val="0"/>
      <w:marTop w:val="0"/>
      <w:marBottom w:val="0"/>
      <w:divBdr>
        <w:top w:val="none" w:sz="0" w:space="0" w:color="auto"/>
        <w:left w:val="none" w:sz="0" w:space="0" w:color="auto"/>
        <w:bottom w:val="none" w:sz="0" w:space="0" w:color="auto"/>
        <w:right w:val="none" w:sz="0" w:space="0" w:color="auto"/>
      </w:divBdr>
    </w:div>
    <w:div w:id="24259606">
      <w:bodyDiv w:val="1"/>
      <w:marLeft w:val="0"/>
      <w:marRight w:val="0"/>
      <w:marTop w:val="0"/>
      <w:marBottom w:val="0"/>
      <w:divBdr>
        <w:top w:val="none" w:sz="0" w:space="0" w:color="auto"/>
        <w:left w:val="none" w:sz="0" w:space="0" w:color="auto"/>
        <w:bottom w:val="none" w:sz="0" w:space="0" w:color="auto"/>
        <w:right w:val="none" w:sz="0" w:space="0" w:color="auto"/>
      </w:divBdr>
    </w:div>
    <w:div w:id="41828946">
      <w:bodyDiv w:val="1"/>
      <w:marLeft w:val="0"/>
      <w:marRight w:val="0"/>
      <w:marTop w:val="0"/>
      <w:marBottom w:val="0"/>
      <w:divBdr>
        <w:top w:val="none" w:sz="0" w:space="0" w:color="auto"/>
        <w:left w:val="none" w:sz="0" w:space="0" w:color="auto"/>
        <w:bottom w:val="none" w:sz="0" w:space="0" w:color="auto"/>
        <w:right w:val="none" w:sz="0" w:space="0" w:color="auto"/>
      </w:divBdr>
    </w:div>
    <w:div w:id="71588379">
      <w:bodyDiv w:val="1"/>
      <w:marLeft w:val="0"/>
      <w:marRight w:val="0"/>
      <w:marTop w:val="0"/>
      <w:marBottom w:val="0"/>
      <w:divBdr>
        <w:top w:val="none" w:sz="0" w:space="0" w:color="auto"/>
        <w:left w:val="none" w:sz="0" w:space="0" w:color="auto"/>
        <w:bottom w:val="none" w:sz="0" w:space="0" w:color="auto"/>
        <w:right w:val="none" w:sz="0" w:space="0" w:color="auto"/>
      </w:divBdr>
    </w:div>
    <w:div w:id="73285767">
      <w:bodyDiv w:val="1"/>
      <w:marLeft w:val="0"/>
      <w:marRight w:val="0"/>
      <w:marTop w:val="0"/>
      <w:marBottom w:val="0"/>
      <w:divBdr>
        <w:top w:val="none" w:sz="0" w:space="0" w:color="auto"/>
        <w:left w:val="none" w:sz="0" w:space="0" w:color="auto"/>
        <w:bottom w:val="none" w:sz="0" w:space="0" w:color="auto"/>
        <w:right w:val="none" w:sz="0" w:space="0" w:color="auto"/>
      </w:divBdr>
    </w:div>
    <w:div w:id="77680202">
      <w:bodyDiv w:val="1"/>
      <w:marLeft w:val="0"/>
      <w:marRight w:val="0"/>
      <w:marTop w:val="0"/>
      <w:marBottom w:val="0"/>
      <w:divBdr>
        <w:top w:val="none" w:sz="0" w:space="0" w:color="auto"/>
        <w:left w:val="none" w:sz="0" w:space="0" w:color="auto"/>
        <w:bottom w:val="none" w:sz="0" w:space="0" w:color="auto"/>
        <w:right w:val="none" w:sz="0" w:space="0" w:color="auto"/>
      </w:divBdr>
    </w:div>
    <w:div w:id="118500369">
      <w:bodyDiv w:val="1"/>
      <w:marLeft w:val="0"/>
      <w:marRight w:val="0"/>
      <w:marTop w:val="0"/>
      <w:marBottom w:val="0"/>
      <w:divBdr>
        <w:top w:val="none" w:sz="0" w:space="0" w:color="auto"/>
        <w:left w:val="none" w:sz="0" w:space="0" w:color="auto"/>
        <w:bottom w:val="none" w:sz="0" w:space="0" w:color="auto"/>
        <w:right w:val="none" w:sz="0" w:space="0" w:color="auto"/>
      </w:divBdr>
    </w:div>
    <w:div w:id="162554007">
      <w:bodyDiv w:val="1"/>
      <w:marLeft w:val="0"/>
      <w:marRight w:val="0"/>
      <w:marTop w:val="0"/>
      <w:marBottom w:val="0"/>
      <w:divBdr>
        <w:top w:val="none" w:sz="0" w:space="0" w:color="auto"/>
        <w:left w:val="none" w:sz="0" w:space="0" w:color="auto"/>
        <w:bottom w:val="none" w:sz="0" w:space="0" w:color="auto"/>
        <w:right w:val="none" w:sz="0" w:space="0" w:color="auto"/>
      </w:divBdr>
    </w:div>
    <w:div w:id="184291522">
      <w:bodyDiv w:val="1"/>
      <w:marLeft w:val="0"/>
      <w:marRight w:val="0"/>
      <w:marTop w:val="0"/>
      <w:marBottom w:val="0"/>
      <w:divBdr>
        <w:top w:val="none" w:sz="0" w:space="0" w:color="auto"/>
        <w:left w:val="none" w:sz="0" w:space="0" w:color="auto"/>
        <w:bottom w:val="none" w:sz="0" w:space="0" w:color="auto"/>
        <w:right w:val="none" w:sz="0" w:space="0" w:color="auto"/>
      </w:divBdr>
    </w:div>
    <w:div w:id="218980042">
      <w:bodyDiv w:val="1"/>
      <w:marLeft w:val="0"/>
      <w:marRight w:val="0"/>
      <w:marTop w:val="0"/>
      <w:marBottom w:val="0"/>
      <w:divBdr>
        <w:top w:val="none" w:sz="0" w:space="0" w:color="auto"/>
        <w:left w:val="none" w:sz="0" w:space="0" w:color="auto"/>
        <w:bottom w:val="none" w:sz="0" w:space="0" w:color="auto"/>
        <w:right w:val="none" w:sz="0" w:space="0" w:color="auto"/>
      </w:divBdr>
    </w:div>
    <w:div w:id="228349257">
      <w:bodyDiv w:val="1"/>
      <w:marLeft w:val="0"/>
      <w:marRight w:val="0"/>
      <w:marTop w:val="0"/>
      <w:marBottom w:val="0"/>
      <w:divBdr>
        <w:top w:val="none" w:sz="0" w:space="0" w:color="auto"/>
        <w:left w:val="none" w:sz="0" w:space="0" w:color="auto"/>
        <w:bottom w:val="none" w:sz="0" w:space="0" w:color="auto"/>
        <w:right w:val="none" w:sz="0" w:space="0" w:color="auto"/>
      </w:divBdr>
    </w:div>
    <w:div w:id="239291827">
      <w:bodyDiv w:val="1"/>
      <w:marLeft w:val="0"/>
      <w:marRight w:val="0"/>
      <w:marTop w:val="0"/>
      <w:marBottom w:val="0"/>
      <w:divBdr>
        <w:top w:val="none" w:sz="0" w:space="0" w:color="auto"/>
        <w:left w:val="none" w:sz="0" w:space="0" w:color="auto"/>
        <w:bottom w:val="none" w:sz="0" w:space="0" w:color="auto"/>
        <w:right w:val="none" w:sz="0" w:space="0" w:color="auto"/>
      </w:divBdr>
    </w:div>
    <w:div w:id="294725060">
      <w:bodyDiv w:val="1"/>
      <w:marLeft w:val="0"/>
      <w:marRight w:val="0"/>
      <w:marTop w:val="0"/>
      <w:marBottom w:val="0"/>
      <w:divBdr>
        <w:top w:val="none" w:sz="0" w:space="0" w:color="auto"/>
        <w:left w:val="none" w:sz="0" w:space="0" w:color="auto"/>
        <w:bottom w:val="none" w:sz="0" w:space="0" w:color="auto"/>
        <w:right w:val="none" w:sz="0" w:space="0" w:color="auto"/>
      </w:divBdr>
    </w:div>
    <w:div w:id="300499817">
      <w:bodyDiv w:val="1"/>
      <w:marLeft w:val="0"/>
      <w:marRight w:val="0"/>
      <w:marTop w:val="0"/>
      <w:marBottom w:val="0"/>
      <w:divBdr>
        <w:top w:val="none" w:sz="0" w:space="0" w:color="auto"/>
        <w:left w:val="none" w:sz="0" w:space="0" w:color="auto"/>
        <w:bottom w:val="none" w:sz="0" w:space="0" w:color="auto"/>
        <w:right w:val="none" w:sz="0" w:space="0" w:color="auto"/>
      </w:divBdr>
    </w:div>
    <w:div w:id="333144572">
      <w:bodyDiv w:val="1"/>
      <w:marLeft w:val="0"/>
      <w:marRight w:val="0"/>
      <w:marTop w:val="0"/>
      <w:marBottom w:val="0"/>
      <w:divBdr>
        <w:top w:val="none" w:sz="0" w:space="0" w:color="auto"/>
        <w:left w:val="none" w:sz="0" w:space="0" w:color="auto"/>
        <w:bottom w:val="none" w:sz="0" w:space="0" w:color="auto"/>
        <w:right w:val="none" w:sz="0" w:space="0" w:color="auto"/>
      </w:divBdr>
    </w:div>
    <w:div w:id="340089385">
      <w:bodyDiv w:val="1"/>
      <w:marLeft w:val="0"/>
      <w:marRight w:val="0"/>
      <w:marTop w:val="0"/>
      <w:marBottom w:val="0"/>
      <w:divBdr>
        <w:top w:val="none" w:sz="0" w:space="0" w:color="auto"/>
        <w:left w:val="none" w:sz="0" w:space="0" w:color="auto"/>
        <w:bottom w:val="none" w:sz="0" w:space="0" w:color="auto"/>
        <w:right w:val="none" w:sz="0" w:space="0" w:color="auto"/>
      </w:divBdr>
    </w:div>
    <w:div w:id="354422479">
      <w:bodyDiv w:val="1"/>
      <w:marLeft w:val="0"/>
      <w:marRight w:val="0"/>
      <w:marTop w:val="0"/>
      <w:marBottom w:val="0"/>
      <w:divBdr>
        <w:top w:val="none" w:sz="0" w:space="0" w:color="auto"/>
        <w:left w:val="none" w:sz="0" w:space="0" w:color="auto"/>
        <w:bottom w:val="none" w:sz="0" w:space="0" w:color="auto"/>
        <w:right w:val="none" w:sz="0" w:space="0" w:color="auto"/>
      </w:divBdr>
    </w:div>
    <w:div w:id="357050389">
      <w:bodyDiv w:val="1"/>
      <w:marLeft w:val="0"/>
      <w:marRight w:val="0"/>
      <w:marTop w:val="0"/>
      <w:marBottom w:val="0"/>
      <w:divBdr>
        <w:top w:val="none" w:sz="0" w:space="0" w:color="auto"/>
        <w:left w:val="none" w:sz="0" w:space="0" w:color="auto"/>
        <w:bottom w:val="none" w:sz="0" w:space="0" w:color="auto"/>
        <w:right w:val="none" w:sz="0" w:space="0" w:color="auto"/>
      </w:divBdr>
    </w:div>
    <w:div w:id="386074288">
      <w:bodyDiv w:val="1"/>
      <w:marLeft w:val="0"/>
      <w:marRight w:val="0"/>
      <w:marTop w:val="0"/>
      <w:marBottom w:val="0"/>
      <w:divBdr>
        <w:top w:val="none" w:sz="0" w:space="0" w:color="auto"/>
        <w:left w:val="none" w:sz="0" w:space="0" w:color="auto"/>
        <w:bottom w:val="none" w:sz="0" w:space="0" w:color="auto"/>
        <w:right w:val="none" w:sz="0" w:space="0" w:color="auto"/>
      </w:divBdr>
    </w:div>
    <w:div w:id="400256869">
      <w:bodyDiv w:val="1"/>
      <w:marLeft w:val="0"/>
      <w:marRight w:val="0"/>
      <w:marTop w:val="0"/>
      <w:marBottom w:val="0"/>
      <w:divBdr>
        <w:top w:val="none" w:sz="0" w:space="0" w:color="auto"/>
        <w:left w:val="none" w:sz="0" w:space="0" w:color="auto"/>
        <w:bottom w:val="none" w:sz="0" w:space="0" w:color="auto"/>
        <w:right w:val="none" w:sz="0" w:space="0" w:color="auto"/>
      </w:divBdr>
    </w:div>
    <w:div w:id="443892212">
      <w:bodyDiv w:val="1"/>
      <w:marLeft w:val="0"/>
      <w:marRight w:val="0"/>
      <w:marTop w:val="0"/>
      <w:marBottom w:val="0"/>
      <w:divBdr>
        <w:top w:val="none" w:sz="0" w:space="0" w:color="auto"/>
        <w:left w:val="none" w:sz="0" w:space="0" w:color="auto"/>
        <w:bottom w:val="none" w:sz="0" w:space="0" w:color="auto"/>
        <w:right w:val="none" w:sz="0" w:space="0" w:color="auto"/>
      </w:divBdr>
    </w:div>
    <w:div w:id="450711693">
      <w:bodyDiv w:val="1"/>
      <w:marLeft w:val="0"/>
      <w:marRight w:val="0"/>
      <w:marTop w:val="0"/>
      <w:marBottom w:val="0"/>
      <w:divBdr>
        <w:top w:val="none" w:sz="0" w:space="0" w:color="auto"/>
        <w:left w:val="none" w:sz="0" w:space="0" w:color="auto"/>
        <w:bottom w:val="none" w:sz="0" w:space="0" w:color="auto"/>
        <w:right w:val="none" w:sz="0" w:space="0" w:color="auto"/>
      </w:divBdr>
    </w:div>
    <w:div w:id="567112654">
      <w:bodyDiv w:val="1"/>
      <w:marLeft w:val="0"/>
      <w:marRight w:val="0"/>
      <w:marTop w:val="0"/>
      <w:marBottom w:val="0"/>
      <w:divBdr>
        <w:top w:val="none" w:sz="0" w:space="0" w:color="auto"/>
        <w:left w:val="none" w:sz="0" w:space="0" w:color="auto"/>
        <w:bottom w:val="none" w:sz="0" w:space="0" w:color="auto"/>
        <w:right w:val="none" w:sz="0" w:space="0" w:color="auto"/>
      </w:divBdr>
    </w:div>
    <w:div w:id="567761815">
      <w:bodyDiv w:val="1"/>
      <w:marLeft w:val="0"/>
      <w:marRight w:val="0"/>
      <w:marTop w:val="0"/>
      <w:marBottom w:val="0"/>
      <w:divBdr>
        <w:top w:val="none" w:sz="0" w:space="0" w:color="auto"/>
        <w:left w:val="none" w:sz="0" w:space="0" w:color="auto"/>
        <w:bottom w:val="none" w:sz="0" w:space="0" w:color="auto"/>
        <w:right w:val="none" w:sz="0" w:space="0" w:color="auto"/>
      </w:divBdr>
    </w:div>
    <w:div w:id="581986356">
      <w:bodyDiv w:val="1"/>
      <w:marLeft w:val="0"/>
      <w:marRight w:val="0"/>
      <w:marTop w:val="0"/>
      <w:marBottom w:val="0"/>
      <w:divBdr>
        <w:top w:val="none" w:sz="0" w:space="0" w:color="auto"/>
        <w:left w:val="none" w:sz="0" w:space="0" w:color="auto"/>
        <w:bottom w:val="none" w:sz="0" w:space="0" w:color="auto"/>
        <w:right w:val="none" w:sz="0" w:space="0" w:color="auto"/>
      </w:divBdr>
    </w:div>
    <w:div w:id="602614869">
      <w:bodyDiv w:val="1"/>
      <w:marLeft w:val="0"/>
      <w:marRight w:val="0"/>
      <w:marTop w:val="0"/>
      <w:marBottom w:val="0"/>
      <w:divBdr>
        <w:top w:val="none" w:sz="0" w:space="0" w:color="auto"/>
        <w:left w:val="none" w:sz="0" w:space="0" w:color="auto"/>
        <w:bottom w:val="none" w:sz="0" w:space="0" w:color="auto"/>
        <w:right w:val="none" w:sz="0" w:space="0" w:color="auto"/>
      </w:divBdr>
    </w:div>
    <w:div w:id="657879918">
      <w:bodyDiv w:val="1"/>
      <w:marLeft w:val="0"/>
      <w:marRight w:val="0"/>
      <w:marTop w:val="0"/>
      <w:marBottom w:val="0"/>
      <w:divBdr>
        <w:top w:val="none" w:sz="0" w:space="0" w:color="auto"/>
        <w:left w:val="none" w:sz="0" w:space="0" w:color="auto"/>
        <w:bottom w:val="none" w:sz="0" w:space="0" w:color="auto"/>
        <w:right w:val="none" w:sz="0" w:space="0" w:color="auto"/>
      </w:divBdr>
    </w:div>
    <w:div w:id="679434499">
      <w:bodyDiv w:val="1"/>
      <w:marLeft w:val="0"/>
      <w:marRight w:val="0"/>
      <w:marTop w:val="0"/>
      <w:marBottom w:val="0"/>
      <w:divBdr>
        <w:top w:val="none" w:sz="0" w:space="0" w:color="auto"/>
        <w:left w:val="none" w:sz="0" w:space="0" w:color="auto"/>
        <w:bottom w:val="none" w:sz="0" w:space="0" w:color="auto"/>
        <w:right w:val="none" w:sz="0" w:space="0" w:color="auto"/>
      </w:divBdr>
    </w:div>
    <w:div w:id="695891886">
      <w:bodyDiv w:val="1"/>
      <w:marLeft w:val="0"/>
      <w:marRight w:val="0"/>
      <w:marTop w:val="0"/>
      <w:marBottom w:val="0"/>
      <w:divBdr>
        <w:top w:val="none" w:sz="0" w:space="0" w:color="auto"/>
        <w:left w:val="none" w:sz="0" w:space="0" w:color="auto"/>
        <w:bottom w:val="none" w:sz="0" w:space="0" w:color="auto"/>
        <w:right w:val="none" w:sz="0" w:space="0" w:color="auto"/>
      </w:divBdr>
    </w:div>
    <w:div w:id="704987214">
      <w:bodyDiv w:val="1"/>
      <w:marLeft w:val="0"/>
      <w:marRight w:val="0"/>
      <w:marTop w:val="0"/>
      <w:marBottom w:val="0"/>
      <w:divBdr>
        <w:top w:val="none" w:sz="0" w:space="0" w:color="auto"/>
        <w:left w:val="none" w:sz="0" w:space="0" w:color="auto"/>
        <w:bottom w:val="none" w:sz="0" w:space="0" w:color="auto"/>
        <w:right w:val="none" w:sz="0" w:space="0" w:color="auto"/>
      </w:divBdr>
    </w:div>
    <w:div w:id="714042663">
      <w:bodyDiv w:val="1"/>
      <w:marLeft w:val="0"/>
      <w:marRight w:val="0"/>
      <w:marTop w:val="0"/>
      <w:marBottom w:val="0"/>
      <w:divBdr>
        <w:top w:val="none" w:sz="0" w:space="0" w:color="auto"/>
        <w:left w:val="none" w:sz="0" w:space="0" w:color="auto"/>
        <w:bottom w:val="none" w:sz="0" w:space="0" w:color="auto"/>
        <w:right w:val="none" w:sz="0" w:space="0" w:color="auto"/>
      </w:divBdr>
    </w:div>
    <w:div w:id="739333094">
      <w:bodyDiv w:val="1"/>
      <w:marLeft w:val="0"/>
      <w:marRight w:val="0"/>
      <w:marTop w:val="0"/>
      <w:marBottom w:val="0"/>
      <w:divBdr>
        <w:top w:val="none" w:sz="0" w:space="0" w:color="auto"/>
        <w:left w:val="none" w:sz="0" w:space="0" w:color="auto"/>
        <w:bottom w:val="none" w:sz="0" w:space="0" w:color="auto"/>
        <w:right w:val="none" w:sz="0" w:space="0" w:color="auto"/>
      </w:divBdr>
    </w:div>
    <w:div w:id="794174444">
      <w:bodyDiv w:val="1"/>
      <w:marLeft w:val="0"/>
      <w:marRight w:val="0"/>
      <w:marTop w:val="0"/>
      <w:marBottom w:val="0"/>
      <w:divBdr>
        <w:top w:val="none" w:sz="0" w:space="0" w:color="auto"/>
        <w:left w:val="none" w:sz="0" w:space="0" w:color="auto"/>
        <w:bottom w:val="none" w:sz="0" w:space="0" w:color="auto"/>
        <w:right w:val="none" w:sz="0" w:space="0" w:color="auto"/>
      </w:divBdr>
    </w:div>
    <w:div w:id="834763276">
      <w:bodyDiv w:val="1"/>
      <w:marLeft w:val="0"/>
      <w:marRight w:val="0"/>
      <w:marTop w:val="0"/>
      <w:marBottom w:val="0"/>
      <w:divBdr>
        <w:top w:val="none" w:sz="0" w:space="0" w:color="auto"/>
        <w:left w:val="none" w:sz="0" w:space="0" w:color="auto"/>
        <w:bottom w:val="none" w:sz="0" w:space="0" w:color="auto"/>
        <w:right w:val="none" w:sz="0" w:space="0" w:color="auto"/>
      </w:divBdr>
    </w:div>
    <w:div w:id="850602774">
      <w:bodyDiv w:val="1"/>
      <w:marLeft w:val="0"/>
      <w:marRight w:val="0"/>
      <w:marTop w:val="0"/>
      <w:marBottom w:val="0"/>
      <w:divBdr>
        <w:top w:val="none" w:sz="0" w:space="0" w:color="auto"/>
        <w:left w:val="none" w:sz="0" w:space="0" w:color="auto"/>
        <w:bottom w:val="none" w:sz="0" w:space="0" w:color="auto"/>
        <w:right w:val="none" w:sz="0" w:space="0" w:color="auto"/>
      </w:divBdr>
    </w:div>
    <w:div w:id="857083927">
      <w:bodyDiv w:val="1"/>
      <w:marLeft w:val="0"/>
      <w:marRight w:val="0"/>
      <w:marTop w:val="0"/>
      <w:marBottom w:val="0"/>
      <w:divBdr>
        <w:top w:val="none" w:sz="0" w:space="0" w:color="auto"/>
        <w:left w:val="none" w:sz="0" w:space="0" w:color="auto"/>
        <w:bottom w:val="none" w:sz="0" w:space="0" w:color="auto"/>
        <w:right w:val="none" w:sz="0" w:space="0" w:color="auto"/>
      </w:divBdr>
    </w:div>
    <w:div w:id="862940981">
      <w:bodyDiv w:val="1"/>
      <w:marLeft w:val="0"/>
      <w:marRight w:val="0"/>
      <w:marTop w:val="0"/>
      <w:marBottom w:val="0"/>
      <w:divBdr>
        <w:top w:val="none" w:sz="0" w:space="0" w:color="auto"/>
        <w:left w:val="none" w:sz="0" w:space="0" w:color="auto"/>
        <w:bottom w:val="none" w:sz="0" w:space="0" w:color="auto"/>
        <w:right w:val="none" w:sz="0" w:space="0" w:color="auto"/>
      </w:divBdr>
    </w:div>
    <w:div w:id="879904219">
      <w:bodyDiv w:val="1"/>
      <w:marLeft w:val="0"/>
      <w:marRight w:val="0"/>
      <w:marTop w:val="0"/>
      <w:marBottom w:val="0"/>
      <w:divBdr>
        <w:top w:val="none" w:sz="0" w:space="0" w:color="auto"/>
        <w:left w:val="none" w:sz="0" w:space="0" w:color="auto"/>
        <w:bottom w:val="none" w:sz="0" w:space="0" w:color="auto"/>
        <w:right w:val="none" w:sz="0" w:space="0" w:color="auto"/>
      </w:divBdr>
    </w:div>
    <w:div w:id="896817077">
      <w:bodyDiv w:val="1"/>
      <w:marLeft w:val="0"/>
      <w:marRight w:val="0"/>
      <w:marTop w:val="0"/>
      <w:marBottom w:val="0"/>
      <w:divBdr>
        <w:top w:val="none" w:sz="0" w:space="0" w:color="auto"/>
        <w:left w:val="none" w:sz="0" w:space="0" w:color="auto"/>
        <w:bottom w:val="none" w:sz="0" w:space="0" w:color="auto"/>
        <w:right w:val="none" w:sz="0" w:space="0" w:color="auto"/>
      </w:divBdr>
    </w:div>
    <w:div w:id="972294752">
      <w:bodyDiv w:val="1"/>
      <w:marLeft w:val="0"/>
      <w:marRight w:val="0"/>
      <w:marTop w:val="0"/>
      <w:marBottom w:val="0"/>
      <w:divBdr>
        <w:top w:val="none" w:sz="0" w:space="0" w:color="auto"/>
        <w:left w:val="none" w:sz="0" w:space="0" w:color="auto"/>
        <w:bottom w:val="none" w:sz="0" w:space="0" w:color="auto"/>
        <w:right w:val="none" w:sz="0" w:space="0" w:color="auto"/>
      </w:divBdr>
    </w:div>
    <w:div w:id="996688351">
      <w:bodyDiv w:val="1"/>
      <w:marLeft w:val="0"/>
      <w:marRight w:val="0"/>
      <w:marTop w:val="0"/>
      <w:marBottom w:val="0"/>
      <w:divBdr>
        <w:top w:val="none" w:sz="0" w:space="0" w:color="auto"/>
        <w:left w:val="none" w:sz="0" w:space="0" w:color="auto"/>
        <w:bottom w:val="none" w:sz="0" w:space="0" w:color="auto"/>
        <w:right w:val="none" w:sz="0" w:space="0" w:color="auto"/>
      </w:divBdr>
    </w:div>
    <w:div w:id="996953530">
      <w:bodyDiv w:val="1"/>
      <w:marLeft w:val="0"/>
      <w:marRight w:val="0"/>
      <w:marTop w:val="0"/>
      <w:marBottom w:val="0"/>
      <w:divBdr>
        <w:top w:val="none" w:sz="0" w:space="0" w:color="auto"/>
        <w:left w:val="none" w:sz="0" w:space="0" w:color="auto"/>
        <w:bottom w:val="none" w:sz="0" w:space="0" w:color="auto"/>
        <w:right w:val="none" w:sz="0" w:space="0" w:color="auto"/>
      </w:divBdr>
    </w:div>
    <w:div w:id="1042561367">
      <w:bodyDiv w:val="1"/>
      <w:marLeft w:val="0"/>
      <w:marRight w:val="0"/>
      <w:marTop w:val="0"/>
      <w:marBottom w:val="0"/>
      <w:divBdr>
        <w:top w:val="none" w:sz="0" w:space="0" w:color="auto"/>
        <w:left w:val="none" w:sz="0" w:space="0" w:color="auto"/>
        <w:bottom w:val="none" w:sz="0" w:space="0" w:color="auto"/>
        <w:right w:val="none" w:sz="0" w:space="0" w:color="auto"/>
      </w:divBdr>
    </w:div>
    <w:div w:id="1045567424">
      <w:bodyDiv w:val="1"/>
      <w:marLeft w:val="0"/>
      <w:marRight w:val="0"/>
      <w:marTop w:val="0"/>
      <w:marBottom w:val="0"/>
      <w:divBdr>
        <w:top w:val="none" w:sz="0" w:space="0" w:color="auto"/>
        <w:left w:val="none" w:sz="0" w:space="0" w:color="auto"/>
        <w:bottom w:val="none" w:sz="0" w:space="0" w:color="auto"/>
        <w:right w:val="none" w:sz="0" w:space="0" w:color="auto"/>
      </w:divBdr>
    </w:div>
    <w:div w:id="1047533321">
      <w:bodyDiv w:val="1"/>
      <w:marLeft w:val="0"/>
      <w:marRight w:val="0"/>
      <w:marTop w:val="0"/>
      <w:marBottom w:val="0"/>
      <w:divBdr>
        <w:top w:val="none" w:sz="0" w:space="0" w:color="auto"/>
        <w:left w:val="none" w:sz="0" w:space="0" w:color="auto"/>
        <w:bottom w:val="none" w:sz="0" w:space="0" w:color="auto"/>
        <w:right w:val="none" w:sz="0" w:space="0" w:color="auto"/>
      </w:divBdr>
    </w:div>
    <w:div w:id="1152019358">
      <w:bodyDiv w:val="1"/>
      <w:marLeft w:val="0"/>
      <w:marRight w:val="0"/>
      <w:marTop w:val="0"/>
      <w:marBottom w:val="0"/>
      <w:divBdr>
        <w:top w:val="none" w:sz="0" w:space="0" w:color="auto"/>
        <w:left w:val="none" w:sz="0" w:space="0" w:color="auto"/>
        <w:bottom w:val="none" w:sz="0" w:space="0" w:color="auto"/>
        <w:right w:val="none" w:sz="0" w:space="0" w:color="auto"/>
      </w:divBdr>
    </w:div>
    <w:div w:id="1194416221">
      <w:bodyDiv w:val="1"/>
      <w:marLeft w:val="0"/>
      <w:marRight w:val="0"/>
      <w:marTop w:val="0"/>
      <w:marBottom w:val="0"/>
      <w:divBdr>
        <w:top w:val="none" w:sz="0" w:space="0" w:color="auto"/>
        <w:left w:val="none" w:sz="0" w:space="0" w:color="auto"/>
        <w:bottom w:val="none" w:sz="0" w:space="0" w:color="auto"/>
        <w:right w:val="none" w:sz="0" w:space="0" w:color="auto"/>
      </w:divBdr>
    </w:div>
    <w:div w:id="1195002550">
      <w:bodyDiv w:val="1"/>
      <w:marLeft w:val="0"/>
      <w:marRight w:val="0"/>
      <w:marTop w:val="0"/>
      <w:marBottom w:val="0"/>
      <w:divBdr>
        <w:top w:val="none" w:sz="0" w:space="0" w:color="auto"/>
        <w:left w:val="none" w:sz="0" w:space="0" w:color="auto"/>
        <w:bottom w:val="none" w:sz="0" w:space="0" w:color="auto"/>
        <w:right w:val="none" w:sz="0" w:space="0" w:color="auto"/>
      </w:divBdr>
    </w:div>
    <w:div w:id="1195311659">
      <w:bodyDiv w:val="1"/>
      <w:marLeft w:val="0"/>
      <w:marRight w:val="0"/>
      <w:marTop w:val="0"/>
      <w:marBottom w:val="0"/>
      <w:divBdr>
        <w:top w:val="none" w:sz="0" w:space="0" w:color="auto"/>
        <w:left w:val="none" w:sz="0" w:space="0" w:color="auto"/>
        <w:bottom w:val="none" w:sz="0" w:space="0" w:color="auto"/>
        <w:right w:val="none" w:sz="0" w:space="0" w:color="auto"/>
      </w:divBdr>
    </w:div>
    <w:div w:id="1204052372">
      <w:bodyDiv w:val="1"/>
      <w:marLeft w:val="0"/>
      <w:marRight w:val="0"/>
      <w:marTop w:val="0"/>
      <w:marBottom w:val="0"/>
      <w:divBdr>
        <w:top w:val="none" w:sz="0" w:space="0" w:color="auto"/>
        <w:left w:val="none" w:sz="0" w:space="0" w:color="auto"/>
        <w:bottom w:val="none" w:sz="0" w:space="0" w:color="auto"/>
        <w:right w:val="none" w:sz="0" w:space="0" w:color="auto"/>
      </w:divBdr>
    </w:div>
    <w:div w:id="1224487263">
      <w:bodyDiv w:val="1"/>
      <w:marLeft w:val="0"/>
      <w:marRight w:val="0"/>
      <w:marTop w:val="0"/>
      <w:marBottom w:val="0"/>
      <w:divBdr>
        <w:top w:val="none" w:sz="0" w:space="0" w:color="auto"/>
        <w:left w:val="none" w:sz="0" w:space="0" w:color="auto"/>
        <w:bottom w:val="none" w:sz="0" w:space="0" w:color="auto"/>
        <w:right w:val="none" w:sz="0" w:space="0" w:color="auto"/>
      </w:divBdr>
    </w:div>
    <w:div w:id="1245067422">
      <w:bodyDiv w:val="1"/>
      <w:marLeft w:val="0"/>
      <w:marRight w:val="0"/>
      <w:marTop w:val="0"/>
      <w:marBottom w:val="0"/>
      <w:divBdr>
        <w:top w:val="none" w:sz="0" w:space="0" w:color="auto"/>
        <w:left w:val="none" w:sz="0" w:space="0" w:color="auto"/>
        <w:bottom w:val="none" w:sz="0" w:space="0" w:color="auto"/>
        <w:right w:val="none" w:sz="0" w:space="0" w:color="auto"/>
      </w:divBdr>
    </w:div>
    <w:div w:id="1251701027">
      <w:bodyDiv w:val="1"/>
      <w:marLeft w:val="0"/>
      <w:marRight w:val="0"/>
      <w:marTop w:val="0"/>
      <w:marBottom w:val="0"/>
      <w:divBdr>
        <w:top w:val="none" w:sz="0" w:space="0" w:color="auto"/>
        <w:left w:val="none" w:sz="0" w:space="0" w:color="auto"/>
        <w:bottom w:val="none" w:sz="0" w:space="0" w:color="auto"/>
        <w:right w:val="none" w:sz="0" w:space="0" w:color="auto"/>
      </w:divBdr>
    </w:div>
    <w:div w:id="1266499814">
      <w:bodyDiv w:val="1"/>
      <w:marLeft w:val="0"/>
      <w:marRight w:val="0"/>
      <w:marTop w:val="0"/>
      <w:marBottom w:val="0"/>
      <w:divBdr>
        <w:top w:val="none" w:sz="0" w:space="0" w:color="auto"/>
        <w:left w:val="none" w:sz="0" w:space="0" w:color="auto"/>
        <w:bottom w:val="none" w:sz="0" w:space="0" w:color="auto"/>
        <w:right w:val="none" w:sz="0" w:space="0" w:color="auto"/>
      </w:divBdr>
    </w:div>
    <w:div w:id="1270158990">
      <w:bodyDiv w:val="1"/>
      <w:marLeft w:val="0"/>
      <w:marRight w:val="0"/>
      <w:marTop w:val="0"/>
      <w:marBottom w:val="0"/>
      <w:divBdr>
        <w:top w:val="none" w:sz="0" w:space="0" w:color="auto"/>
        <w:left w:val="none" w:sz="0" w:space="0" w:color="auto"/>
        <w:bottom w:val="none" w:sz="0" w:space="0" w:color="auto"/>
        <w:right w:val="none" w:sz="0" w:space="0" w:color="auto"/>
      </w:divBdr>
    </w:div>
    <w:div w:id="1297952385">
      <w:bodyDiv w:val="1"/>
      <w:marLeft w:val="0"/>
      <w:marRight w:val="0"/>
      <w:marTop w:val="0"/>
      <w:marBottom w:val="0"/>
      <w:divBdr>
        <w:top w:val="none" w:sz="0" w:space="0" w:color="auto"/>
        <w:left w:val="none" w:sz="0" w:space="0" w:color="auto"/>
        <w:bottom w:val="none" w:sz="0" w:space="0" w:color="auto"/>
        <w:right w:val="none" w:sz="0" w:space="0" w:color="auto"/>
      </w:divBdr>
    </w:div>
    <w:div w:id="1310865653">
      <w:bodyDiv w:val="1"/>
      <w:marLeft w:val="0"/>
      <w:marRight w:val="0"/>
      <w:marTop w:val="0"/>
      <w:marBottom w:val="0"/>
      <w:divBdr>
        <w:top w:val="none" w:sz="0" w:space="0" w:color="auto"/>
        <w:left w:val="none" w:sz="0" w:space="0" w:color="auto"/>
        <w:bottom w:val="none" w:sz="0" w:space="0" w:color="auto"/>
        <w:right w:val="none" w:sz="0" w:space="0" w:color="auto"/>
      </w:divBdr>
    </w:div>
    <w:div w:id="1317103466">
      <w:bodyDiv w:val="1"/>
      <w:marLeft w:val="0"/>
      <w:marRight w:val="0"/>
      <w:marTop w:val="0"/>
      <w:marBottom w:val="0"/>
      <w:divBdr>
        <w:top w:val="none" w:sz="0" w:space="0" w:color="auto"/>
        <w:left w:val="none" w:sz="0" w:space="0" w:color="auto"/>
        <w:bottom w:val="none" w:sz="0" w:space="0" w:color="auto"/>
        <w:right w:val="none" w:sz="0" w:space="0" w:color="auto"/>
      </w:divBdr>
    </w:div>
    <w:div w:id="1325159886">
      <w:bodyDiv w:val="1"/>
      <w:marLeft w:val="0"/>
      <w:marRight w:val="0"/>
      <w:marTop w:val="0"/>
      <w:marBottom w:val="0"/>
      <w:divBdr>
        <w:top w:val="none" w:sz="0" w:space="0" w:color="auto"/>
        <w:left w:val="none" w:sz="0" w:space="0" w:color="auto"/>
        <w:bottom w:val="none" w:sz="0" w:space="0" w:color="auto"/>
        <w:right w:val="none" w:sz="0" w:space="0" w:color="auto"/>
      </w:divBdr>
    </w:div>
    <w:div w:id="1333334198">
      <w:bodyDiv w:val="1"/>
      <w:marLeft w:val="0"/>
      <w:marRight w:val="0"/>
      <w:marTop w:val="0"/>
      <w:marBottom w:val="0"/>
      <w:divBdr>
        <w:top w:val="none" w:sz="0" w:space="0" w:color="auto"/>
        <w:left w:val="none" w:sz="0" w:space="0" w:color="auto"/>
        <w:bottom w:val="none" w:sz="0" w:space="0" w:color="auto"/>
        <w:right w:val="none" w:sz="0" w:space="0" w:color="auto"/>
      </w:divBdr>
    </w:div>
    <w:div w:id="1339846824">
      <w:bodyDiv w:val="1"/>
      <w:marLeft w:val="0"/>
      <w:marRight w:val="0"/>
      <w:marTop w:val="0"/>
      <w:marBottom w:val="0"/>
      <w:divBdr>
        <w:top w:val="none" w:sz="0" w:space="0" w:color="auto"/>
        <w:left w:val="none" w:sz="0" w:space="0" w:color="auto"/>
        <w:bottom w:val="none" w:sz="0" w:space="0" w:color="auto"/>
        <w:right w:val="none" w:sz="0" w:space="0" w:color="auto"/>
      </w:divBdr>
    </w:div>
    <w:div w:id="1349601787">
      <w:bodyDiv w:val="1"/>
      <w:marLeft w:val="0"/>
      <w:marRight w:val="0"/>
      <w:marTop w:val="0"/>
      <w:marBottom w:val="0"/>
      <w:divBdr>
        <w:top w:val="none" w:sz="0" w:space="0" w:color="auto"/>
        <w:left w:val="none" w:sz="0" w:space="0" w:color="auto"/>
        <w:bottom w:val="none" w:sz="0" w:space="0" w:color="auto"/>
        <w:right w:val="none" w:sz="0" w:space="0" w:color="auto"/>
      </w:divBdr>
    </w:div>
    <w:div w:id="1350643203">
      <w:bodyDiv w:val="1"/>
      <w:marLeft w:val="0"/>
      <w:marRight w:val="0"/>
      <w:marTop w:val="0"/>
      <w:marBottom w:val="0"/>
      <w:divBdr>
        <w:top w:val="none" w:sz="0" w:space="0" w:color="auto"/>
        <w:left w:val="none" w:sz="0" w:space="0" w:color="auto"/>
        <w:bottom w:val="none" w:sz="0" w:space="0" w:color="auto"/>
        <w:right w:val="none" w:sz="0" w:space="0" w:color="auto"/>
      </w:divBdr>
    </w:div>
    <w:div w:id="1350987607">
      <w:bodyDiv w:val="1"/>
      <w:marLeft w:val="0"/>
      <w:marRight w:val="0"/>
      <w:marTop w:val="0"/>
      <w:marBottom w:val="0"/>
      <w:divBdr>
        <w:top w:val="none" w:sz="0" w:space="0" w:color="auto"/>
        <w:left w:val="none" w:sz="0" w:space="0" w:color="auto"/>
        <w:bottom w:val="none" w:sz="0" w:space="0" w:color="auto"/>
        <w:right w:val="none" w:sz="0" w:space="0" w:color="auto"/>
      </w:divBdr>
    </w:div>
    <w:div w:id="1392146529">
      <w:bodyDiv w:val="1"/>
      <w:marLeft w:val="0"/>
      <w:marRight w:val="0"/>
      <w:marTop w:val="0"/>
      <w:marBottom w:val="0"/>
      <w:divBdr>
        <w:top w:val="none" w:sz="0" w:space="0" w:color="auto"/>
        <w:left w:val="none" w:sz="0" w:space="0" w:color="auto"/>
        <w:bottom w:val="none" w:sz="0" w:space="0" w:color="auto"/>
        <w:right w:val="none" w:sz="0" w:space="0" w:color="auto"/>
      </w:divBdr>
    </w:div>
    <w:div w:id="1404915603">
      <w:bodyDiv w:val="1"/>
      <w:marLeft w:val="0"/>
      <w:marRight w:val="0"/>
      <w:marTop w:val="0"/>
      <w:marBottom w:val="0"/>
      <w:divBdr>
        <w:top w:val="none" w:sz="0" w:space="0" w:color="auto"/>
        <w:left w:val="none" w:sz="0" w:space="0" w:color="auto"/>
        <w:bottom w:val="none" w:sz="0" w:space="0" w:color="auto"/>
        <w:right w:val="none" w:sz="0" w:space="0" w:color="auto"/>
      </w:divBdr>
    </w:div>
    <w:div w:id="1496455045">
      <w:bodyDiv w:val="1"/>
      <w:marLeft w:val="0"/>
      <w:marRight w:val="0"/>
      <w:marTop w:val="0"/>
      <w:marBottom w:val="0"/>
      <w:divBdr>
        <w:top w:val="none" w:sz="0" w:space="0" w:color="auto"/>
        <w:left w:val="none" w:sz="0" w:space="0" w:color="auto"/>
        <w:bottom w:val="none" w:sz="0" w:space="0" w:color="auto"/>
        <w:right w:val="none" w:sz="0" w:space="0" w:color="auto"/>
      </w:divBdr>
    </w:div>
    <w:div w:id="1519346711">
      <w:bodyDiv w:val="1"/>
      <w:marLeft w:val="0"/>
      <w:marRight w:val="0"/>
      <w:marTop w:val="0"/>
      <w:marBottom w:val="0"/>
      <w:divBdr>
        <w:top w:val="none" w:sz="0" w:space="0" w:color="auto"/>
        <w:left w:val="none" w:sz="0" w:space="0" w:color="auto"/>
        <w:bottom w:val="none" w:sz="0" w:space="0" w:color="auto"/>
        <w:right w:val="none" w:sz="0" w:space="0" w:color="auto"/>
      </w:divBdr>
    </w:div>
    <w:div w:id="1546257978">
      <w:bodyDiv w:val="1"/>
      <w:marLeft w:val="0"/>
      <w:marRight w:val="0"/>
      <w:marTop w:val="0"/>
      <w:marBottom w:val="0"/>
      <w:divBdr>
        <w:top w:val="none" w:sz="0" w:space="0" w:color="auto"/>
        <w:left w:val="none" w:sz="0" w:space="0" w:color="auto"/>
        <w:bottom w:val="none" w:sz="0" w:space="0" w:color="auto"/>
        <w:right w:val="none" w:sz="0" w:space="0" w:color="auto"/>
      </w:divBdr>
    </w:div>
    <w:div w:id="1552569348">
      <w:bodyDiv w:val="1"/>
      <w:marLeft w:val="0"/>
      <w:marRight w:val="0"/>
      <w:marTop w:val="0"/>
      <w:marBottom w:val="0"/>
      <w:divBdr>
        <w:top w:val="none" w:sz="0" w:space="0" w:color="auto"/>
        <w:left w:val="none" w:sz="0" w:space="0" w:color="auto"/>
        <w:bottom w:val="none" w:sz="0" w:space="0" w:color="auto"/>
        <w:right w:val="none" w:sz="0" w:space="0" w:color="auto"/>
      </w:divBdr>
    </w:div>
    <w:div w:id="1602881645">
      <w:bodyDiv w:val="1"/>
      <w:marLeft w:val="0"/>
      <w:marRight w:val="0"/>
      <w:marTop w:val="0"/>
      <w:marBottom w:val="0"/>
      <w:divBdr>
        <w:top w:val="none" w:sz="0" w:space="0" w:color="auto"/>
        <w:left w:val="none" w:sz="0" w:space="0" w:color="auto"/>
        <w:bottom w:val="none" w:sz="0" w:space="0" w:color="auto"/>
        <w:right w:val="none" w:sz="0" w:space="0" w:color="auto"/>
      </w:divBdr>
    </w:div>
    <w:div w:id="1603763831">
      <w:bodyDiv w:val="1"/>
      <w:marLeft w:val="0"/>
      <w:marRight w:val="0"/>
      <w:marTop w:val="0"/>
      <w:marBottom w:val="0"/>
      <w:divBdr>
        <w:top w:val="none" w:sz="0" w:space="0" w:color="auto"/>
        <w:left w:val="none" w:sz="0" w:space="0" w:color="auto"/>
        <w:bottom w:val="none" w:sz="0" w:space="0" w:color="auto"/>
        <w:right w:val="none" w:sz="0" w:space="0" w:color="auto"/>
      </w:divBdr>
    </w:div>
    <w:div w:id="1686125696">
      <w:bodyDiv w:val="1"/>
      <w:marLeft w:val="0"/>
      <w:marRight w:val="0"/>
      <w:marTop w:val="0"/>
      <w:marBottom w:val="0"/>
      <w:divBdr>
        <w:top w:val="none" w:sz="0" w:space="0" w:color="auto"/>
        <w:left w:val="none" w:sz="0" w:space="0" w:color="auto"/>
        <w:bottom w:val="none" w:sz="0" w:space="0" w:color="auto"/>
        <w:right w:val="none" w:sz="0" w:space="0" w:color="auto"/>
      </w:divBdr>
    </w:div>
    <w:div w:id="1702244723">
      <w:bodyDiv w:val="1"/>
      <w:marLeft w:val="0"/>
      <w:marRight w:val="0"/>
      <w:marTop w:val="0"/>
      <w:marBottom w:val="0"/>
      <w:divBdr>
        <w:top w:val="none" w:sz="0" w:space="0" w:color="auto"/>
        <w:left w:val="none" w:sz="0" w:space="0" w:color="auto"/>
        <w:bottom w:val="none" w:sz="0" w:space="0" w:color="auto"/>
        <w:right w:val="none" w:sz="0" w:space="0" w:color="auto"/>
      </w:divBdr>
    </w:div>
    <w:div w:id="1849369362">
      <w:bodyDiv w:val="1"/>
      <w:marLeft w:val="0"/>
      <w:marRight w:val="0"/>
      <w:marTop w:val="0"/>
      <w:marBottom w:val="0"/>
      <w:divBdr>
        <w:top w:val="none" w:sz="0" w:space="0" w:color="auto"/>
        <w:left w:val="none" w:sz="0" w:space="0" w:color="auto"/>
        <w:bottom w:val="none" w:sz="0" w:space="0" w:color="auto"/>
        <w:right w:val="none" w:sz="0" w:space="0" w:color="auto"/>
      </w:divBdr>
    </w:div>
    <w:div w:id="1878932258">
      <w:bodyDiv w:val="1"/>
      <w:marLeft w:val="0"/>
      <w:marRight w:val="0"/>
      <w:marTop w:val="0"/>
      <w:marBottom w:val="0"/>
      <w:divBdr>
        <w:top w:val="none" w:sz="0" w:space="0" w:color="auto"/>
        <w:left w:val="none" w:sz="0" w:space="0" w:color="auto"/>
        <w:bottom w:val="none" w:sz="0" w:space="0" w:color="auto"/>
        <w:right w:val="none" w:sz="0" w:space="0" w:color="auto"/>
      </w:divBdr>
    </w:div>
    <w:div w:id="1889412631">
      <w:bodyDiv w:val="1"/>
      <w:marLeft w:val="0"/>
      <w:marRight w:val="0"/>
      <w:marTop w:val="0"/>
      <w:marBottom w:val="0"/>
      <w:divBdr>
        <w:top w:val="none" w:sz="0" w:space="0" w:color="auto"/>
        <w:left w:val="none" w:sz="0" w:space="0" w:color="auto"/>
        <w:bottom w:val="none" w:sz="0" w:space="0" w:color="auto"/>
        <w:right w:val="none" w:sz="0" w:space="0" w:color="auto"/>
      </w:divBdr>
    </w:div>
    <w:div w:id="1891186382">
      <w:bodyDiv w:val="1"/>
      <w:marLeft w:val="0"/>
      <w:marRight w:val="0"/>
      <w:marTop w:val="0"/>
      <w:marBottom w:val="0"/>
      <w:divBdr>
        <w:top w:val="none" w:sz="0" w:space="0" w:color="auto"/>
        <w:left w:val="none" w:sz="0" w:space="0" w:color="auto"/>
        <w:bottom w:val="none" w:sz="0" w:space="0" w:color="auto"/>
        <w:right w:val="none" w:sz="0" w:space="0" w:color="auto"/>
      </w:divBdr>
    </w:div>
    <w:div w:id="1908999843">
      <w:bodyDiv w:val="1"/>
      <w:marLeft w:val="0"/>
      <w:marRight w:val="0"/>
      <w:marTop w:val="0"/>
      <w:marBottom w:val="0"/>
      <w:divBdr>
        <w:top w:val="none" w:sz="0" w:space="0" w:color="auto"/>
        <w:left w:val="none" w:sz="0" w:space="0" w:color="auto"/>
        <w:bottom w:val="none" w:sz="0" w:space="0" w:color="auto"/>
        <w:right w:val="none" w:sz="0" w:space="0" w:color="auto"/>
      </w:divBdr>
    </w:div>
    <w:div w:id="1924605622">
      <w:bodyDiv w:val="1"/>
      <w:marLeft w:val="0"/>
      <w:marRight w:val="0"/>
      <w:marTop w:val="0"/>
      <w:marBottom w:val="0"/>
      <w:divBdr>
        <w:top w:val="none" w:sz="0" w:space="0" w:color="auto"/>
        <w:left w:val="none" w:sz="0" w:space="0" w:color="auto"/>
        <w:bottom w:val="none" w:sz="0" w:space="0" w:color="auto"/>
        <w:right w:val="none" w:sz="0" w:space="0" w:color="auto"/>
      </w:divBdr>
    </w:div>
    <w:div w:id="1949459898">
      <w:bodyDiv w:val="1"/>
      <w:marLeft w:val="0"/>
      <w:marRight w:val="0"/>
      <w:marTop w:val="0"/>
      <w:marBottom w:val="0"/>
      <w:divBdr>
        <w:top w:val="none" w:sz="0" w:space="0" w:color="auto"/>
        <w:left w:val="none" w:sz="0" w:space="0" w:color="auto"/>
        <w:bottom w:val="none" w:sz="0" w:space="0" w:color="auto"/>
        <w:right w:val="none" w:sz="0" w:space="0" w:color="auto"/>
      </w:divBdr>
    </w:div>
    <w:div w:id="1983078002">
      <w:bodyDiv w:val="1"/>
      <w:marLeft w:val="0"/>
      <w:marRight w:val="0"/>
      <w:marTop w:val="0"/>
      <w:marBottom w:val="0"/>
      <w:divBdr>
        <w:top w:val="none" w:sz="0" w:space="0" w:color="auto"/>
        <w:left w:val="none" w:sz="0" w:space="0" w:color="auto"/>
        <w:bottom w:val="none" w:sz="0" w:space="0" w:color="auto"/>
        <w:right w:val="none" w:sz="0" w:space="0" w:color="auto"/>
      </w:divBdr>
    </w:div>
    <w:div w:id="1992903233">
      <w:bodyDiv w:val="1"/>
      <w:marLeft w:val="0"/>
      <w:marRight w:val="0"/>
      <w:marTop w:val="0"/>
      <w:marBottom w:val="0"/>
      <w:divBdr>
        <w:top w:val="none" w:sz="0" w:space="0" w:color="auto"/>
        <w:left w:val="none" w:sz="0" w:space="0" w:color="auto"/>
        <w:bottom w:val="none" w:sz="0" w:space="0" w:color="auto"/>
        <w:right w:val="none" w:sz="0" w:space="0" w:color="auto"/>
      </w:divBdr>
    </w:div>
    <w:div w:id="2040930111">
      <w:bodyDiv w:val="1"/>
      <w:marLeft w:val="0"/>
      <w:marRight w:val="0"/>
      <w:marTop w:val="0"/>
      <w:marBottom w:val="0"/>
      <w:divBdr>
        <w:top w:val="none" w:sz="0" w:space="0" w:color="auto"/>
        <w:left w:val="none" w:sz="0" w:space="0" w:color="auto"/>
        <w:bottom w:val="none" w:sz="0" w:space="0" w:color="auto"/>
        <w:right w:val="none" w:sz="0" w:space="0" w:color="auto"/>
      </w:divBdr>
    </w:div>
    <w:div w:id="2044864902">
      <w:bodyDiv w:val="1"/>
      <w:marLeft w:val="0"/>
      <w:marRight w:val="0"/>
      <w:marTop w:val="0"/>
      <w:marBottom w:val="0"/>
      <w:divBdr>
        <w:top w:val="none" w:sz="0" w:space="0" w:color="auto"/>
        <w:left w:val="none" w:sz="0" w:space="0" w:color="auto"/>
        <w:bottom w:val="none" w:sz="0" w:space="0" w:color="auto"/>
        <w:right w:val="none" w:sz="0" w:space="0" w:color="auto"/>
      </w:divBdr>
    </w:div>
    <w:div w:id="2091727615">
      <w:bodyDiv w:val="1"/>
      <w:marLeft w:val="0"/>
      <w:marRight w:val="0"/>
      <w:marTop w:val="0"/>
      <w:marBottom w:val="0"/>
      <w:divBdr>
        <w:top w:val="none" w:sz="0" w:space="0" w:color="auto"/>
        <w:left w:val="none" w:sz="0" w:space="0" w:color="auto"/>
        <w:bottom w:val="none" w:sz="0" w:space="0" w:color="auto"/>
        <w:right w:val="none" w:sz="0" w:space="0" w:color="auto"/>
      </w:divBdr>
    </w:div>
    <w:div w:id="2120905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tiff"/><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tiff"/><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1.jpeg"/><Relationship Id="rId20" Type="http://schemas.microsoft.com/office/2016/09/relationships/commentsIds" Target="commentsId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19" Type="http://schemas.microsoft.com/office/2018/08/relationships/commentsExtensible" Target="commentsExtensible.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1612</Words>
  <Characters>9190</Characters>
  <Application>Microsoft Office Word</Application>
  <DocSecurity>0</DocSecurity>
  <Lines>76</Lines>
  <Paragraphs>21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Jisu Jung</dc:creator>
  <cp:keywords/>
  <dc:description/>
  <cp:lastModifiedBy>Moon</cp:lastModifiedBy>
  <cp:revision>4</cp:revision>
  <dcterms:created xsi:type="dcterms:W3CDTF">2026-04-14T02:03:00Z</dcterms:created>
  <dcterms:modified xsi:type="dcterms:W3CDTF">2026-04-14T02:14:00Z</dcterms:modified>
</cp:coreProperties>
</file>