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66EC9" w14:textId="77777777" w:rsidR="00275E70" w:rsidRDefault="001C77AD" w:rsidP="003165CC">
      <w:pPr>
        <w:pStyle w:val="p1"/>
        <w:jc w:val="both"/>
        <w:rPr>
          <w:b/>
          <w:bCs/>
          <w:i/>
          <w:iCs/>
          <w:sz w:val="22"/>
          <w:szCs w:val="22"/>
        </w:rPr>
      </w:pPr>
      <w:r w:rsidRPr="002B4965">
        <w:rPr>
          <w:b/>
          <w:bCs/>
          <w:i/>
          <w:iCs/>
          <w:sz w:val="22"/>
          <w:szCs w:val="22"/>
        </w:rPr>
        <w:t>SUPPLEMENTAL INFORMATION</w:t>
      </w:r>
    </w:p>
    <w:p w14:paraId="0D759DD4" w14:textId="77777777" w:rsidR="00275E70" w:rsidRDefault="00275E70" w:rsidP="003165CC">
      <w:pPr>
        <w:pStyle w:val="p1"/>
        <w:jc w:val="both"/>
        <w:rPr>
          <w:b/>
          <w:bCs/>
          <w:i/>
          <w:iCs/>
          <w:sz w:val="22"/>
          <w:szCs w:val="22"/>
        </w:rPr>
      </w:pPr>
    </w:p>
    <w:p w14:paraId="70FEFFB7" w14:textId="1B1C3129" w:rsidR="003165CC" w:rsidRPr="00275E70" w:rsidRDefault="003165CC" w:rsidP="003165CC">
      <w:pPr>
        <w:pStyle w:val="p1"/>
        <w:jc w:val="both"/>
        <w:rPr>
          <w:b/>
          <w:bCs/>
          <w:i/>
          <w:iCs/>
          <w:sz w:val="22"/>
          <w:szCs w:val="22"/>
        </w:rPr>
      </w:pPr>
      <w:r w:rsidRPr="002B4965">
        <w:rPr>
          <w:b/>
          <w:bCs/>
          <w:sz w:val="22"/>
          <w:szCs w:val="22"/>
        </w:rPr>
        <w:t>Fig S</w:t>
      </w:r>
      <w:r w:rsidR="00275E70">
        <w:rPr>
          <w:b/>
          <w:bCs/>
          <w:sz w:val="22"/>
          <w:szCs w:val="22"/>
        </w:rPr>
        <w:t>1</w:t>
      </w:r>
      <w:r w:rsidRPr="002B4965">
        <w:rPr>
          <w:b/>
          <w:bCs/>
          <w:sz w:val="22"/>
          <w:szCs w:val="22"/>
        </w:rPr>
        <w:t>. Computational and experimental validation of additional candidate GFs.</w:t>
      </w:r>
      <w:r w:rsidRPr="002B4965">
        <w:rPr>
          <w:sz w:val="22"/>
          <w:szCs w:val="22"/>
        </w:rPr>
        <w:t xml:space="preserve"> </w:t>
      </w:r>
      <w:r w:rsidRPr="002B4965">
        <w:rPr>
          <w:b/>
          <w:bCs/>
          <w:sz w:val="22"/>
          <w:szCs w:val="22"/>
        </w:rPr>
        <w:t>(A)</w:t>
      </w:r>
      <w:r w:rsidRPr="002B4965">
        <w:rPr>
          <w:sz w:val="22"/>
          <w:szCs w:val="22"/>
        </w:rPr>
        <w:t xml:space="preserve"> IGV plot (top) with a subset of the input reads (gray), highlighting split alignments within the chromosomal regions of interest. Gene names and reported breakpoints (indicated by dotted lines) are annotated for clarity. Genome Ribbon single-read view (bottom) with labeled gene regions by name and the input read orientation is denoted by the arrow. GFs shown in </w:t>
      </w:r>
      <w:r w:rsidRPr="002B4965">
        <w:rPr>
          <w:b/>
          <w:bCs/>
          <w:sz w:val="22"/>
          <w:szCs w:val="22"/>
        </w:rPr>
        <w:t>(A)</w:t>
      </w:r>
      <w:r w:rsidRPr="002B4965">
        <w:rPr>
          <w:sz w:val="22"/>
          <w:szCs w:val="22"/>
        </w:rPr>
        <w:t xml:space="preserve">: </w:t>
      </w:r>
      <w:r w:rsidRPr="002B4965">
        <w:rPr>
          <w:b/>
          <w:bCs/>
          <w:sz w:val="22"/>
          <w:szCs w:val="22"/>
        </w:rPr>
        <w:t>(A1)</w:t>
      </w:r>
      <w:r w:rsidRPr="002B4965">
        <w:rPr>
          <w:sz w:val="22"/>
          <w:szCs w:val="22"/>
        </w:rPr>
        <w:t xml:space="preserve"> </w:t>
      </w:r>
      <w:r w:rsidRPr="002B4965">
        <w:rPr>
          <w:i/>
          <w:iCs/>
          <w:sz w:val="22"/>
          <w:szCs w:val="22"/>
        </w:rPr>
        <w:t>ABL1::WDR83OS</w:t>
      </w:r>
      <w:r w:rsidRPr="002B4965">
        <w:rPr>
          <w:sz w:val="22"/>
          <w:szCs w:val="22"/>
        </w:rPr>
        <w:t xml:space="preserve"> (Sample 38), </w:t>
      </w:r>
      <w:r w:rsidRPr="002B4965">
        <w:rPr>
          <w:b/>
          <w:bCs/>
          <w:sz w:val="22"/>
          <w:szCs w:val="22"/>
        </w:rPr>
        <w:t>(A2)</w:t>
      </w:r>
      <w:r w:rsidRPr="002B4965">
        <w:rPr>
          <w:sz w:val="22"/>
          <w:szCs w:val="22"/>
        </w:rPr>
        <w:t xml:space="preserve"> </w:t>
      </w:r>
      <w:r w:rsidRPr="002B4965">
        <w:rPr>
          <w:i/>
          <w:iCs/>
          <w:sz w:val="22"/>
          <w:szCs w:val="22"/>
        </w:rPr>
        <w:t xml:space="preserve">BCL11A::VIRMA </w:t>
      </w:r>
      <w:r w:rsidRPr="002B4965">
        <w:rPr>
          <w:sz w:val="22"/>
          <w:szCs w:val="22"/>
        </w:rPr>
        <w:t xml:space="preserve">(Sample 48), </w:t>
      </w:r>
      <w:r w:rsidRPr="002B4965">
        <w:rPr>
          <w:b/>
          <w:bCs/>
          <w:sz w:val="22"/>
          <w:szCs w:val="22"/>
        </w:rPr>
        <w:t xml:space="preserve">(A3) </w:t>
      </w:r>
      <w:r w:rsidRPr="002B4965">
        <w:rPr>
          <w:i/>
          <w:iCs/>
          <w:sz w:val="22"/>
          <w:szCs w:val="22"/>
        </w:rPr>
        <w:t>CTNND2::EIF5A</w:t>
      </w:r>
      <w:r w:rsidRPr="002B4965">
        <w:rPr>
          <w:sz w:val="22"/>
          <w:szCs w:val="22"/>
        </w:rPr>
        <w:t xml:space="preserve"> (Sample 34), </w:t>
      </w:r>
      <w:r w:rsidRPr="002B4965">
        <w:rPr>
          <w:b/>
          <w:bCs/>
          <w:sz w:val="22"/>
          <w:szCs w:val="22"/>
        </w:rPr>
        <w:t xml:space="preserve">(A4) </w:t>
      </w:r>
      <w:r w:rsidRPr="002B4965">
        <w:rPr>
          <w:i/>
          <w:iCs/>
          <w:sz w:val="22"/>
          <w:szCs w:val="22"/>
        </w:rPr>
        <w:t xml:space="preserve">MDM2::NUP107 </w:t>
      </w:r>
      <w:r w:rsidRPr="002B4965">
        <w:rPr>
          <w:sz w:val="22"/>
          <w:szCs w:val="22"/>
        </w:rPr>
        <w:t>(Sample 64),</w:t>
      </w:r>
      <w:r w:rsidRPr="002B4965">
        <w:rPr>
          <w:b/>
          <w:bCs/>
          <w:sz w:val="22"/>
          <w:szCs w:val="22"/>
        </w:rPr>
        <w:t xml:space="preserve"> (A5) </w:t>
      </w:r>
      <w:r w:rsidRPr="002B4965">
        <w:rPr>
          <w:i/>
          <w:iCs/>
          <w:sz w:val="22"/>
          <w:szCs w:val="22"/>
        </w:rPr>
        <w:t>PRICKLE1::FHIT</w:t>
      </w:r>
      <w:r w:rsidRPr="002B4965">
        <w:rPr>
          <w:sz w:val="22"/>
          <w:szCs w:val="22"/>
        </w:rPr>
        <w:t xml:space="preserve"> (Sample 40), </w:t>
      </w:r>
      <w:r w:rsidRPr="002B4965">
        <w:rPr>
          <w:b/>
          <w:bCs/>
          <w:sz w:val="22"/>
          <w:szCs w:val="22"/>
        </w:rPr>
        <w:t xml:space="preserve">(A6) </w:t>
      </w:r>
      <w:r w:rsidRPr="002B4965">
        <w:rPr>
          <w:i/>
          <w:iCs/>
          <w:sz w:val="22"/>
          <w:szCs w:val="22"/>
        </w:rPr>
        <w:t>DDX6::DCTN2</w:t>
      </w:r>
      <w:r w:rsidRPr="002B4965">
        <w:rPr>
          <w:sz w:val="22"/>
          <w:szCs w:val="22"/>
        </w:rPr>
        <w:t xml:space="preserve"> (Sample 64). </w:t>
      </w:r>
      <w:r w:rsidRPr="002B4965">
        <w:rPr>
          <w:b/>
          <w:bCs/>
          <w:sz w:val="22"/>
          <w:szCs w:val="22"/>
        </w:rPr>
        <w:t>(B)</w:t>
      </w:r>
      <w:r w:rsidRPr="002B4965">
        <w:rPr>
          <w:sz w:val="22"/>
          <w:szCs w:val="22"/>
        </w:rPr>
        <w:t xml:space="preserve"> Gel electrophoresis validation. The K562 cell line was used as a negative control, and validation was performed using RNA extracted from patient samples as noted. GFs shown in </w:t>
      </w:r>
      <w:r w:rsidRPr="002B4965">
        <w:rPr>
          <w:b/>
          <w:bCs/>
          <w:sz w:val="22"/>
          <w:szCs w:val="22"/>
        </w:rPr>
        <w:t>(B)</w:t>
      </w:r>
      <w:r w:rsidRPr="002B4965">
        <w:rPr>
          <w:sz w:val="22"/>
          <w:szCs w:val="22"/>
        </w:rPr>
        <w:t xml:space="preserve">: </w:t>
      </w:r>
      <w:r w:rsidRPr="002B4965">
        <w:rPr>
          <w:b/>
          <w:bCs/>
          <w:sz w:val="22"/>
          <w:szCs w:val="22"/>
        </w:rPr>
        <w:t>(B1)</w:t>
      </w:r>
      <w:r w:rsidRPr="002B4965">
        <w:rPr>
          <w:sz w:val="22"/>
          <w:szCs w:val="22"/>
        </w:rPr>
        <w:t xml:space="preserve"> </w:t>
      </w:r>
      <w:r w:rsidRPr="002B4965">
        <w:rPr>
          <w:i/>
          <w:iCs/>
          <w:sz w:val="22"/>
          <w:szCs w:val="22"/>
        </w:rPr>
        <w:t>ABL1</w:t>
      </w:r>
      <w:r w:rsidRPr="002B4965">
        <w:rPr>
          <w:sz w:val="22"/>
          <w:szCs w:val="22"/>
        </w:rPr>
        <w:t>::</w:t>
      </w:r>
      <w:r w:rsidRPr="002B4965">
        <w:rPr>
          <w:i/>
          <w:iCs/>
          <w:sz w:val="22"/>
          <w:szCs w:val="22"/>
        </w:rPr>
        <w:t>WDR83OS</w:t>
      </w:r>
      <w:r w:rsidRPr="002B4965">
        <w:rPr>
          <w:sz w:val="22"/>
          <w:szCs w:val="22"/>
        </w:rPr>
        <w:t xml:space="preserve">, </w:t>
      </w:r>
      <w:r w:rsidRPr="002B4965">
        <w:rPr>
          <w:i/>
          <w:iCs/>
          <w:sz w:val="22"/>
          <w:szCs w:val="22"/>
        </w:rPr>
        <w:t>BCL11A</w:t>
      </w:r>
      <w:r w:rsidRPr="002B4965">
        <w:rPr>
          <w:sz w:val="22"/>
          <w:szCs w:val="22"/>
        </w:rPr>
        <w:t>::</w:t>
      </w:r>
      <w:r w:rsidRPr="002B4965">
        <w:rPr>
          <w:i/>
          <w:iCs/>
          <w:sz w:val="22"/>
          <w:szCs w:val="22"/>
        </w:rPr>
        <w:t>VIRMA</w:t>
      </w:r>
      <w:r w:rsidRPr="002B4965">
        <w:rPr>
          <w:sz w:val="22"/>
          <w:szCs w:val="22"/>
        </w:rPr>
        <w:t xml:space="preserve">, </w:t>
      </w:r>
      <w:r w:rsidRPr="002B4965">
        <w:rPr>
          <w:i/>
          <w:iCs/>
          <w:sz w:val="22"/>
          <w:szCs w:val="22"/>
        </w:rPr>
        <w:t>MDM2::NUP107, PRICKLE1</w:t>
      </w:r>
      <w:r w:rsidRPr="002B4965">
        <w:rPr>
          <w:sz w:val="22"/>
          <w:szCs w:val="22"/>
        </w:rPr>
        <w:t>::</w:t>
      </w:r>
      <w:r w:rsidRPr="002B4965">
        <w:rPr>
          <w:i/>
          <w:iCs/>
          <w:sz w:val="22"/>
          <w:szCs w:val="22"/>
        </w:rPr>
        <w:t>FHIT</w:t>
      </w:r>
      <w:r w:rsidRPr="002B4965">
        <w:rPr>
          <w:sz w:val="22"/>
          <w:szCs w:val="22"/>
        </w:rPr>
        <w:t xml:space="preserve">, </w:t>
      </w:r>
      <w:r w:rsidRPr="002B4965">
        <w:rPr>
          <w:i/>
          <w:iCs/>
          <w:sz w:val="22"/>
          <w:szCs w:val="22"/>
        </w:rPr>
        <w:t>DDX6</w:t>
      </w:r>
      <w:r w:rsidRPr="002B4965">
        <w:rPr>
          <w:sz w:val="22"/>
          <w:szCs w:val="22"/>
        </w:rPr>
        <w:t>:</w:t>
      </w:r>
      <w:r w:rsidRPr="002B4965">
        <w:rPr>
          <w:i/>
          <w:iCs/>
          <w:sz w:val="22"/>
          <w:szCs w:val="22"/>
        </w:rPr>
        <w:t>DCTN2</w:t>
      </w:r>
      <w:r w:rsidRPr="002B4965">
        <w:rPr>
          <w:sz w:val="22"/>
          <w:szCs w:val="22"/>
        </w:rPr>
        <w:t xml:space="preserve">. </w:t>
      </w:r>
      <w:r w:rsidRPr="002B4965">
        <w:rPr>
          <w:b/>
          <w:bCs/>
          <w:sz w:val="22"/>
          <w:szCs w:val="22"/>
        </w:rPr>
        <w:t>(B2)</w:t>
      </w:r>
      <w:r w:rsidRPr="002B4965">
        <w:rPr>
          <w:sz w:val="22"/>
          <w:szCs w:val="22"/>
        </w:rPr>
        <w:t xml:space="preserve"> </w:t>
      </w:r>
      <w:r w:rsidRPr="002B4965">
        <w:rPr>
          <w:i/>
          <w:iCs/>
          <w:sz w:val="22"/>
          <w:szCs w:val="22"/>
        </w:rPr>
        <w:t>CTNND2</w:t>
      </w:r>
      <w:r w:rsidRPr="002B4965">
        <w:rPr>
          <w:sz w:val="22"/>
          <w:szCs w:val="22"/>
        </w:rPr>
        <w:t>::</w:t>
      </w:r>
      <w:r w:rsidRPr="002B4965">
        <w:rPr>
          <w:i/>
          <w:iCs/>
          <w:sz w:val="22"/>
          <w:szCs w:val="22"/>
        </w:rPr>
        <w:t>EIF5A</w:t>
      </w:r>
      <w:r w:rsidRPr="002B4965">
        <w:rPr>
          <w:sz w:val="22"/>
          <w:szCs w:val="22"/>
        </w:rPr>
        <w:t xml:space="preserve">, </w:t>
      </w:r>
      <w:r w:rsidRPr="002B4965">
        <w:rPr>
          <w:i/>
          <w:iCs/>
          <w:sz w:val="22"/>
          <w:szCs w:val="22"/>
        </w:rPr>
        <w:t>DDX6</w:t>
      </w:r>
      <w:r w:rsidRPr="002B4965">
        <w:rPr>
          <w:sz w:val="22"/>
          <w:szCs w:val="22"/>
        </w:rPr>
        <w:t>:</w:t>
      </w:r>
      <w:r w:rsidRPr="002B4965">
        <w:rPr>
          <w:i/>
          <w:iCs/>
          <w:sz w:val="22"/>
          <w:szCs w:val="22"/>
        </w:rPr>
        <w:t>DCTN2</w:t>
      </w:r>
      <w:r w:rsidRPr="002B4965">
        <w:rPr>
          <w:sz w:val="22"/>
          <w:szCs w:val="22"/>
        </w:rPr>
        <w:t xml:space="preserve"> (*re-designed primers), </w:t>
      </w:r>
      <w:r w:rsidRPr="002B4965">
        <w:rPr>
          <w:i/>
          <w:iCs/>
          <w:sz w:val="22"/>
          <w:szCs w:val="22"/>
        </w:rPr>
        <w:t xml:space="preserve">MDM2::NUP107 </w:t>
      </w:r>
      <w:r w:rsidRPr="002B4965">
        <w:rPr>
          <w:sz w:val="22"/>
          <w:szCs w:val="22"/>
        </w:rPr>
        <w:t>(*re-designed primers)</w:t>
      </w:r>
      <w:r w:rsidRPr="002B4965">
        <w:rPr>
          <w:i/>
          <w:iCs/>
          <w:sz w:val="22"/>
          <w:szCs w:val="22"/>
        </w:rPr>
        <w:t>, PRICKLE1</w:t>
      </w:r>
      <w:r w:rsidRPr="002B4965">
        <w:rPr>
          <w:sz w:val="22"/>
          <w:szCs w:val="22"/>
        </w:rPr>
        <w:t>::</w:t>
      </w:r>
      <w:r w:rsidRPr="002B4965">
        <w:rPr>
          <w:i/>
          <w:iCs/>
          <w:sz w:val="22"/>
          <w:szCs w:val="22"/>
        </w:rPr>
        <w:t>FHIT</w:t>
      </w:r>
      <w:r w:rsidRPr="002B4965">
        <w:rPr>
          <w:sz w:val="22"/>
          <w:szCs w:val="22"/>
        </w:rPr>
        <w:t xml:space="preserve"> (*re-designed primers). </w:t>
      </w:r>
      <w:r w:rsidRPr="002B4965">
        <w:rPr>
          <w:b/>
          <w:bCs/>
          <w:sz w:val="22"/>
          <w:szCs w:val="22"/>
        </w:rPr>
        <w:t>(C)</w:t>
      </w:r>
      <w:r w:rsidRPr="002B4965">
        <w:rPr>
          <w:sz w:val="22"/>
          <w:szCs w:val="22"/>
        </w:rPr>
        <w:t xml:space="preserve"> Sanger sequencing traces of positively validated GFs. GFs shown in </w:t>
      </w:r>
      <w:r w:rsidRPr="002B4965">
        <w:rPr>
          <w:b/>
          <w:bCs/>
          <w:sz w:val="22"/>
          <w:szCs w:val="22"/>
        </w:rPr>
        <w:t>(C)</w:t>
      </w:r>
      <w:r w:rsidRPr="002B4965">
        <w:rPr>
          <w:sz w:val="22"/>
          <w:szCs w:val="22"/>
        </w:rPr>
        <w:t xml:space="preserve">: </w:t>
      </w:r>
      <w:r w:rsidRPr="002B4965">
        <w:rPr>
          <w:b/>
          <w:bCs/>
          <w:sz w:val="22"/>
          <w:szCs w:val="22"/>
        </w:rPr>
        <w:t>(C1)</w:t>
      </w:r>
      <w:r w:rsidRPr="002B4965">
        <w:rPr>
          <w:sz w:val="22"/>
          <w:szCs w:val="22"/>
        </w:rPr>
        <w:t xml:space="preserve"> </w:t>
      </w:r>
      <w:r w:rsidRPr="002B4965">
        <w:rPr>
          <w:i/>
          <w:iCs/>
          <w:sz w:val="22"/>
          <w:szCs w:val="22"/>
        </w:rPr>
        <w:t>ABL1</w:t>
      </w:r>
      <w:r w:rsidRPr="002B4965">
        <w:rPr>
          <w:sz w:val="22"/>
          <w:szCs w:val="22"/>
        </w:rPr>
        <w:t>::</w:t>
      </w:r>
      <w:r w:rsidRPr="002B4965">
        <w:rPr>
          <w:i/>
          <w:iCs/>
          <w:sz w:val="22"/>
          <w:szCs w:val="22"/>
        </w:rPr>
        <w:t>WDR83OS</w:t>
      </w:r>
      <w:r w:rsidRPr="002B4965">
        <w:rPr>
          <w:sz w:val="22"/>
          <w:szCs w:val="22"/>
        </w:rPr>
        <w:t xml:space="preserve"> and </w:t>
      </w:r>
      <w:r w:rsidRPr="002B4965">
        <w:rPr>
          <w:b/>
          <w:bCs/>
          <w:sz w:val="22"/>
          <w:szCs w:val="22"/>
        </w:rPr>
        <w:t>(C2)</w:t>
      </w:r>
      <w:r w:rsidRPr="002B4965">
        <w:rPr>
          <w:sz w:val="22"/>
          <w:szCs w:val="22"/>
        </w:rPr>
        <w:t xml:space="preserve"> </w:t>
      </w:r>
      <w:r w:rsidRPr="002B4965">
        <w:rPr>
          <w:i/>
          <w:iCs/>
          <w:sz w:val="22"/>
          <w:szCs w:val="22"/>
        </w:rPr>
        <w:t>MDM2::</w:t>
      </w:r>
      <w:r w:rsidRPr="002B4965">
        <w:rPr>
          <w:noProof/>
          <w:sz w:val="22"/>
          <w:szCs w:val="22"/>
          <w14:ligatures w14:val="standardContextual"/>
        </w:rPr>
        <w:t xml:space="preserve"> </w:t>
      </w:r>
      <w:r w:rsidRPr="002B4965">
        <w:rPr>
          <w:i/>
          <w:iCs/>
          <w:sz w:val="22"/>
          <w:szCs w:val="22"/>
        </w:rPr>
        <w:t>NUP107</w:t>
      </w:r>
      <w:r w:rsidRPr="002B4965">
        <w:rPr>
          <w:sz w:val="22"/>
          <w:szCs w:val="22"/>
        </w:rPr>
        <w:t xml:space="preserve">. </w:t>
      </w:r>
    </w:p>
    <w:p w14:paraId="01A50486" w14:textId="77777777" w:rsidR="003165CC" w:rsidRPr="002B4965" w:rsidRDefault="003165CC" w:rsidP="003165CC">
      <w:pPr>
        <w:pStyle w:val="p1"/>
        <w:jc w:val="both"/>
        <w:rPr>
          <w:sz w:val="22"/>
          <w:szCs w:val="22"/>
        </w:rPr>
      </w:pPr>
    </w:p>
    <w:p w14:paraId="32AB31AB" w14:textId="77777777" w:rsidR="003165CC" w:rsidRPr="002B4965" w:rsidRDefault="003165CC" w:rsidP="003165CC">
      <w:pPr>
        <w:pStyle w:val="p1"/>
        <w:jc w:val="both"/>
        <w:rPr>
          <w:sz w:val="22"/>
          <w:szCs w:val="22"/>
        </w:rPr>
      </w:pPr>
    </w:p>
    <w:p w14:paraId="6C9D2E4F" w14:textId="77777777" w:rsidR="003165CC" w:rsidRPr="002B4965" w:rsidRDefault="003165CC" w:rsidP="003165CC">
      <w:pPr>
        <w:pStyle w:val="p1"/>
        <w:jc w:val="both"/>
        <w:rPr>
          <w:sz w:val="22"/>
          <w:szCs w:val="22"/>
        </w:rPr>
      </w:pPr>
    </w:p>
    <w:p w14:paraId="65067316" w14:textId="77777777" w:rsidR="003165CC" w:rsidRPr="002B4965" w:rsidRDefault="003165CC" w:rsidP="003165CC">
      <w:pPr>
        <w:pStyle w:val="p1"/>
        <w:jc w:val="both"/>
        <w:rPr>
          <w:sz w:val="22"/>
          <w:szCs w:val="22"/>
        </w:rPr>
      </w:pPr>
    </w:p>
    <w:p w14:paraId="437A0841" w14:textId="77777777" w:rsidR="003165CC" w:rsidRPr="002B4965" w:rsidRDefault="003165CC" w:rsidP="003165CC">
      <w:pPr>
        <w:pStyle w:val="p1"/>
        <w:jc w:val="both"/>
        <w:rPr>
          <w:sz w:val="22"/>
          <w:szCs w:val="22"/>
        </w:rPr>
      </w:pPr>
      <w:r w:rsidRPr="002B4965">
        <w:rPr>
          <w:noProof/>
          <w:sz w:val="22"/>
          <w:szCs w:val="22"/>
          <w14:ligatures w14:val="standardContextual"/>
        </w:rPr>
        <w:drawing>
          <wp:inline distT="0" distB="0" distL="0" distR="0" wp14:anchorId="35A12DA7" wp14:editId="036126A1">
            <wp:extent cx="5617029" cy="4585967"/>
            <wp:effectExtent l="0" t="0" r="0" b="0"/>
            <wp:docPr id="5642211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570645" name="Picture 1746570645"/>
                    <pic:cNvPicPr/>
                  </pic:nvPicPr>
                  <pic:blipFill rotWithShape="1">
                    <a:blip r:embed="rId4"/>
                    <a:srcRect l="11234" r="11597" b="48809"/>
                    <a:stretch>
                      <a:fillRect/>
                    </a:stretch>
                  </pic:blipFill>
                  <pic:spPr bwMode="auto">
                    <a:xfrm>
                      <a:off x="0" y="0"/>
                      <a:ext cx="5629945" cy="4596512"/>
                    </a:xfrm>
                    <a:prstGeom prst="rect">
                      <a:avLst/>
                    </a:prstGeom>
                    <a:ln>
                      <a:noFill/>
                    </a:ln>
                    <a:extLst>
                      <a:ext uri="{53640926-AAD7-44D8-BBD7-CCE9431645EC}">
                        <a14:shadowObscured xmlns:a14="http://schemas.microsoft.com/office/drawing/2010/main"/>
                      </a:ext>
                    </a:extLst>
                  </pic:spPr>
                </pic:pic>
              </a:graphicData>
            </a:graphic>
          </wp:inline>
        </w:drawing>
      </w:r>
    </w:p>
    <w:p w14:paraId="3B9B89B8" w14:textId="77777777" w:rsidR="003165CC" w:rsidRPr="002B4965" w:rsidRDefault="003165CC" w:rsidP="003165CC">
      <w:pPr>
        <w:pStyle w:val="p1"/>
        <w:jc w:val="both"/>
        <w:rPr>
          <w:sz w:val="22"/>
          <w:szCs w:val="22"/>
        </w:rPr>
      </w:pPr>
    </w:p>
    <w:p w14:paraId="58FF2518" w14:textId="77777777" w:rsidR="003165CC" w:rsidRPr="002B4965" w:rsidRDefault="003165CC" w:rsidP="003165CC">
      <w:pPr>
        <w:pStyle w:val="p1"/>
        <w:jc w:val="both"/>
        <w:rPr>
          <w:sz w:val="22"/>
          <w:szCs w:val="22"/>
        </w:rPr>
      </w:pPr>
    </w:p>
    <w:p w14:paraId="4F3EEDF9" w14:textId="77777777" w:rsidR="003165CC" w:rsidRPr="002B4965" w:rsidRDefault="003165CC" w:rsidP="003165CC">
      <w:pPr>
        <w:pStyle w:val="p1"/>
        <w:jc w:val="both"/>
        <w:rPr>
          <w:sz w:val="22"/>
          <w:szCs w:val="22"/>
        </w:rPr>
      </w:pPr>
      <w:r w:rsidRPr="002B4965">
        <w:rPr>
          <w:noProof/>
          <w:sz w:val="22"/>
          <w:szCs w:val="22"/>
          <w14:ligatures w14:val="standardContextual"/>
        </w:rPr>
        <w:lastRenderedPageBreak/>
        <w:drawing>
          <wp:anchor distT="0" distB="0" distL="114300" distR="114300" simplePos="0" relativeHeight="251668480" behindDoc="0" locked="0" layoutInCell="1" allowOverlap="1" wp14:anchorId="4113A27D" wp14:editId="294D7180">
            <wp:simplePos x="0" y="0"/>
            <wp:positionH relativeFrom="column">
              <wp:posOffset>0</wp:posOffset>
            </wp:positionH>
            <wp:positionV relativeFrom="paragraph">
              <wp:posOffset>0</wp:posOffset>
            </wp:positionV>
            <wp:extent cx="6051550" cy="8357235"/>
            <wp:effectExtent l="0" t="0" r="6350" b="0"/>
            <wp:wrapThrough wrapText="bothSides">
              <wp:wrapPolygon edited="0">
                <wp:start x="0" y="0"/>
                <wp:lineTo x="0" y="21566"/>
                <wp:lineTo x="21577" y="21566"/>
                <wp:lineTo x="21577" y="0"/>
                <wp:lineTo x="0" y="0"/>
              </wp:wrapPolygon>
            </wp:wrapThrough>
            <wp:docPr id="8999004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97548" name="Picture 1361997548"/>
                    <pic:cNvPicPr/>
                  </pic:nvPicPr>
                  <pic:blipFill rotWithShape="1">
                    <a:blip r:embed="rId5"/>
                    <a:srcRect l="10883"/>
                    <a:stretch>
                      <a:fillRect/>
                    </a:stretch>
                  </pic:blipFill>
                  <pic:spPr bwMode="auto">
                    <a:xfrm>
                      <a:off x="0" y="0"/>
                      <a:ext cx="6051550" cy="8357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3C44A5" w14:textId="77777777" w:rsidR="003165CC" w:rsidRPr="002B4965" w:rsidRDefault="003165CC" w:rsidP="003165CC">
      <w:pPr>
        <w:pStyle w:val="p1"/>
        <w:jc w:val="both"/>
        <w:rPr>
          <w:sz w:val="22"/>
          <w:szCs w:val="22"/>
        </w:rPr>
      </w:pPr>
      <w:r w:rsidRPr="002B4965">
        <w:rPr>
          <w:noProof/>
          <w:sz w:val="22"/>
          <w:szCs w:val="22"/>
          <w14:ligatures w14:val="standardContextual"/>
        </w:rPr>
        <w:lastRenderedPageBreak/>
        <w:drawing>
          <wp:anchor distT="0" distB="0" distL="114300" distR="114300" simplePos="0" relativeHeight="251667456" behindDoc="0" locked="0" layoutInCell="1" allowOverlap="1" wp14:anchorId="1B07F80B" wp14:editId="1BC38ED9">
            <wp:simplePos x="0" y="0"/>
            <wp:positionH relativeFrom="column">
              <wp:posOffset>0</wp:posOffset>
            </wp:positionH>
            <wp:positionV relativeFrom="paragraph">
              <wp:posOffset>0</wp:posOffset>
            </wp:positionV>
            <wp:extent cx="5742432" cy="8692556"/>
            <wp:effectExtent l="0" t="0" r="5080" b="0"/>
            <wp:wrapThrough wrapText="bothSides">
              <wp:wrapPolygon edited="0">
                <wp:start x="0" y="0"/>
                <wp:lineTo x="0" y="21554"/>
                <wp:lineTo x="21545" y="21554"/>
                <wp:lineTo x="21545" y="0"/>
                <wp:lineTo x="0" y="0"/>
              </wp:wrapPolygon>
            </wp:wrapThrough>
            <wp:docPr id="20148845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203266" name="Picture 1742203266"/>
                    <pic:cNvPicPr/>
                  </pic:nvPicPr>
                  <pic:blipFill rotWithShape="1">
                    <a:blip r:embed="rId6"/>
                    <a:srcRect l="12157" r="6536"/>
                    <a:stretch>
                      <a:fillRect/>
                    </a:stretch>
                  </pic:blipFill>
                  <pic:spPr bwMode="auto">
                    <a:xfrm>
                      <a:off x="0" y="0"/>
                      <a:ext cx="5742432" cy="86925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2249F3" w14:textId="77777777" w:rsidR="003165CC" w:rsidRPr="002B4965" w:rsidRDefault="003165CC" w:rsidP="003165CC">
      <w:pPr>
        <w:pStyle w:val="p1"/>
        <w:jc w:val="both"/>
        <w:rPr>
          <w:sz w:val="22"/>
          <w:szCs w:val="22"/>
        </w:rPr>
      </w:pPr>
      <w:r w:rsidRPr="002B4965">
        <w:rPr>
          <w:noProof/>
          <w:sz w:val="22"/>
          <w:szCs w:val="22"/>
          <w14:ligatures w14:val="standardContextual"/>
        </w:rPr>
        <w:lastRenderedPageBreak/>
        <w:drawing>
          <wp:anchor distT="0" distB="0" distL="114300" distR="114300" simplePos="0" relativeHeight="251666432" behindDoc="0" locked="0" layoutInCell="1" allowOverlap="1" wp14:anchorId="384BCDEF" wp14:editId="4F281F04">
            <wp:simplePos x="0" y="0"/>
            <wp:positionH relativeFrom="column">
              <wp:posOffset>0</wp:posOffset>
            </wp:positionH>
            <wp:positionV relativeFrom="paragraph">
              <wp:posOffset>0</wp:posOffset>
            </wp:positionV>
            <wp:extent cx="5833872" cy="8057504"/>
            <wp:effectExtent l="0" t="0" r="0" b="0"/>
            <wp:wrapThrough wrapText="bothSides">
              <wp:wrapPolygon edited="0">
                <wp:start x="0" y="0"/>
                <wp:lineTo x="0" y="21552"/>
                <wp:lineTo x="21537" y="21552"/>
                <wp:lineTo x="21537" y="0"/>
                <wp:lineTo x="0" y="0"/>
              </wp:wrapPolygon>
            </wp:wrapThrough>
            <wp:docPr id="12792551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61622" name="Picture 667461622"/>
                    <pic:cNvPicPr/>
                  </pic:nvPicPr>
                  <pic:blipFill rotWithShape="1">
                    <a:blip r:embed="rId7"/>
                    <a:srcRect l="7263" r="3626"/>
                    <a:stretch>
                      <a:fillRect/>
                    </a:stretch>
                  </pic:blipFill>
                  <pic:spPr bwMode="auto">
                    <a:xfrm>
                      <a:off x="0" y="0"/>
                      <a:ext cx="5833872" cy="80575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7BF195" w14:textId="77777777" w:rsidR="003165CC" w:rsidRPr="002B4965" w:rsidRDefault="003165CC" w:rsidP="003165CC">
      <w:pPr>
        <w:pStyle w:val="p1"/>
        <w:jc w:val="both"/>
        <w:rPr>
          <w:sz w:val="22"/>
          <w:szCs w:val="22"/>
        </w:rPr>
      </w:pPr>
      <w:r w:rsidRPr="002B4965">
        <w:rPr>
          <w:noProof/>
          <w:sz w:val="22"/>
          <w:szCs w:val="22"/>
          <w14:ligatures w14:val="standardContextual"/>
        </w:rPr>
        <w:lastRenderedPageBreak/>
        <w:drawing>
          <wp:anchor distT="0" distB="0" distL="114300" distR="114300" simplePos="0" relativeHeight="251665408" behindDoc="1" locked="0" layoutInCell="1" allowOverlap="1" wp14:anchorId="513ACA72" wp14:editId="57756A21">
            <wp:simplePos x="0" y="0"/>
            <wp:positionH relativeFrom="column">
              <wp:posOffset>-456565</wp:posOffset>
            </wp:positionH>
            <wp:positionV relativeFrom="paragraph">
              <wp:posOffset>0</wp:posOffset>
            </wp:positionV>
            <wp:extent cx="6711696" cy="8260549"/>
            <wp:effectExtent l="0" t="0" r="0" b="0"/>
            <wp:wrapTight wrapText="bothSides">
              <wp:wrapPolygon edited="0">
                <wp:start x="0" y="0"/>
                <wp:lineTo x="0" y="21554"/>
                <wp:lineTo x="21541" y="21554"/>
                <wp:lineTo x="21541" y="0"/>
                <wp:lineTo x="0" y="0"/>
              </wp:wrapPolygon>
            </wp:wrapTight>
            <wp:docPr id="20214311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49076" name="Picture 1504649076"/>
                    <pic:cNvPicPr/>
                  </pic:nvPicPr>
                  <pic:blipFill>
                    <a:blip r:embed="rId8"/>
                    <a:stretch>
                      <a:fillRect/>
                    </a:stretch>
                  </pic:blipFill>
                  <pic:spPr>
                    <a:xfrm>
                      <a:off x="0" y="0"/>
                      <a:ext cx="6711696" cy="8260549"/>
                    </a:xfrm>
                    <a:prstGeom prst="rect">
                      <a:avLst/>
                    </a:prstGeom>
                  </pic:spPr>
                </pic:pic>
              </a:graphicData>
            </a:graphic>
            <wp14:sizeRelH relativeFrom="page">
              <wp14:pctWidth>0</wp14:pctWidth>
            </wp14:sizeRelH>
            <wp14:sizeRelV relativeFrom="page">
              <wp14:pctHeight>0</wp14:pctHeight>
            </wp14:sizeRelV>
          </wp:anchor>
        </w:drawing>
      </w:r>
    </w:p>
    <w:p w14:paraId="5AEF8FCF" w14:textId="77777777" w:rsidR="003165CC" w:rsidRPr="002B4965" w:rsidRDefault="003165CC" w:rsidP="003165CC">
      <w:pPr>
        <w:pStyle w:val="p1"/>
        <w:jc w:val="center"/>
        <w:rPr>
          <w:sz w:val="22"/>
          <w:szCs w:val="22"/>
        </w:rPr>
      </w:pPr>
      <w:r w:rsidRPr="002B4965">
        <w:rPr>
          <w:noProof/>
          <w:sz w:val="22"/>
          <w:szCs w:val="22"/>
          <w14:ligatures w14:val="standardContextual"/>
        </w:rPr>
        <w:lastRenderedPageBreak/>
        <w:drawing>
          <wp:anchor distT="0" distB="0" distL="114300" distR="114300" simplePos="0" relativeHeight="251669504" behindDoc="1" locked="0" layoutInCell="1" allowOverlap="1" wp14:anchorId="4E755159" wp14:editId="05BEA99D">
            <wp:simplePos x="0" y="0"/>
            <wp:positionH relativeFrom="column">
              <wp:posOffset>-404949</wp:posOffset>
            </wp:positionH>
            <wp:positionV relativeFrom="paragraph">
              <wp:posOffset>0</wp:posOffset>
            </wp:positionV>
            <wp:extent cx="6625189" cy="3931739"/>
            <wp:effectExtent l="0" t="0" r="4445" b="5715"/>
            <wp:wrapTight wrapText="bothSides">
              <wp:wrapPolygon edited="0">
                <wp:start x="0" y="0"/>
                <wp:lineTo x="0" y="21562"/>
                <wp:lineTo x="21573" y="21562"/>
                <wp:lineTo x="21573" y="0"/>
                <wp:lineTo x="0" y="0"/>
              </wp:wrapPolygon>
            </wp:wrapTight>
            <wp:docPr id="1215574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776754" name="Picture 886776754"/>
                    <pic:cNvPicPr/>
                  </pic:nvPicPr>
                  <pic:blipFill rotWithShape="1">
                    <a:blip r:embed="rId9"/>
                    <a:srcRect t="5357" b="46425"/>
                    <a:stretch>
                      <a:fillRect/>
                    </a:stretch>
                  </pic:blipFill>
                  <pic:spPr bwMode="auto">
                    <a:xfrm>
                      <a:off x="0" y="0"/>
                      <a:ext cx="6625189" cy="393173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6CD842" w14:textId="77777777" w:rsidR="003165CC" w:rsidRPr="002B4965" w:rsidRDefault="003165CC" w:rsidP="003165CC">
      <w:pPr>
        <w:pStyle w:val="p1"/>
        <w:jc w:val="both"/>
        <w:rPr>
          <w:sz w:val="22"/>
          <w:szCs w:val="22"/>
        </w:rPr>
      </w:pPr>
    </w:p>
    <w:p w14:paraId="63C15331" w14:textId="71B13091" w:rsidR="00E43C87" w:rsidRPr="002B4965" w:rsidRDefault="00E43C87">
      <w:pPr>
        <w:rPr>
          <w:sz w:val="22"/>
          <w:szCs w:val="22"/>
        </w:rPr>
      </w:pPr>
    </w:p>
    <w:p w14:paraId="29B51EA0" w14:textId="77777777" w:rsidR="00201124" w:rsidRPr="002B4965" w:rsidRDefault="00201124">
      <w:pPr>
        <w:rPr>
          <w:sz w:val="22"/>
          <w:szCs w:val="22"/>
        </w:rPr>
      </w:pPr>
    </w:p>
    <w:p w14:paraId="0FA738DB" w14:textId="77777777" w:rsidR="00201124" w:rsidRPr="002B4965" w:rsidRDefault="00201124">
      <w:pPr>
        <w:rPr>
          <w:sz w:val="22"/>
          <w:szCs w:val="22"/>
        </w:rPr>
      </w:pPr>
    </w:p>
    <w:p w14:paraId="421B1DE6" w14:textId="77777777" w:rsidR="00201124" w:rsidRPr="002B4965" w:rsidRDefault="00201124">
      <w:pPr>
        <w:rPr>
          <w:sz w:val="22"/>
          <w:szCs w:val="22"/>
        </w:rPr>
      </w:pPr>
    </w:p>
    <w:p w14:paraId="4DE9972D" w14:textId="77777777" w:rsidR="00201124" w:rsidRPr="002B4965" w:rsidRDefault="00201124">
      <w:pPr>
        <w:rPr>
          <w:sz w:val="22"/>
          <w:szCs w:val="22"/>
        </w:rPr>
      </w:pPr>
    </w:p>
    <w:p w14:paraId="2257591D" w14:textId="364F9629" w:rsidR="00B26C9F" w:rsidRDefault="00B26C9F">
      <w:pPr>
        <w:rPr>
          <w:sz w:val="22"/>
          <w:szCs w:val="22"/>
        </w:rPr>
      </w:pPr>
      <w:r>
        <w:rPr>
          <w:sz w:val="22"/>
          <w:szCs w:val="22"/>
        </w:rPr>
        <w:br w:type="page"/>
      </w:r>
    </w:p>
    <w:p w14:paraId="12C1ACB0" w14:textId="79B7167C" w:rsidR="00B26C9F" w:rsidRPr="002B4965" w:rsidRDefault="00B26C9F" w:rsidP="00B26C9F">
      <w:pPr>
        <w:jc w:val="both"/>
        <w:rPr>
          <w:sz w:val="22"/>
          <w:szCs w:val="22"/>
        </w:rPr>
      </w:pPr>
      <w:r w:rsidRPr="002B4965">
        <w:rPr>
          <w:noProof/>
          <w:sz w:val="22"/>
          <w:szCs w:val="22"/>
        </w:rPr>
        <w:lastRenderedPageBreak/>
        <w:drawing>
          <wp:inline distT="0" distB="0" distL="0" distR="0" wp14:anchorId="2B0A98C8" wp14:editId="5093F703">
            <wp:extent cx="5943576" cy="6152322"/>
            <wp:effectExtent l="0" t="0" r="635" b="0"/>
            <wp:docPr id="1165612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320196" name="Picture 1506320196"/>
                    <pic:cNvPicPr/>
                  </pic:nvPicPr>
                  <pic:blipFill rotWithShape="1">
                    <a:blip r:embed="rId10"/>
                    <a:srcRect t="3533" b="12364"/>
                    <a:stretch>
                      <a:fillRect/>
                    </a:stretch>
                  </pic:blipFill>
                  <pic:spPr bwMode="auto">
                    <a:xfrm>
                      <a:off x="0" y="0"/>
                      <a:ext cx="5943600" cy="6152346"/>
                    </a:xfrm>
                    <a:prstGeom prst="rect">
                      <a:avLst/>
                    </a:prstGeom>
                    <a:ln>
                      <a:noFill/>
                    </a:ln>
                    <a:extLst>
                      <a:ext uri="{53640926-AAD7-44D8-BBD7-CCE9431645EC}">
                        <a14:shadowObscured xmlns:a14="http://schemas.microsoft.com/office/drawing/2010/main"/>
                      </a:ext>
                    </a:extLst>
                  </pic:spPr>
                </pic:pic>
              </a:graphicData>
            </a:graphic>
          </wp:inline>
        </w:drawing>
      </w:r>
      <w:r w:rsidRPr="002B4965">
        <w:rPr>
          <w:rFonts w:ascii="Arial" w:hAnsi="Arial" w:cs="Arial"/>
          <w:b/>
          <w:bCs/>
          <w:sz w:val="22"/>
          <w:szCs w:val="22"/>
        </w:rPr>
        <w:t xml:space="preserve"> Fig S</w:t>
      </w:r>
      <w:r>
        <w:rPr>
          <w:rFonts w:ascii="Arial" w:hAnsi="Arial" w:cs="Arial"/>
          <w:b/>
          <w:bCs/>
          <w:sz w:val="22"/>
          <w:szCs w:val="22"/>
        </w:rPr>
        <w:t>2</w:t>
      </w:r>
      <w:r w:rsidRPr="002B4965">
        <w:rPr>
          <w:rFonts w:ascii="Arial" w:hAnsi="Arial" w:cs="Arial"/>
          <w:b/>
          <w:bCs/>
          <w:sz w:val="22"/>
          <w:szCs w:val="22"/>
        </w:rPr>
        <w:t xml:space="preserve">. Differential transcript isoform expression across glioma comparisons for </w:t>
      </w:r>
      <w:proofErr w:type="spellStart"/>
      <w:r w:rsidRPr="002B4965">
        <w:rPr>
          <w:rFonts w:ascii="Arial" w:hAnsi="Arial" w:cs="Arial"/>
          <w:b/>
          <w:bCs/>
          <w:sz w:val="22"/>
          <w:szCs w:val="22"/>
        </w:rPr>
        <w:t>IsoQuant</w:t>
      </w:r>
      <w:proofErr w:type="spellEnd"/>
      <w:r w:rsidRPr="002B4965">
        <w:rPr>
          <w:rFonts w:ascii="Arial" w:hAnsi="Arial" w:cs="Arial"/>
          <w:b/>
          <w:bCs/>
          <w:sz w:val="22"/>
          <w:szCs w:val="22"/>
        </w:rPr>
        <w:t xml:space="preserve"> and FLAIR derived transcripts.</w:t>
      </w:r>
      <w:r w:rsidRPr="002B4965">
        <w:rPr>
          <w:rFonts w:ascii="Arial" w:hAnsi="Arial" w:cs="Arial"/>
          <w:sz w:val="22"/>
          <w:szCs w:val="22"/>
        </w:rPr>
        <w:t xml:space="preserve"> Concordance scatter plots between </w:t>
      </w:r>
      <w:proofErr w:type="spellStart"/>
      <w:r w:rsidRPr="002B4965">
        <w:rPr>
          <w:rFonts w:ascii="Arial" w:hAnsi="Arial" w:cs="Arial"/>
          <w:sz w:val="22"/>
          <w:szCs w:val="22"/>
        </w:rPr>
        <w:t>edgeR</w:t>
      </w:r>
      <w:proofErr w:type="spellEnd"/>
      <w:r w:rsidRPr="002B4965">
        <w:rPr>
          <w:rFonts w:ascii="Arial" w:hAnsi="Arial" w:cs="Arial"/>
          <w:sz w:val="22"/>
          <w:szCs w:val="22"/>
        </w:rPr>
        <w:t xml:space="preserve"> and DESeq2 are shown for all four glioma comparisons (Glioma vs. Controls, HGG vs. Controls, LGG vs. Controls, and HGG vs. LGG) for isoforms identified by </w:t>
      </w:r>
      <w:proofErr w:type="spellStart"/>
      <w:r w:rsidRPr="002B4965">
        <w:rPr>
          <w:rFonts w:ascii="Arial" w:hAnsi="Arial" w:cs="Arial"/>
          <w:sz w:val="22"/>
          <w:szCs w:val="22"/>
        </w:rPr>
        <w:t>IsoQuant</w:t>
      </w:r>
      <w:proofErr w:type="spellEnd"/>
      <w:r w:rsidRPr="002B4965">
        <w:rPr>
          <w:rFonts w:ascii="Arial" w:hAnsi="Arial" w:cs="Arial"/>
          <w:sz w:val="22"/>
          <w:szCs w:val="22"/>
        </w:rPr>
        <w:t xml:space="preserve"> </w:t>
      </w:r>
      <w:r w:rsidRPr="002B4965">
        <w:rPr>
          <w:rFonts w:ascii="Arial" w:hAnsi="Arial" w:cs="Arial"/>
          <w:b/>
          <w:bCs/>
          <w:sz w:val="22"/>
          <w:szCs w:val="22"/>
        </w:rPr>
        <w:t>(A)</w:t>
      </w:r>
      <w:r w:rsidRPr="002B4965">
        <w:rPr>
          <w:rFonts w:ascii="Arial" w:hAnsi="Arial" w:cs="Arial"/>
          <w:sz w:val="22"/>
          <w:szCs w:val="22"/>
        </w:rPr>
        <w:t xml:space="preserve"> and FLAIR </w:t>
      </w:r>
      <w:r w:rsidRPr="002B4965">
        <w:rPr>
          <w:rFonts w:ascii="Arial" w:hAnsi="Arial" w:cs="Arial"/>
          <w:b/>
          <w:bCs/>
          <w:sz w:val="22"/>
          <w:szCs w:val="22"/>
        </w:rPr>
        <w:t>(B)</w:t>
      </w:r>
      <w:r w:rsidRPr="002B4965">
        <w:rPr>
          <w:rFonts w:ascii="Arial" w:hAnsi="Arial" w:cs="Arial"/>
          <w:sz w:val="22"/>
          <w:szCs w:val="22"/>
        </w:rPr>
        <w:t xml:space="preserve">. Each point represents an individual transcript isoform, with </w:t>
      </w:r>
      <w:proofErr w:type="spellStart"/>
      <w:r w:rsidRPr="002B4965">
        <w:rPr>
          <w:rFonts w:ascii="Arial" w:hAnsi="Arial" w:cs="Arial"/>
          <w:sz w:val="22"/>
          <w:szCs w:val="22"/>
        </w:rPr>
        <w:t>edgeR</w:t>
      </w:r>
      <w:proofErr w:type="spellEnd"/>
      <w:r w:rsidRPr="002B4965">
        <w:rPr>
          <w:rFonts w:ascii="Arial" w:hAnsi="Arial" w:cs="Arial"/>
          <w:sz w:val="22"/>
          <w:szCs w:val="22"/>
        </w:rPr>
        <w:t xml:space="preserve"> log2 fold change on the y axis and DESeq2 log2 fold change on the x axis. Significant differentially expressed isoforms from both tools (DESeq2 (FDR in </w:t>
      </w:r>
      <w:proofErr w:type="spellStart"/>
      <w:r w:rsidRPr="002B4965">
        <w:rPr>
          <w:rFonts w:ascii="Arial" w:hAnsi="Arial" w:cs="Arial"/>
          <w:sz w:val="22"/>
          <w:szCs w:val="22"/>
        </w:rPr>
        <w:t>edgeR</w:t>
      </w:r>
      <w:proofErr w:type="spellEnd"/>
      <w:r w:rsidRPr="002B4965">
        <w:rPr>
          <w:rFonts w:ascii="Arial" w:hAnsi="Arial" w:cs="Arial"/>
          <w:sz w:val="22"/>
          <w:szCs w:val="22"/>
        </w:rPr>
        <w:t xml:space="preserve">, adjusted p-value in DESeq2 </w:t>
      </w:r>
      <w:r w:rsidRPr="002B4965">
        <w:rPr>
          <w:rFonts w:ascii="Arial" w:hAnsi="Arial" w:cs="Arial"/>
          <w:sz w:val="22"/>
          <w:szCs w:val="22"/>
        </w:rPr>
        <w:sym w:font="Symbol" w:char="F0A3"/>
      </w:r>
      <w:r w:rsidRPr="002B4965">
        <w:rPr>
          <w:rFonts w:ascii="Arial" w:hAnsi="Arial" w:cs="Arial"/>
          <w:sz w:val="22"/>
          <w:szCs w:val="22"/>
        </w:rPr>
        <w:t xml:space="preserve">0.05, and the absolute value of the log2 FC in expression </w:t>
      </w:r>
      <w:r w:rsidRPr="002B4965">
        <w:rPr>
          <w:rFonts w:ascii="Arial" w:hAnsi="Arial" w:cs="Arial"/>
          <w:sz w:val="22"/>
          <w:szCs w:val="22"/>
        </w:rPr>
        <w:sym w:font="Symbol" w:char="F0B3"/>
      </w:r>
      <w:r w:rsidRPr="002B4965">
        <w:rPr>
          <w:rFonts w:ascii="Arial" w:hAnsi="Arial" w:cs="Arial"/>
          <w:sz w:val="22"/>
          <w:szCs w:val="22"/>
        </w:rPr>
        <w:t xml:space="preserve">1) are shown, where concordant isoforms (significant in both </w:t>
      </w:r>
      <w:proofErr w:type="spellStart"/>
      <w:r w:rsidRPr="002B4965">
        <w:rPr>
          <w:rFonts w:ascii="Arial" w:hAnsi="Arial" w:cs="Arial"/>
          <w:sz w:val="22"/>
          <w:szCs w:val="22"/>
        </w:rPr>
        <w:t>edgeR</w:t>
      </w:r>
      <w:proofErr w:type="spellEnd"/>
      <w:r w:rsidRPr="002B4965">
        <w:rPr>
          <w:rFonts w:ascii="Arial" w:hAnsi="Arial" w:cs="Arial"/>
          <w:sz w:val="22"/>
          <w:szCs w:val="22"/>
        </w:rPr>
        <w:t xml:space="preserve"> and DESeq2) are colored red, DESeq2 only are colored blue, </w:t>
      </w:r>
      <w:proofErr w:type="spellStart"/>
      <w:r w:rsidRPr="002B4965">
        <w:rPr>
          <w:rFonts w:ascii="Arial" w:hAnsi="Arial" w:cs="Arial"/>
          <w:sz w:val="22"/>
          <w:szCs w:val="22"/>
        </w:rPr>
        <w:t>edgeR</w:t>
      </w:r>
      <w:proofErr w:type="spellEnd"/>
      <w:r w:rsidRPr="002B4965">
        <w:rPr>
          <w:rFonts w:ascii="Arial" w:hAnsi="Arial" w:cs="Arial"/>
          <w:sz w:val="22"/>
          <w:szCs w:val="22"/>
        </w:rPr>
        <w:t xml:space="preserve"> only are colored green, and gray for not significant in either method. Concordant isoforms cluster along the dotted diagonal (y = x), illustrating strong agreement in effect sizes between tools across all comparisons.</w:t>
      </w:r>
    </w:p>
    <w:p w14:paraId="2E70634F" w14:textId="77777777" w:rsidR="00B26C9F" w:rsidRPr="002B4965" w:rsidRDefault="00B26C9F" w:rsidP="00B26C9F">
      <w:pPr>
        <w:pStyle w:val="p1"/>
        <w:jc w:val="both"/>
        <w:rPr>
          <w:sz w:val="22"/>
          <w:szCs w:val="22"/>
        </w:rPr>
      </w:pPr>
    </w:p>
    <w:p w14:paraId="289E9CC0" w14:textId="77777777" w:rsidR="00B26C9F" w:rsidRPr="002B4965" w:rsidRDefault="00B26C9F" w:rsidP="00B26C9F">
      <w:pPr>
        <w:pStyle w:val="p1"/>
        <w:jc w:val="both"/>
        <w:rPr>
          <w:sz w:val="22"/>
          <w:szCs w:val="22"/>
        </w:rPr>
      </w:pPr>
    </w:p>
    <w:p w14:paraId="67F03D6D" w14:textId="77777777" w:rsidR="00B26C9F" w:rsidRPr="002B4965" w:rsidRDefault="00B26C9F" w:rsidP="00B26C9F">
      <w:pPr>
        <w:jc w:val="both"/>
        <w:rPr>
          <w:rFonts w:ascii="Arial" w:eastAsia="Times New Roman" w:hAnsi="Arial" w:cs="Arial"/>
          <w:b/>
          <w:bCs/>
          <w:color w:val="000000"/>
          <w:kern w:val="0"/>
          <w:sz w:val="22"/>
          <w:szCs w:val="22"/>
          <w14:ligatures w14:val="none"/>
        </w:rPr>
      </w:pPr>
      <w:r w:rsidRPr="002B4965">
        <w:rPr>
          <w:rFonts w:ascii="Arial" w:eastAsia="Times New Roman" w:hAnsi="Arial" w:cs="Arial"/>
          <w:b/>
          <w:bCs/>
          <w:noProof/>
          <w:color w:val="000000"/>
          <w:kern w:val="0"/>
          <w:sz w:val="22"/>
          <w:szCs w:val="22"/>
        </w:rPr>
        <w:drawing>
          <wp:inline distT="0" distB="0" distL="0" distR="0" wp14:anchorId="47FB3419" wp14:editId="0B0A773B">
            <wp:extent cx="5943600" cy="7429500"/>
            <wp:effectExtent l="0" t="0" r="0" b="0"/>
            <wp:docPr id="2048204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04091" name="Picture 2048204091"/>
                    <pic:cNvPicPr/>
                  </pic:nvPicPr>
                  <pic:blipFill>
                    <a:blip r:embed="rId11"/>
                    <a:stretch>
                      <a:fillRect/>
                    </a:stretch>
                  </pic:blipFill>
                  <pic:spPr>
                    <a:xfrm>
                      <a:off x="0" y="0"/>
                      <a:ext cx="5943600" cy="7429500"/>
                    </a:xfrm>
                    <a:prstGeom prst="rect">
                      <a:avLst/>
                    </a:prstGeom>
                  </pic:spPr>
                </pic:pic>
              </a:graphicData>
            </a:graphic>
          </wp:inline>
        </w:drawing>
      </w:r>
    </w:p>
    <w:p w14:paraId="7C6814EC" w14:textId="77777777" w:rsidR="00861F86" w:rsidRDefault="00861F86" w:rsidP="00B26C9F">
      <w:pPr>
        <w:jc w:val="both"/>
        <w:rPr>
          <w:rFonts w:ascii="Arial" w:eastAsia="Times New Roman" w:hAnsi="Arial" w:cs="Arial"/>
          <w:b/>
          <w:bCs/>
          <w:color w:val="000000"/>
          <w:kern w:val="0"/>
          <w:sz w:val="22"/>
          <w:szCs w:val="22"/>
          <w14:ligatures w14:val="none"/>
        </w:rPr>
      </w:pPr>
    </w:p>
    <w:p w14:paraId="067169F9" w14:textId="0C7B974D" w:rsidR="00B26C9F" w:rsidRPr="002B4965" w:rsidRDefault="00B26C9F" w:rsidP="00B26C9F">
      <w:pPr>
        <w:jc w:val="both"/>
        <w:rPr>
          <w:rFonts w:ascii="Arial" w:eastAsia="Times New Roman" w:hAnsi="Arial" w:cs="Arial"/>
          <w:color w:val="000000"/>
          <w:kern w:val="0"/>
          <w:sz w:val="22"/>
          <w:szCs w:val="22"/>
          <w14:ligatures w14:val="none"/>
        </w:rPr>
      </w:pPr>
      <w:r w:rsidRPr="002B4965">
        <w:rPr>
          <w:rFonts w:ascii="Arial" w:eastAsia="Times New Roman" w:hAnsi="Arial" w:cs="Arial"/>
          <w:b/>
          <w:bCs/>
          <w:color w:val="000000"/>
          <w:kern w:val="0"/>
          <w:sz w:val="22"/>
          <w:szCs w:val="22"/>
          <w14:ligatures w14:val="none"/>
        </w:rPr>
        <w:lastRenderedPageBreak/>
        <w:t>Fig</w:t>
      </w:r>
      <w:r>
        <w:rPr>
          <w:rFonts w:ascii="Arial" w:eastAsia="Times New Roman" w:hAnsi="Arial" w:cs="Arial"/>
          <w:b/>
          <w:bCs/>
          <w:color w:val="000000"/>
          <w:kern w:val="0"/>
          <w:sz w:val="22"/>
          <w:szCs w:val="22"/>
          <w14:ligatures w14:val="none"/>
        </w:rPr>
        <w:t xml:space="preserve"> </w:t>
      </w:r>
      <w:r w:rsidRPr="002B4965">
        <w:rPr>
          <w:rFonts w:ascii="Arial" w:eastAsia="Times New Roman" w:hAnsi="Arial" w:cs="Arial"/>
          <w:b/>
          <w:bCs/>
          <w:color w:val="000000"/>
          <w:kern w:val="0"/>
          <w:sz w:val="22"/>
          <w:szCs w:val="22"/>
          <w14:ligatures w14:val="none"/>
        </w:rPr>
        <w:t>S</w:t>
      </w:r>
      <w:r>
        <w:rPr>
          <w:rFonts w:ascii="Arial" w:eastAsia="Times New Roman" w:hAnsi="Arial" w:cs="Arial"/>
          <w:b/>
          <w:bCs/>
          <w:color w:val="000000"/>
          <w:kern w:val="0"/>
          <w:sz w:val="22"/>
          <w:szCs w:val="22"/>
          <w14:ligatures w14:val="none"/>
        </w:rPr>
        <w:t>3</w:t>
      </w:r>
      <w:r w:rsidRPr="002B4965">
        <w:rPr>
          <w:rFonts w:ascii="Arial" w:eastAsia="Times New Roman" w:hAnsi="Arial" w:cs="Arial"/>
          <w:b/>
          <w:bCs/>
          <w:color w:val="000000"/>
          <w:kern w:val="0"/>
          <w:sz w:val="22"/>
          <w:szCs w:val="22"/>
          <w14:ligatures w14:val="none"/>
        </w:rPr>
        <w:t>. Representative novel transcript isoform structures for selected genes with recurrent novel isoforms in glioma.</w:t>
      </w:r>
      <w:r w:rsidRPr="002B4965">
        <w:rPr>
          <w:rFonts w:ascii="Arial" w:eastAsia="Times New Roman" w:hAnsi="Arial" w:cs="Arial"/>
          <w:color w:val="000000"/>
          <w:kern w:val="0"/>
          <w:sz w:val="22"/>
          <w:szCs w:val="22"/>
          <w14:ligatures w14:val="none"/>
        </w:rPr>
        <w:t xml:space="preserve"> The top five most recurrent novel isoform structures detected by </w:t>
      </w:r>
      <w:proofErr w:type="spellStart"/>
      <w:r w:rsidRPr="002B4965">
        <w:rPr>
          <w:rFonts w:ascii="Arial" w:eastAsia="Times New Roman" w:hAnsi="Arial" w:cs="Arial"/>
          <w:color w:val="000000"/>
          <w:kern w:val="0"/>
          <w:sz w:val="22"/>
          <w:szCs w:val="22"/>
          <w14:ligatures w14:val="none"/>
        </w:rPr>
        <w:t>IsoQuant</w:t>
      </w:r>
      <w:proofErr w:type="spellEnd"/>
      <w:r w:rsidRPr="002B4965">
        <w:rPr>
          <w:rFonts w:ascii="Arial" w:eastAsia="Times New Roman" w:hAnsi="Arial" w:cs="Arial"/>
          <w:color w:val="000000"/>
          <w:kern w:val="0"/>
          <w:sz w:val="22"/>
          <w:szCs w:val="22"/>
          <w14:ligatures w14:val="none"/>
        </w:rPr>
        <w:t xml:space="preserve"> are shown for (A) </w:t>
      </w:r>
      <w:r w:rsidRPr="002B4965">
        <w:rPr>
          <w:rFonts w:ascii="Arial" w:eastAsia="Times New Roman" w:hAnsi="Arial" w:cs="Arial"/>
          <w:i/>
          <w:iCs/>
          <w:color w:val="000000"/>
          <w:kern w:val="0"/>
          <w:sz w:val="22"/>
          <w:szCs w:val="22"/>
          <w14:ligatures w14:val="none"/>
        </w:rPr>
        <w:t>BCAN</w:t>
      </w:r>
      <w:r w:rsidRPr="002B4965">
        <w:rPr>
          <w:rFonts w:ascii="Arial" w:eastAsia="Times New Roman" w:hAnsi="Arial" w:cs="Arial"/>
          <w:color w:val="000000"/>
          <w:kern w:val="0"/>
          <w:sz w:val="22"/>
          <w:szCs w:val="22"/>
          <w14:ligatures w14:val="none"/>
        </w:rPr>
        <w:t xml:space="preserve">, (B) </w:t>
      </w:r>
      <w:r w:rsidRPr="002B4965">
        <w:rPr>
          <w:rFonts w:ascii="Arial" w:eastAsia="Times New Roman" w:hAnsi="Arial" w:cs="Arial"/>
          <w:i/>
          <w:iCs/>
          <w:color w:val="000000"/>
          <w:kern w:val="0"/>
          <w:sz w:val="22"/>
          <w:szCs w:val="22"/>
          <w14:ligatures w14:val="none"/>
        </w:rPr>
        <w:t>NDRG2</w:t>
      </w:r>
      <w:r w:rsidRPr="002B4965">
        <w:rPr>
          <w:rFonts w:ascii="Arial" w:eastAsia="Times New Roman" w:hAnsi="Arial" w:cs="Arial"/>
          <w:color w:val="000000"/>
          <w:kern w:val="0"/>
          <w:sz w:val="22"/>
          <w:szCs w:val="22"/>
          <w14:ligatures w14:val="none"/>
        </w:rPr>
        <w:t xml:space="preserve">, and (C) </w:t>
      </w:r>
      <w:r w:rsidRPr="002B4965">
        <w:rPr>
          <w:rFonts w:ascii="Arial" w:eastAsia="Times New Roman" w:hAnsi="Arial" w:cs="Arial"/>
          <w:i/>
          <w:iCs/>
          <w:color w:val="000000"/>
          <w:kern w:val="0"/>
          <w:sz w:val="22"/>
          <w:szCs w:val="22"/>
          <w14:ligatures w14:val="none"/>
        </w:rPr>
        <w:t>PAQR6</w:t>
      </w:r>
      <w:r w:rsidRPr="002B4965">
        <w:rPr>
          <w:rFonts w:ascii="Arial" w:eastAsia="Times New Roman" w:hAnsi="Arial" w:cs="Arial"/>
          <w:color w:val="000000"/>
          <w:kern w:val="0"/>
          <w:sz w:val="22"/>
          <w:szCs w:val="22"/>
          <w14:ligatures w14:val="none"/>
        </w:rPr>
        <w:t xml:space="preserve">, aligned to their respective GENCODE reference transcript (bottom, dark blue). Each isoform is labeled with its novelty classification (NIC, novel-in-catalog), average TPM expression value, and the sample(s) in which it was detected. Notable features include truncated isoforms with extensive exon skipping in </w:t>
      </w:r>
      <w:r w:rsidRPr="002B4965">
        <w:rPr>
          <w:rFonts w:ascii="Arial" w:eastAsia="Times New Roman" w:hAnsi="Arial" w:cs="Arial"/>
          <w:i/>
          <w:iCs/>
          <w:color w:val="000000"/>
          <w:kern w:val="0"/>
          <w:sz w:val="22"/>
          <w:szCs w:val="22"/>
          <w14:ligatures w14:val="none"/>
        </w:rPr>
        <w:t>BCAN</w:t>
      </w:r>
      <w:r w:rsidRPr="002B4965">
        <w:rPr>
          <w:rFonts w:ascii="Arial" w:eastAsia="Times New Roman" w:hAnsi="Arial" w:cs="Arial"/>
          <w:color w:val="000000"/>
          <w:kern w:val="0"/>
          <w:sz w:val="22"/>
          <w:szCs w:val="22"/>
          <w14:ligatures w14:val="none"/>
        </w:rPr>
        <w:t xml:space="preserve">, novel first exons and </w:t>
      </w:r>
      <w:proofErr w:type="gramStart"/>
      <w:r w:rsidRPr="002B4965">
        <w:rPr>
          <w:rFonts w:ascii="Arial" w:eastAsia="Times New Roman" w:hAnsi="Arial" w:cs="Arial"/>
          <w:color w:val="000000"/>
          <w:kern w:val="0"/>
          <w:sz w:val="22"/>
          <w:szCs w:val="22"/>
          <w14:ligatures w14:val="none"/>
        </w:rPr>
        <w:t>exon</w:t>
      </w:r>
      <w:proofErr w:type="gramEnd"/>
      <w:r w:rsidRPr="002B4965">
        <w:rPr>
          <w:rFonts w:ascii="Arial" w:eastAsia="Times New Roman" w:hAnsi="Arial" w:cs="Arial"/>
          <w:color w:val="000000"/>
          <w:kern w:val="0"/>
          <w:sz w:val="22"/>
          <w:szCs w:val="22"/>
          <w14:ligatures w14:val="none"/>
        </w:rPr>
        <w:t xml:space="preserve"> skipping in </w:t>
      </w:r>
      <w:r w:rsidRPr="002B4965">
        <w:rPr>
          <w:rFonts w:ascii="Arial" w:eastAsia="Times New Roman" w:hAnsi="Arial" w:cs="Arial"/>
          <w:i/>
          <w:iCs/>
          <w:color w:val="000000"/>
          <w:kern w:val="0"/>
          <w:sz w:val="22"/>
          <w:szCs w:val="22"/>
          <w14:ligatures w14:val="none"/>
        </w:rPr>
        <w:t>NDRG2</w:t>
      </w:r>
      <w:r w:rsidRPr="002B4965">
        <w:rPr>
          <w:rFonts w:ascii="Arial" w:eastAsia="Times New Roman" w:hAnsi="Arial" w:cs="Arial"/>
          <w:color w:val="000000"/>
          <w:kern w:val="0"/>
          <w:sz w:val="22"/>
          <w:szCs w:val="22"/>
          <w14:ligatures w14:val="none"/>
        </w:rPr>
        <w:t xml:space="preserve">, and diverse exon skipping patterns in </w:t>
      </w:r>
      <w:r w:rsidRPr="002B4965">
        <w:rPr>
          <w:rFonts w:ascii="Arial" w:eastAsia="Times New Roman" w:hAnsi="Arial" w:cs="Arial"/>
          <w:i/>
          <w:iCs/>
          <w:color w:val="000000"/>
          <w:kern w:val="0"/>
          <w:sz w:val="22"/>
          <w:szCs w:val="22"/>
          <w14:ligatures w14:val="none"/>
        </w:rPr>
        <w:t>PAQR6</w:t>
      </w:r>
      <w:r w:rsidRPr="002B4965">
        <w:rPr>
          <w:rFonts w:ascii="Arial" w:eastAsia="Times New Roman" w:hAnsi="Arial" w:cs="Arial"/>
          <w:color w:val="000000"/>
          <w:kern w:val="0"/>
          <w:sz w:val="22"/>
          <w:szCs w:val="22"/>
          <w14:ligatures w14:val="none"/>
        </w:rPr>
        <w:t>. Light blue boxes indicate exons matching reference positions, gray boxes indicate non-matching or novel exons ("N"), black dashed lines indicate normal introns, gray dashed lines indicate novel intronic connections, and red dashed lines indicate skipped exons. Exon numbers and original exon and intron lengths correspond to the reference annotation.</w:t>
      </w:r>
    </w:p>
    <w:p w14:paraId="26407B29" w14:textId="77777777" w:rsidR="00201124" w:rsidRPr="002B4965" w:rsidRDefault="00201124">
      <w:pPr>
        <w:rPr>
          <w:sz w:val="22"/>
          <w:szCs w:val="22"/>
        </w:rPr>
      </w:pPr>
    </w:p>
    <w:p w14:paraId="5991956F" w14:textId="77777777" w:rsidR="00201124" w:rsidRPr="002B4965" w:rsidRDefault="00201124">
      <w:pPr>
        <w:rPr>
          <w:sz w:val="22"/>
          <w:szCs w:val="22"/>
        </w:rPr>
      </w:pPr>
    </w:p>
    <w:p w14:paraId="6D914982" w14:textId="77777777" w:rsidR="00201124" w:rsidRPr="002B4965" w:rsidRDefault="00201124">
      <w:pPr>
        <w:rPr>
          <w:sz w:val="22"/>
          <w:szCs w:val="22"/>
        </w:rPr>
      </w:pPr>
    </w:p>
    <w:p w14:paraId="04D09F6D" w14:textId="77777777" w:rsidR="00201124" w:rsidRPr="002B4965" w:rsidRDefault="00201124">
      <w:pPr>
        <w:rPr>
          <w:sz w:val="22"/>
          <w:szCs w:val="22"/>
        </w:rPr>
      </w:pPr>
    </w:p>
    <w:p w14:paraId="34216F8E" w14:textId="77777777" w:rsidR="00201124" w:rsidRPr="002B4965" w:rsidRDefault="00201124">
      <w:pPr>
        <w:rPr>
          <w:sz w:val="22"/>
          <w:szCs w:val="22"/>
        </w:rPr>
      </w:pPr>
    </w:p>
    <w:p w14:paraId="2EEDCA51" w14:textId="77777777" w:rsidR="00201124" w:rsidRPr="002B4965" w:rsidRDefault="00201124">
      <w:pPr>
        <w:rPr>
          <w:sz w:val="22"/>
          <w:szCs w:val="22"/>
        </w:rPr>
      </w:pPr>
    </w:p>
    <w:p w14:paraId="42B1865A" w14:textId="77777777" w:rsidR="00201124" w:rsidRPr="002B4965" w:rsidRDefault="00201124">
      <w:pPr>
        <w:rPr>
          <w:sz w:val="22"/>
          <w:szCs w:val="22"/>
        </w:rPr>
      </w:pPr>
    </w:p>
    <w:p w14:paraId="10A6D043" w14:textId="2403F049" w:rsidR="00201124" w:rsidRPr="002B4965" w:rsidRDefault="00201124" w:rsidP="00E43C87">
      <w:pPr>
        <w:rPr>
          <w:rFonts w:ascii="Arial" w:hAnsi="Arial" w:cs="Arial"/>
          <w:sz w:val="22"/>
          <w:szCs w:val="22"/>
        </w:rPr>
      </w:pPr>
    </w:p>
    <w:p w14:paraId="6DC93B1B" w14:textId="117C26CF" w:rsidR="004C6A5E" w:rsidRPr="002B4965" w:rsidRDefault="004C6A5E">
      <w:pPr>
        <w:rPr>
          <w:sz w:val="22"/>
          <w:szCs w:val="22"/>
        </w:rPr>
      </w:pPr>
      <w:r w:rsidRPr="002B4965">
        <w:rPr>
          <w:sz w:val="22"/>
          <w:szCs w:val="22"/>
        </w:rPr>
        <w:br w:type="page"/>
      </w:r>
      <w:r w:rsidR="00DE2B06" w:rsidRPr="002B4965">
        <w:rPr>
          <w:noProof/>
          <w:sz w:val="22"/>
          <w:szCs w:val="22"/>
        </w:rPr>
        <w:lastRenderedPageBreak/>
        <w:drawing>
          <wp:inline distT="0" distB="0" distL="0" distR="0" wp14:anchorId="62E98D7E" wp14:editId="0D131A7E">
            <wp:extent cx="2398143" cy="8229600"/>
            <wp:effectExtent l="0" t="0" r="0" b="0"/>
            <wp:docPr id="19604804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480476" name="Picture 1960480476"/>
                    <pic:cNvPicPr/>
                  </pic:nvPicPr>
                  <pic:blipFill rotWithShape="1">
                    <a:blip r:embed="rId12"/>
                    <a:srcRect r="58762"/>
                    <a:stretch>
                      <a:fillRect/>
                    </a:stretch>
                  </pic:blipFill>
                  <pic:spPr bwMode="auto">
                    <a:xfrm>
                      <a:off x="0" y="0"/>
                      <a:ext cx="2398143" cy="8229600"/>
                    </a:xfrm>
                    <a:prstGeom prst="rect">
                      <a:avLst/>
                    </a:prstGeom>
                    <a:ln>
                      <a:noFill/>
                    </a:ln>
                    <a:extLst>
                      <a:ext uri="{53640926-AAD7-44D8-BBD7-CCE9431645EC}">
                        <a14:shadowObscured xmlns:a14="http://schemas.microsoft.com/office/drawing/2010/main"/>
                      </a:ext>
                    </a:extLst>
                  </pic:spPr>
                </pic:pic>
              </a:graphicData>
            </a:graphic>
          </wp:inline>
        </w:drawing>
      </w:r>
    </w:p>
    <w:p w14:paraId="4DBA5A8E" w14:textId="37ABD5F5" w:rsidR="00201124" w:rsidRPr="002B4965" w:rsidRDefault="00201124" w:rsidP="000A6CC9">
      <w:pPr>
        <w:jc w:val="both"/>
        <w:rPr>
          <w:rFonts w:ascii="Arial" w:hAnsi="Arial" w:cs="Arial"/>
          <w:sz w:val="22"/>
          <w:szCs w:val="22"/>
        </w:rPr>
      </w:pPr>
      <w:r w:rsidRPr="002B4965">
        <w:rPr>
          <w:rFonts w:ascii="Arial" w:hAnsi="Arial" w:cs="Arial"/>
          <w:b/>
          <w:bCs/>
          <w:sz w:val="22"/>
          <w:szCs w:val="22"/>
        </w:rPr>
        <w:lastRenderedPageBreak/>
        <w:t>Fig S</w:t>
      </w:r>
      <w:r w:rsidR="00E45964" w:rsidRPr="002B4965">
        <w:rPr>
          <w:rFonts w:ascii="Arial" w:hAnsi="Arial" w:cs="Arial"/>
          <w:b/>
          <w:bCs/>
          <w:sz w:val="22"/>
          <w:szCs w:val="22"/>
        </w:rPr>
        <w:t>4</w:t>
      </w:r>
      <w:r w:rsidRPr="002B4965">
        <w:rPr>
          <w:rFonts w:ascii="Arial" w:hAnsi="Arial" w:cs="Arial"/>
          <w:b/>
          <w:bCs/>
          <w:sz w:val="22"/>
          <w:szCs w:val="22"/>
        </w:rPr>
        <w:t xml:space="preserve">. </w:t>
      </w:r>
      <w:proofErr w:type="spellStart"/>
      <w:r w:rsidRPr="002B4965">
        <w:rPr>
          <w:rFonts w:ascii="Arial" w:hAnsi="Arial" w:cs="Arial"/>
          <w:b/>
          <w:bCs/>
          <w:sz w:val="22"/>
          <w:szCs w:val="22"/>
        </w:rPr>
        <w:t>pERK</w:t>
      </w:r>
      <w:proofErr w:type="spellEnd"/>
      <w:r w:rsidRPr="002B4965">
        <w:rPr>
          <w:rFonts w:ascii="Arial" w:hAnsi="Arial" w:cs="Arial"/>
          <w:b/>
          <w:bCs/>
          <w:sz w:val="22"/>
          <w:szCs w:val="22"/>
        </w:rPr>
        <w:t xml:space="preserve"> immunostaining in </w:t>
      </w:r>
      <w:r w:rsidRPr="002B4965">
        <w:rPr>
          <w:rFonts w:ascii="Arial" w:hAnsi="Arial" w:cs="Arial"/>
          <w:b/>
          <w:bCs/>
          <w:i/>
          <w:iCs/>
          <w:sz w:val="22"/>
          <w:szCs w:val="22"/>
        </w:rPr>
        <w:t xml:space="preserve">Drosophila </w:t>
      </w:r>
      <w:r w:rsidRPr="002B4965">
        <w:rPr>
          <w:rFonts w:ascii="Arial" w:hAnsi="Arial" w:cs="Arial"/>
          <w:b/>
          <w:bCs/>
          <w:sz w:val="22"/>
          <w:szCs w:val="22"/>
        </w:rPr>
        <w:t>larval VNCs expressing candidate gene fusions.</w:t>
      </w:r>
      <w:r w:rsidRPr="002B4965">
        <w:rPr>
          <w:rFonts w:ascii="Arial" w:hAnsi="Arial" w:cs="Arial"/>
          <w:sz w:val="22"/>
          <w:szCs w:val="22"/>
        </w:rPr>
        <w:t xml:space="preserve"> (A) Representative images of dissected third instar larval VNCs with </w:t>
      </w:r>
      <w:r w:rsidRPr="002B4965">
        <w:rPr>
          <w:rFonts w:ascii="Arial" w:hAnsi="Arial" w:cs="Arial"/>
          <w:i/>
          <w:iCs/>
          <w:sz w:val="22"/>
          <w:szCs w:val="22"/>
        </w:rPr>
        <w:t xml:space="preserve">repo-GAL4 </w:t>
      </w:r>
      <w:r w:rsidRPr="002B4965">
        <w:rPr>
          <w:rFonts w:ascii="Arial" w:hAnsi="Arial" w:cs="Arial"/>
          <w:sz w:val="22"/>
          <w:szCs w:val="22"/>
        </w:rPr>
        <w:t xml:space="preserve">driving </w:t>
      </w:r>
      <w:proofErr w:type="spellStart"/>
      <w:r w:rsidRPr="002B4965">
        <w:rPr>
          <w:rFonts w:ascii="Arial" w:hAnsi="Arial" w:cs="Arial"/>
          <w:i/>
          <w:iCs/>
          <w:sz w:val="22"/>
          <w:szCs w:val="22"/>
        </w:rPr>
        <w:t>mRFP</w:t>
      </w:r>
      <w:proofErr w:type="spellEnd"/>
      <w:r w:rsidRPr="002B4965">
        <w:rPr>
          <w:rFonts w:ascii="Arial" w:hAnsi="Arial" w:cs="Arial"/>
          <w:sz w:val="22"/>
          <w:szCs w:val="22"/>
        </w:rPr>
        <w:t xml:space="preserve"> expression and GFs in glia (red) and immunostaining for phosphorylated ERK (</w:t>
      </w:r>
      <w:proofErr w:type="spellStart"/>
      <w:r w:rsidRPr="002B4965">
        <w:rPr>
          <w:rFonts w:ascii="Arial" w:hAnsi="Arial" w:cs="Arial"/>
          <w:sz w:val="22"/>
          <w:szCs w:val="22"/>
        </w:rPr>
        <w:t>pERK</w:t>
      </w:r>
      <w:proofErr w:type="spellEnd"/>
      <w:r w:rsidRPr="002B4965">
        <w:rPr>
          <w:rFonts w:ascii="Arial" w:hAnsi="Arial" w:cs="Arial"/>
          <w:sz w:val="22"/>
          <w:szCs w:val="22"/>
        </w:rPr>
        <w:t>, blue). Genotypes shown include WT control and transgenic lines expressing candidate GFs selected based on significant alterations in VNC area or length (</w:t>
      </w:r>
      <w:r w:rsidRPr="002B4965">
        <w:rPr>
          <w:rFonts w:ascii="Arial" w:hAnsi="Arial" w:cs="Arial"/>
          <w:i/>
          <w:iCs/>
          <w:sz w:val="22"/>
          <w:szCs w:val="22"/>
        </w:rPr>
        <w:t>BAZ1A::PI3, BSG::GNAS, CLDND1:</w:t>
      </w:r>
      <w:r w:rsidR="00F37409">
        <w:rPr>
          <w:rFonts w:ascii="Arial" w:hAnsi="Arial" w:cs="Arial"/>
          <w:i/>
          <w:iCs/>
          <w:sz w:val="22"/>
          <w:szCs w:val="22"/>
        </w:rPr>
        <w:t>:</w:t>
      </w:r>
      <w:r w:rsidRPr="002B4965">
        <w:rPr>
          <w:rFonts w:ascii="Arial" w:hAnsi="Arial" w:cs="Arial"/>
          <w:i/>
          <w:iCs/>
          <w:sz w:val="22"/>
          <w:szCs w:val="22"/>
        </w:rPr>
        <w:t>WRN, DUSP22:</w:t>
      </w:r>
      <w:r w:rsidR="00F37409">
        <w:rPr>
          <w:rFonts w:ascii="Arial" w:hAnsi="Arial" w:cs="Arial"/>
          <w:i/>
          <w:iCs/>
          <w:sz w:val="22"/>
          <w:szCs w:val="22"/>
        </w:rPr>
        <w:t>:</w:t>
      </w:r>
      <w:r w:rsidRPr="002B4965">
        <w:rPr>
          <w:rFonts w:ascii="Arial" w:hAnsi="Arial" w:cs="Arial"/>
          <w:i/>
          <w:iCs/>
          <w:sz w:val="22"/>
          <w:szCs w:val="22"/>
        </w:rPr>
        <w:t>APOE, MDM2::NUP107, OLIG2::CHTOP, TCF12::CALM2, ZNF254::GNAS</w:t>
      </w:r>
      <w:r w:rsidRPr="002B4965">
        <w:rPr>
          <w:rFonts w:ascii="Arial" w:hAnsi="Arial" w:cs="Arial"/>
          <w:sz w:val="22"/>
          <w:szCs w:val="22"/>
        </w:rPr>
        <w:t xml:space="preserve">). Scale bar = 50 µm. (B) Quantification of the </w:t>
      </w:r>
      <w:proofErr w:type="spellStart"/>
      <w:r w:rsidRPr="002B4965">
        <w:rPr>
          <w:rFonts w:ascii="Arial" w:hAnsi="Arial" w:cs="Arial"/>
          <w:sz w:val="22"/>
          <w:szCs w:val="22"/>
        </w:rPr>
        <w:t>pERK</w:t>
      </w:r>
      <w:proofErr w:type="spellEnd"/>
      <w:r w:rsidRPr="002B4965">
        <w:rPr>
          <w:rFonts w:ascii="Arial" w:hAnsi="Arial" w:cs="Arial"/>
          <w:sz w:val="22"/>
          <w:szCs w:val="22"/>
        </w:rPr>
        <w:t xml:space="preserve"> signal intensity across genotypes, measured as normalized mean gray value. Data are mean ± SEM with individual larvae plotted. Statistical analysis was performed using one-way ANOVA followed by Dunnett's multiple comparisons test, with significance determined relative to WT (*p &lt; 0.05, **p &lt; 0.01). N&gt;7 larvae</w:t>
      </w:r>
    </w:p>
    <w:p w14:paraId="5643C1EA" w14:textId="77777777" w:rsidR="00201124" w:rsidRPr="002B4965" w:rsidRDefault="00201124">
      <w:pPr>
        <w:rPr>
          <w:rFonts w:ascii="Arial" w:eastAsia="Times New Roman" w:hAnsi="Arial" w:cs="Arial"/>
          <w:color w:val="000000"/>
          <w:kern w:val="0"/>
          <w:sz w:val="22"/>
          <w:szCs w:val="22"/>
          <w14:ligatures w14:val="none"/>
        </w:rPr>
      </w:pPr>
    </w:p>
    <w:p w14:paraId="33BA8469" w14:textId="77777777" w:rsidR="00542072" w:rsidRPr="002B4965" w:rsidRDefault="00542072">
      <w:pPr>
        <w:rPr>
          <w:rFonts w:ascii="Arial" w:eastAsia="Times New Roman" w:hAnsi="Arial" w:cs="Arial"/>
          <w:color w:val="000000"/>
          <w:kern w:val="0"/>
          <w:sz w:val="22"/>
          <w:szCs w:val="22"/>
          <w14:ligatures w14:val="none"/>
        </w:rPr>
      </w:pPr>
    </w:p>
    <w:p w14:paraId="0145FDD0" w14:textId="77777777" w:rsidR="00542072" w:rsidRPr="002B4965" w:rsidRDefault="00542072">
      <w:pPr>
        <w:rPr>
          <w:rFonts w:ascii="Arial" w:eastAsia="Times New Roman" w:hAnsi="Arial" w:cs="Arial"/>
          <w:color w:val="000000"/>
          <w:kern w:val="0"/>
          <w:sz w:val="22"/>
          <w:szCs w:val="22"/>
          <w14:ligatures w14:val="none"/>
        </w:rPr>
      </w:pPr>
    </w:p>
    <w:p w14:paraId="6B3CA028" w14:textId="77777777" w:rsidR="00542072" w:rsidRPr="002B4965" w:rsidRDefault="00542072">
      <w:pPr>
        <w:rPr>
          <w:rFonts w:ascii="Arial" w:eastAsia="Times New Roman" w:hAnsi="Arial" w:cs="Arial"/>
          <w:color w:val="000000"/>
          <w:kern w:val="0"/>
          <w:sz w:val="22"/>
          <w:szCs w:val="22"/>
          <w14:ligatures w14:val="none"/>
        </w:rPr>
      </w:pPr>
    </w:p>
    <w:p w14:paraId="17602557" w14:textId="77777777" w:rsidR="00542072" w:rsidRPr="002B4965" w:rsidRDefault="00542072">
      <w:pPr>
        <w:rPr>
          <w:rFonts w:ascii="Arial" w:eastAsia="Times New Roman" w:hAnsi="Arial" w:cs="Arial"/>
          <w:color w:val="000000"/>
          <w:kern w:val="0"/>
          <w:sz w:val="22"/>
          <w:szCs w:val="22"/>
          <w14:ligatures w14:val="none"/>
        </w:rPr>
      </w:pPr>
    </w:p>
    <w:p w14:paraId="00ADDBF4" w14:textId="77777777" w:rsidR="00542072" w:rsidRPr="002B4965" w:rsidRDefault="00542072">
      <w:pPr>
        <w:rPr>
          <w:rFonts w:ascii="Arial" w:eastAsia="Times New Roman" w:hAnsi="Arial" w:cs="Arial"/>
          <w:color w:val="000000"/>
          <w:kern w:val="0"/>
          <w:sz w:val="22"/>
          <w:szCs w:val="22"/>
          <w14:ligatures w14:val="none"/>
        </w:rPr>
      </w:pPr>
    </w:p>
    <w:p w14:paraId="155E6AA4" w14:textId="77777777" w:rsidR="00542072" w:rsidRPr="002B4965" w:rsidRDefault="00542072">
      <w:pPr>
        <w:rPr>
          <w:rFonts w:ascii="Arial" w:eastAsia="Times New Roman" w:hAnsi="Arial" w:cs="Arial"/>
          <w:color w:val="000000"/>
          <w:kern w:val="0"/>
          <w:sz w:val="22"/>
          <w:szCs w:val="22"/>
          <w14:ligatures w14:val="none"/>
        </w:rPr>
      </w:pPr>
    </w:p>
    <w:p w14:paraId="14AA5B9D" w14:textId="77777777" w:rsidR="00542072" w:rsidRPr="002B4965" w:rsidRDefault="00542072">
      <w:pPr>
        <w:rPr>
          <w:rFonts w:ascii="Arial" w:eastAsia="Times New Roman" w:hAnsi="Arial" w:cs="Arial"/>
          <w:color w:val="000000"/>
          <w:kern w:val="0"/>
          <w:sz w:val="22"/>
          <w:szCs w:val="22"/>
          <w14:ligatures w14:val="none"/>
        </w:rPr>
      </w:pPr>
    </w:p>
    <w:p w14:paraId="258D6B04" w14:textId="77777777" w:rsidR="00542072" w:rsidRPr="002B4965" w:rsidRDefault="00542072">
      <w:pPr>
        <w:rPr>
          <w:rFonts w:ascii="Arial" w:eastAsia="Times New Roman" w:hAnsi="Arial" w:cs="Arial"/>
          <w:color w:val="000000"/>
          <w:kern w:val="0"/>
          <w:sz w:val="22"/>
          <w:szCs w:val="22"/>
          <w14:ligatures w14:val="none"/>
        </w:rPr>
      </w:pPr>
    </w:p>
    <w:p w14:paraId="25F565DA" w14:textId="77777777" w:rsidR="00542072" w:rsidRPr="002B4965" w:rsidRDefault="00542072">
      <w:pPr>
        <w:rPr>
          <w:rFonts w:ascii="Arial" w:eastAsia="Times New Roman" w:hAnsi="Arial" w:cs="Arial"/>
          <w:color w:val="000000"/>
          <w:kern w:val="0"/>
          <w:sz w:val="22"/>
          <w:szCs w:val="22"/>
          <w14:ligatures w14:val="none"/>
        </w:rPr>
      </w:pPr>
    </w:p>
    <w:p w14:paraId="29532BC2" w14:textId="77777777" w:rsidR="00542072" w:rsidRPr="002B4965" w:rsidRDefault="00542072">
      <w:pPr>
        <w:rPr>
          <w:rFonts w:ascii="Arial" w:eastAsia="Times New Roman" w:hAnsi="Arial" w:cs="Arial"/>
          <w:color w:val="000000"/>
          <w:kern w:val="0"/>
          <w:sz w:val="22"/>
          <w:szCs w:val="22"/>
          <w14:ligatures w14:val="none"/>
        </w:rPr>
      </w:pPr>
    </w:p>
    <w:p w14:paraId="1D81D577" w14:textId="77777777" w:rsidR="00542072" w:rsidRPr="002B4965" w:rsidRDefault="00542072">
      <w:pPr>
        <w:rPr>
          <w:rFonts w:ascii="Arial" w:eastAsia="Times New Roman" w:hAnsi="Arial" w:cs="Arial"/>
          <w:color w:val="000000"/>
          <w:kern w:val="0"/>
          <w:sz w:val="22"/>
          <w:szCs w:val="22"/>
          <w14:ligatures w14:val="none"/>
        </w:rPr>
      </w:pPr>
    </w:p>
    <w:p w14:paraId="132C37F1" w14:textId="77777777" w:rsidR="00542072" w:rsidRPr="002B4965" w:rsidRDefault="00542072">
      <w:pPr>
        <w:rPr>
          <w:rFonts w:ascii="Arial" w:eastAsia="Times New Roman" w:hAnsi="Arial" w:cs="Arial"/>
          <w:color w:val="000000"/>
          <w:kern w:val="0"/>
          <w:sz w:val="22"/>
          <w:szCs w:val="22"/>
          <w14:ligatures w14:val="none"/>
        </w:rPr>
      </w:pPr>
    </w:p>
    <w:p w14:paraId="79581539" w14:textId="77777777" w:rsidR="00542072" w:rsidRPr="002B4965" w:rsidRDefault="00542072">
      <w:pPr>
        <w:rPr>
          <w:rFonts w:ascii="Arial" w:eastAsia="Times New Roman" w:hAnsi="Arial" w:cs="Arial"/>
          <w:color w:val="000000"/>
          <w:kern w:val="0"/>
          <w:sz w:val="22"/>
          <w:szCs w:val="22"/>
          <w14:ligatures w14:val="none"/>
        </w:rPr>
      </w:pPr>
    </w:p>
    <w:p w14:paraId="48984C37" w14:textId="77777777" w:rsidR="00542072" w:rsidRPr="002B4965" w:rsidRDefault="00542072">
      <w:pPr>
        <w:rPr>
          <w:rFonts w:ascii="Arial" w:eastAsia="Times New Roman" w:hAnsi="Arial" w:cs="Arial"/>
          <w:color w:val="000000"/>
          <w:kern w:val="0"/>
          <w:sz w:val="22"/>
          <w:szCs w:val="22"/>
          <w14:ligatures w14:val="none"/>
        </w:rPr>
      </w:pPr>
    </w:p>
    <w:p w14:paraId="381483C5" w14:textId="77777777" w:rsidR="00542072" w:rsidRPr="002B4965" w:rsidRDefault="00542072">
      <w:pPr>
        <w:rPr>
          <w:rFonts w:ascii="Arial" w:eastAsia="Times New Roman" w:hAnsi="Arial" w:cs="Arial"/>
          <w:color w:val="000000"/>
          <w:kern w:val="0"/>
          <w:sz w:val="22"/>
          <w:szCs w:val="22"/>
          <w14:ligatures w14:val="none"/>
        </w:rPr>
      </w:pPr>
    </w:p>
    <w:p w14:paraId="53444AB5" w14:textId="77777777" w:rsidR="00542072" w:rsidRPr="002B4965" w:rsidRDefault="00542072">
      <w:pPr>
        <w:rPr>
          <w:rFonts w:ascii="Arial" w:eastAsia="Times New Roman" w:hAnsi="Arial" w:cs="Arial"/>
          <w:color w:val="000000"/>
          <w:kern w:val="0"/>
          <w:sz w:val="22"/>
          <w:szCs w:val="22"/>
          <w14:ligatures w14:val="none"/>
        </w:rPr>
      </w:pPr>
    </w:p>
    <w:p w14:paraId="686C2D10" w14:textId="77777777" w:rsidR="00542072" w:rsidRPr="002B4965" w:rsidRDefault="00542072">
      <w:pPr>
        <w:rPr>
          <w:rFonts w:ascii="Arial" w:eastAsia="Times New Roman" w:hAnsi="Arial" w:cs="Arial"/>
          <w:color w:val="000000"/>
          <w:kern w:val="0"/>
          <w:sz w:val="22"/>
          <w:szCs w:val="22"/>
          <w14:ligatures w14:val="none"/>
        </w:rPr>
      </w:pPr>
    </w:p>
    <w:p w14:paraId="5C0108DF" w14:textId="77777777" w:rsidR="00542072" w:rsidRPr="002B4965" w:rsidRDefault="00542072">
      <w:pPr>
        <w:rPr>
          <w:rFonts w:ascii="Arial" w:eastAsia="Times New Roman" w:hAnsi="Arial" w:cs="Arial"/>
          <w:color w:val="000000"/>
          <w:kern w:val="0"/>
          <w:sz w:val="22"/>
          <w:szCs w:val="22"/>
          <w14:ligatures w14:val="none"/>
        </w:rPr>
      </w:pPr>
    </w:p>
    <w:p w14:paraId="67B4B3C9" w14:textId="77777777" w:rsidR="00542072" w:rsidRPr="002B4965" w:rsidRDefault="00542072" w:rsidP="00542072">
      <w:r w:rsidRPr="002B4965">
        <w:rPr>
          <w:noProof/>
          <w:sz w:val="22"/>
          <w:szCs w:val="22"/>
        </w:rPr>
        <w:lastRenderedPageBreak/>
        <w:drawing>
          <wp:inline distT="0" distB="0" distL="0" distR="0" wp14:anchorId="3E8A169C" wp14:editId="52922E05">
            <wp:extent cx="5815330" cy="8229600"/>
            <wp:effectExtent l="0" t="0" r="0" b="0"/>
            <wp:docPr id="13519800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812182" name="Picture 1645812182"/>
                    <pic:cNvPicPr/>
                  </pic:nvPicPr>
                  <pic:blipFill>
                    <a:blip r:embed="rId13"/>
                    <a:stretch>
                      <a:fillRect/>
                    </a:stretch>
                  </pic:blipFill>
                  <pic:spPr>
                    <a:xfrm>
                      <a:off x="0" y="0"/>
                      <a:ext cx="5815330" cy="8229600"/>
                    </a:xfrm>
                    <a:prstGeom prst="rect">
                      <a:avLst/>
                    </a:prstGeom>
                  </pic:spPr>
                </pic:pic>
              </a:graphicData>
            </a:graphic>
          </wp:inline>
        </w:drawing>
      </w:r>
    </w:p>
    <w:p w14:paraId="1A620C99" w14:textId="1C67937E" w:rsidR="00542072" w:rsidRPr="002B4965" w:rsidRDefault="00542072" w:rsidP="000A6CC9">
      <w:pPr>
        <w:jc w:val="both"/>
        <w:rPr>
          <w:rFonts w:ascii="Arial" w:hAnsi="Arial" w:cs="Arial"/>
          <w:sz w:val="22"/>
          <w:szCs w:val="22"/>
        </w:rPr>
      </w:pPr>
      <w:r w:rsidRPr="002B4965">
        <w:rPr>
          <w:rFonts w:ascii="Arial" w:hAnsi="Arial" w:cs="Arial"/>
          <w:b/>
          <w:bCs/>
          <w:sz w:val="22"/>
          <w:szCs w:val="22"/>
        </w:rPr>
        <w:lastRenderedPageBreak/>
        <w:t>Fig S</w:t>
      </w:r>
      <w:r w:rsidR="00E45964" w:rsidRPr="002B4965">
        <w:rPr>
          <w:rFonts w:ascii="Arial" w:hAnsi="Arial" w:cs="Arial"/>
          <w:b/>
          <w:bCs/>
          <w:sz w:val="22"/>
          <w:szCs w:val="22"/>
        </w:rPr>
        <w:t>5</w:t>
      </w:r>
      <w:r w:rsidRPr="002B4965">
        <w:rPr>
          <w:rFonts w:ascii="Arial" w:hAnsi="Arial" w:cs="Arial"/>
          <w:b/>
          <w:bCs/>
          <w:sz w:val="22"/>
          <w:szCs w:val="22"/>
        </w:rPr>
        <w:t xml:space="preserve">. FLAG immunostaining confirms expression of breakpoint-defined GFs in </w:t>
      </w:r>
      <w:r w:rsidRPr="002B4965">
        <w:rPr>
          <w:rFonts w:ascii="Arial" w:hAnsi="Arial" w:cs="Arial"/>
          <w:b/>
          <w:bCs/>
          <w:i/>
          <w:iCs/>
          <w:sz w:val="22"/>
          <w:szCs w:val="22"/>
        </w:rPr>
        <w:t xml:space="preserve">Drosophila melanogaster </w:t>
      </w:r>
      <w:r w:rsidRPr="002B4965">
        <w:rPr>
          <w:rFonts w:ascii="Arial" w:hAnsi="Arial" w:cs="Arial"/>
          <w:b/>
          <w:bCs/>
          <w:sz w:val="22"/>
          <w:szCs w:val="22"/>
        </w:rPr>
        <w:t>transgenic lines.</w:t>
      </w:r>
      <w:r w:rsidRPr="002B4965">
        <w:rPr>
          <w:rFonts w:ascii="Arial" w:hAnsi="Arial" w:cs="Arial"/>
          <w:sz w:val="22"/>
          <w:szCs w:val="22"/>
        </w:rPr>
        <w:t xml:space="preserve"> Confocal images of dissected third instar larval VNCs with </w:t>
      </w:r>
      <w:r w:rsidRPr="002B4965">
        <w:rPr>
          <w:rFonts w:ascii="Arial" w:hAnsi="Arial" w:cs="Arial"/>
          <w:i/>
          <w:iCs/>
          <w:sz w:val="22"/>
          <w:szCs w:val="22"/>
        </w:rPr>
        <w:t xml:space="preserve">repo-GAL4 </w:t>
      </w:r>
      <w:r w:rsidRPr="002B4965">
        <w:rPr>
          <w:rFonts w:ascii="Arial" w:hAnsi="Arial" w:cs="Arial"/>
          <w:sz w:val="22"/>
          <w:szCs w:val="22"/>
        </w:rPr>
        <w:t xml:space="preserve">driving </w:t>
      </w:r>
      <w:proofErr w:type="spellStart"/>
      <w:r w:rsidRPr="002B4965">
        <w:rPr>
          <w:rFonts w:ascii="Arial" w:hAnsi="Arial" w:cs="Arial"/>
          <w:i/>
          <w:iCs/>
          <w:sz w:val="22"/>
          <w:szCs w:val="22"/>
        </w:rPr>
        <w:t>mRFP</w:t>
      </w:r>
      <w:proofErr w:type="spellEnd"/>
      <w:r w:rsidRPr="002B4965">
        <w:rPr>
          <w:rFonts w:ascii="Arial" w:hAnsi="Arial" w:cs="Arial"/>
          <w:sz w:val="22"/>
          <w:szCs w:val="22"/>
        </w:rPr>
        <w:t xml:space="preserve"> expression and GFs in glia. GF expression was detected by immunostaining of the FLAG epitope (green channel).  All GFs show detectable FLAG signal, with localization observed in glial processes and/or nuclei. Scale bar = 50 µm. </w:t>
      </w:r>
    </w:p>
    <w:p w14:paraId="346CC008" w14:textId="77777777" w:rsidR="00542072" w:rsidRPr="002B4965" w:rsidRDefault="00542072">
      <w:pPr>
        <w:rPr>
          <w:rFonts w:ascii="Arial" w:eastAsia="Times New Roman" w:hAnsi="Arial" w:cs="Arial"/>
          <w:color w:val="000000"/>
          <w:kern w:val="0"/>
          <w:sz w:val="22"/>
          <w:szCs w:val="22"/>
          <w14:ligatures w14:val="none"/>
        </w:rPr>
      </w:pPr>
    </w:p>
    <w:p w14:paraId="2EF46E44" w14:textId="49B0376B" w:rsidR="00E43C87" w:rsidRPr="002B4965" w:rsidRDefault="004C6A5E" w:rsidP="004C6A5E">
      <w:pPr>
        <w:pStyle w:val="p1"/>
        <w:jc w:val="center"/>
        <w:rPr>
          <w:sz w:val="22"/>
          <w:szCs w:val="22"/>
        </w:rPr>
      </w:pPr>
      <w:r w:rsidRPr="002B4965">
        <w:rPr>
          <w:noProof/>
          <w:sz w:val="22"/>
          <w:szCs w:val="22"/>
          <w14:ligatures w14:val="standardContextual"/>
        </w:rPr>
        <w:lastRenderedPageBreak/>
        <w:drawing>
          <wp:inline distT="0" distB="0" distL="0" distR="0" wp14:anchorId="084ADADE" wp14:editId="4340FA6F">
            <wp:extent cx="4435070" cy="8229600"/>
            <wp:effectExtent l="0" t="0" r="0" b="0"/>
            <wp:docPr id="12271640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164003" name="Picture 1227164003"/>
                    <pic:cNvPicPr/>
                  </pic:nvPicPr>
                  <pic:blipFill rotWithShape="1">
                    <a:blip r:embed="rId14"/>
                    <a:srcRect l="10957" r="21678"/>
                    <a:stretch>
                      <a:fillRect/>
                    </a:stretch>
                  </pic:blipFill>
                  <pic:spPr bwMode="auto">
                    <a:xfrm>
                      <a:off x="0" y="0"/>
                      <a:ext cx="4448519" cy="8254555"/>
                    </a:xfrm>
                    <a:prstGeom prst="rect">
                      <a:avLst/>
                    </a:prstGeom>
                    <a:ln>
                      <a:noFill/>
                    </a:ln>
                    <a:extLst>
                      <a:ext uri="{53640926-AAD7-44D8-BBD7-CCE9431645EC}">
                        <a14:shadowObscured xmlns:a14="http://schemas.microsoft.com/office/drawing/2010/main"/>
                      </a:ext>
                    </a:extLst>
                  </pic:spPr>
                </pic:pic>
              </a:graphicData>
            </a:graphic>
          </wp:inline>
        </w:drawing>
      </w:r>
    </w:p>
    <w:p w14:paraId="4FAF3CAF" w14:textId="74E110CB" w:rsidR="00275E70" w:rsidRPr="000A6142" w:rsidRDefault="004C6A5E" w:rsidP="000A6142">
      <w:pPr>
        <w:pStyle w:val="p1"/>
        <w:jc w:val="both"/>
        <w:rPr>
          <w:sz w:val="22"/>
          <w:szCs w:val="22"/>
        </w:rPr>
      </w:pPr>
      <w:r w:rsidRPr="002B4965">
        <w:rPr>
          <w:b/>
          <w:bCs/>
          <w:sz w:val="22"/>
          <w:szCs w:val="22"/>
        </w:rPr>
        <w:lastRenderedPageBreak/>
        <w:t>Fig S</w:t>
      </w:r>
      <w:r w:rsidR="00E45964" w:rsidRPr="002B4965">
        <w:rPr>
          <w:b/>
          <w:bCs/>
          <w:sz w:val="22"/>
          <w:szCs w:val="22"/>
        </w:rPr>
        <w:t>6</w:t>
      </w:r>
      <w:r w:rsidRPr="002B4965">
        <w:rPr>
          <w:b/>
          <w:bCs/>
          <w:sz w:val="22"/>
          <w:szCs w:val="22"/>
        </w:rPr>
        <w:t xml:space="preserve">. Pathway enrichment analysis of gene sets associated with glioma gene fusions and transcript isoform diversity. </w:t>
      </w:r>
      <w:r w:rsidRPr="002B4965">
        <w:rPr>
          <w:sz w:val="22"/>
          <w:szCs w:val="22"/>
        </w:rPr>
        <w:t xml:space="preserve">Heatmaps showing significantly enriched pathways (adjusted p-value &lt; 0.05) from </w:t>
      </w:r>
      <w:r w:rsidRPr="002B4965">
        <w:rPr>
          <w:b/>
          <w:bCs/>
          <w:sz w:val="22"/>
          <w:szCs w:val="22"/>
        </w:rPr>
        <w:t xml:space="preserve">(A) </w:t>
      </w:r>
      <w:r w:rsidRPr="002B4965">
        <w:rPr>
          <w:sz w:val="22"/>
          <w:szCs w:val="22"/>
        </w:rPr>
        <w:t xml:space="preserve">KEGG 2021 Human and </w:t>
      </w:r>
      <w:r w:rsidRPr="002B4965">
        <w:rPr>
          <w:b/>
          <w:bCs/>
          <w:sz w:val="22"/>
          <w:szCs w:val="22"/>
        </w:rPr>
        <w:t>(B)</w:t>
      </w:r>
      <w:r w:rsidRPr="002B4965">
        <w:rPr>
          <w:sz w:val="22"/>
          <w:szCs w:val="22"/>
        </w:rPr>
        <w:t xml:space="preserve"> Elsevier Pathway Collection databases across six gene sets derived from fusion gene and isoform analyses. </w:t>
      </w:r>
      <w:r w:rsidR="00D0567D" w:rsidRPr="002B4965">
        <w:rPr>
          <w:sz w:val="22"/>
          <w:szCs w:val="22"/>
        </w:rPr>
        <w:t xml:space="preserve">Pathways significantly enriched in three or more gene sets are shown. </w:t>
      </w:r>
      <w:r w:rsidRPr="002B4965">
        <w:rPr>
          <w:sz w:val="22"/>
          <w:szCs w:val="22"/>
        </w:rPr>
        <w:t xml:space="preserve">Cell color represents statistical significance </w:t>
      </w:r>
      <w:r w:rsidR="00C372D3" w:rsidRPr="002B4965">
        <w:rPr>
          <w:sz w:val="22"/>
          <w:szCs w:val="22"/>
        </w:rPr>
        <w:t xml:space="preserve">(-log10 </w:t>
      </w:r>
      <w:r w:rsidRPr="002B4965">
        <w:rPr>
          <w:sz w:val="22"/>
          <w:szCs w:val="22"/>
        </w:rPr>
        <w:t xml:space="preserve">adjusted p-value), with darker shading indicating stronger enrichment. Cell values display the gene count and gene ratio (in parentheses), where gene ratio represents the proportion of genes in the pathway identified within each gene set. Gray cells indicate non-significant enrichment. Pathways are ordered by the number of gene sets in which they were significantly enriched. Enrichment analysis was performed using </w:t>
      </w:r>
      <w:proofErr w:type="spellStart"/>
      <w:r w:rsidRPr="002B4965">
        <w:rPr>
          <w:sz w:val="22"/>
          <w:szCs w:val="22"/>
        </w:rPr>
        <w:t>EnrichR</w:t>
      </w:r>
      <w:proofErr w:type="spellEnd"/>
      <w:r w:rsidRPr="002B4965">
        <w:rPr>
          <w:sz w:val="22"/>
          <w:szCs w:val="22"/>
        </w:rPr>
        <w:t>.</w:t>
      </w:r>
      <w:r w:rsidR="000A6142">
        <w:rPr>
          <w:sz w:val="22"/>
          <w:szCs w:val="22"/>
        </w:rPr>
        <w:t xml:space="preserve"> </w:t>
      </w:r>
    </w:p>
    <w:sectPr w:rsidR="00275E70" w:rsidRPr="000A61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7AD"/>
    <w:rsid w:val="00005DB4"/>
    <w:rsid w:val="00006497"/>
    <w:rsid w:val="00030079"/>
    <w:rsid w:val="00030E28"/>
    <w:rsid w:val="00042481"/>
    <w:rsid w:val="0005408A"/>
    <w:rsid w:val="00056EFE"/>
    <w:rsid w:val="00063645"/>
    <w:rsid w:val="00064A42"/>
    <w:rsid w:val="000730FE"/>
    <w:rsid w:val="00076561"/>
    <w:rsid w:val="000944F3"/>
    <w:rsid w:val="000A24F3"/>
    <w:rsid w:val="000A6142"/>
    <w:rsid w:val="000A6C9A"/>
    <w:rsid w:val="000A6CC9"/>
    <w:rsid w:val="000B2BF0"/>
    <w:rsid w:val="000C0BDD"/>
    <w:rsid w:val="000F0606"/>
    <w:rsid w:val="001008B5"/>
    <w:rsid w:val="00106284"/>
    <w:rsid w:val="0012444F"/>
    <w:rsid w:val="001559A2"/>
    <w:rsid w:val="001779ED"/>
    <w:rsid w:val="001A7CC3"/>
    <w:rsid w:val="001C77AD"/>
    <w:rsid w:val="00201124"/>
    <w:rsid w:val="00206FBC"/>
    <w:rsid w:val="00275E70"/>
    <w:rsid w:val="002A6800"/>
    <w:rsid w:val="002B4965"/>
    <w:rsid w:val="002C0D70"/>
    <w:rsid w:val="002D17F4"/>
    <w:rsid w:val="002E61E3"/>
    <w:rsid w:val="002F1709"/>
    <w:rsid w:val="002F43E1"/>
    <w:rsid w:val="00310434"/>
    <w:rsid w:val="0031469E"/>
    <w:rsid w:val="003165CC"/>
    <w:rsid w:val="003253F8"/>
    <w:rsid w:val="003259E7"/>
    <w:rsid w:val="00332366"/>
    <w:rsid w:val="0034338F"/>
    <w:rsid w:val="003621D4"/>
    <w:rsid w:val="0037498C"/>
    <w:rsid w:val="003844D4"/>
    <w:rsid w:val="003919C8"/>
    <w:rsid w:val="003A560E"/>
    <w:rsid w:val="003C5E88"/>
    <w:rsid w:val="003D7F73"/>
    <w:rsid w:val="003E0C2C"/>
    <w:rsid w:val="003E2316"/>
    <w:rsid w:val="003F414D"/>
    <w:rsid w:val="003F45DA"/>
    <w:rsid w:val="003F54F1"/>
    <w:rsid w:val="00417BC6"/>
    <w:rsid w:val="00422CAF"/>
    <w:rsid w:val="00433986"/>
    <w:rsid w:val="0045463B"/>
    <w:rsid w:val="004551A5"/>
    <w:rsid w:val="00474A13"/>
    <w:rsid w:val="00493BA8"/>
    <w:rsid w:val="0049793B"/>
    <w:rsid w:val="004B126E"/>
    <w:rsid w:val="004C5392"/>
    <w:rsid w:val="004C6A5E"/>
    <w:rsid w:val="004F0B0B"/>
    <w:rsid w:val="004F72C4"/>
    <w:rsid w:val="00507CA8"/>
    <w:rsid w:val="00534E4E"/>
    <w:rsid w:val="00542072"/>
    <w:rsid w:val="00560A43"/>
    <w:rsid w:val="0056440F"/>
    <w:rsid w:val="005657F1"/>
    <w:rsid w:val="00582DB5"/>
    <w:rsid w:val="00583FC6"/>
    <w:rsid w:val="005922BB"/>
    <w:rsid w:val="005A0431"/>
    <w:rsid w:val="005C1EA5"/>
    <w:rsid w:val="005F6FD0"/>
    <w:rsid w:val="0060222F"/>
    <w:rsid w:val="00604CBB"/>
    <w:rsid w:val="006B529E"/>
    <w:rsid w:val="006D755C"/>
    <w:rsid w:val="006E1550"/>
    <w:rsid w:val="007019F8"/>
    <w:rsid w:val="00757DD3"/>
    <w:rsid w:val="0078718C"/>
    <w:rsid w:val="007A4F13"/>
    <w:rsid w:val="007C57B2"/>
    <w:rsid w:val="007C59CA"/>
    <w:rsid w:val="007D18B7"/>
    <w:rsid w:val="007D51C5"/>
    <w:rsid w:val="00830425"/>
    <w:rsid w:val="00834AD8"/>
    <w:rsid w:val="00845A42"/>
    <w:rsid w:val="008538E0"/>
    <w:rsid w:val="00861F86"/>
    <w:rsid w:val="0087441C"/>
    <w:rsid w:val="00884C2E"/>
    <w:rsid w:val="008A27C1"/>
    <w:rsid w:val="008D351C"/>
    <w:rsid w:val="008F7130"/>
    <w:rsid w:val="008F77BF"/>
    <w:rsid w:val="00905110"/>
    <w:rsid w:val="00917161"/>
    <w:rsid w:val="0093634A"/>
    <w:rsid w:val="009566B0"/>
    <w:rsid w:val="00956C24"/>
    <w:rsid w:val="00974ABC"/>
    <w:rsid w:val="0098372A"/>
    <w:rsid w:val="009B510F"/>
    <w:rsid w:val="009B7011"/>
    <w:rsid w:val="009E5C9E"/>
    <w:rsid w:val="009F554E"/>
    <w:rsid w:val="00A14707"/>
    <w:rsid w:val="00A159C0"/>
    <w:rsid w:val="00A24DA6"/>
    <w:rsid w:val="00A41D4D"/>
    <w:rsid w:val="00A42F29"/>
    <w:rsid w:val="00A449D5"/>
    <w:rsid w:val="00A7126F"/>
    <w:rsid w:val="00A74E79"/>
    <w:rsid w:val="00AB618D"/>
    <w:rsid w:val="00AE136C"/>
    <w:rsid w:val="00AE438F"/>
    <w:rsid w:val="00B029AB"/>
    <w:rsid w:val="00B13EE6"/>
    <w:rsid w:val="00B242D5"/>
    <w:rsid w:val="00B26C9F"/>
    <w:rsid w:val="00B635C7"/>
    <w:rsid w:val="00B717B7"/>
    <w:rsid w:val="00B7195B"/>
    <w:rsid w:val="00B733AE"/>
    <w:rsid w:val="00B81B81"/>
    <w:rsid w:val="00B837AF"/>
    <w:rsid w:val="00B8481D"/>
    <w:rsid w:val="00B87F74"/>
    <w:rsid w:val="00BB1ECB"/>
    <w:rsid w:val="00BB7083"/>
    <w:rsid w:val="00BC1C16"/>
    <w:rsid w:val="00BC2DCB"/>
    <w:rsid w:val="00BF3ED4"/>
    <w:rsid w:val="00C025B1"/>
    <w:rsid w:val="00C040AC"/>
    <w:rsid w:val="00C0469A"/>
    <w:rsid w:val="00C215D6"/>
    <w:rsid w:val="00C264D5"/>
    <w:rsid w:val="00C372D3"/>
    <w:rsid w:val="00C40A7B"/>
    <w:rsid w:val="00C41912"/>
    <w:rsid w:val="00C53935"/>
    <w:rsid w:val="00C549A4"/>
    <w:rsid w:val="00C62753"/>
    <w:rsid w:val="00CC0468"/>
    <w:rsid w:val="00CE10F9"/>
    <w:rsid w:val="00CE5A03"/>
    <w:rsid w:val="00D04BA0"/>
    <w:rsid w:val="00D0567D"/>
    <w:rsid w:val="00D43635"/>
    <w:rsid w:val="00D50C66"/>
    <w:rsid w:val="00D50F18"/>
    <w:rsid w:val="00D81E73"/>
    <w:rsid w:val="00D952CA"/>
    <w:rsid w:val="00DE2B06"/>
    <w:rsid w:val="00DF654A"/>
    <w:rsid w:val="00E17875"/>
    <w:rsid w:val="00E22D71"/>
    <w:rsid w:val="00E332F7"/>
    <w:rsid w:val="00E43C87"/>
    <w:rsid w:val="00E45964"/>
    <w:rsid w:val="00E522D4"/>
    <w:rsid w:val="00E630E4"/>
    <w:rsid w:val="00E8435B"/>
    <w:rsid w:val="00E92A9C"/>
    <w:rsid w:val="00E96728"/>
    <w:rsid w:val="00E96A62"/>
    <w:rsid w:val="00EB41C7"/>
    <w:rsid w:val="00EB5E43"/>
    <w:rsid w:val="00ED0D68"/>
    <w:rsid w:val="00ED76C8"/>
    <w:rsid w:val="00EF5A11"/>
    <w:rsid w:val="00EF5EEB"/>
    <w:rsid w:val="00F37409"/>
    <w:rsid w:val="00F452D9"/>
    <w:rsid w:val="00F52B57"/>
    <w:rsid w:val="00F73FC8"/>
    <w:rsid w:val="00F82AAE"/>
    <w:rsid w:val="00F87D80"/>
    <w:rsid w:val="00FC165B"/>
    <w:rsid w:val="00FC2FB8"/>
    <w:rsid w:val="00FC5483"/>
    <w:rsid w:val="00FD18BF"/>
    <w:rsid w:val="00FE133E"/>
    <w:rsid w:val="00FE228D"/>
    <w:rsid w:val="00FF2C69"/>
    <w:rsid w:val="00FF6CAF"/>
    <w:rsid w:val="00FF7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D67C5"/>
  <w15:chartTrackingRefBased/>
  <w15:docId w15:val="{08B45BF6-CFAF-9743-A8D5-9C26F53BB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77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77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77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77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77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77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77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77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77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7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77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77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77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77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77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77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77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77AD"/>
    <w:rPr>
      <w:rFonts w:eastAsiaTheme="majorEastAsia" w:cstheme="majorBidi"/>
      <w:color w:val="272727" w:themeColor="text1" w:themeTint="D8"/>
    </w:rPr>
  </w:style>
  <w:style w:type="paragraph" w:styleId="Title">
    <w:name w:val="Title"/>
    <w:basedOn w:val="Normal"/>
    <w:next w:val="Normal"/>
    <w:link w:val="TitleChar"/>
    <w:uiPriority w:val="10"/>
    <w:qFormat/>
    <w:rsid w:val="001C77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77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7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77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7AD"/>
    <w:pPr>
      <w:spacing w:before="160"/>
      <w:jc w:val="center"/>
    </w:pPr>
    <w:rPr>
      <w:i/>
      <w:iCs/>
      <w:color w:val="404040" w:themeColor="text1" w:themeTint="BF"/>
    </w:rPr>
  </w:style>
  <w:style w:type="character" w:customStyle="1" w:styleId="QuoteChar">
    <w:name w:val="Quote Char"/>
    <w:basedOn w:val="DefaultParagraphFont"/>
    <w:link w:val="Quote"/>
    <w:uiPriority w:val="29"/>
    <w:rsid w:val="001C77AD"/>
    <w:rPr>
      <w:i/>
      <w:iCs/>
      <w:color w:val="404040" w:themeColor="text1" w:themeTint="BF"/>
    </w:rPr>
  </w:style>
  <w:style w:type="paragraph" w:styleId="ListParagraph">
    <w:name w:val="List Paragraph"/>
    <w:basedOn w:val="Normal"/>
    <w:uiPriority w:val="34"/>
    <w:qFormat/>
    <w:rsid w:val="001C77AD"/>
    <w:pPr>
      <w:ind w:left="720"/>
      <w:contextualSpacing/>
    </w:pPr>
  </w:style>
  <w:style w:type="character" w:styleId="IntenseEmphasis">
    <w:name w:val="Intense Emphasis"/>
    <w:basedOn w:val="DefaultParagraphFont"/>
    <w:uiPriority w:val="21"/>
    <w:qFormat/>
    <w:rsid w:val="001C77AD"/>
    <w:rPr>
      <w:i/>
      <w:iCs/>
      <w:color w:val="0F4761" w:themeColor="accent1" w:themeShade="BF"/>
    </w:rPr>
  </w:style>
  <w:style w:type="paragraph" w:styleId="IntenseQuote">
    <w:name w:val="Intense Quote"/>
    <w:basedOn w:val="Normal"/>
    <w:next w:val="Normal"/>
    <w:link w:val="IntenseQuoteChar"/>
    <w:uiPriority w:val="30"/>
    <w:qFormat/>
    <w:rsid w:val="001C77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77AD"/>
    <w:rPr>
      <w:i/>
      <w:iCs/>
      <w:color w:val="0F4761" w:themeColor="accent1" w:themeShade="BF"/>
    </w:rPr>
  </w:style>
  <w:style w:type="character" w:styleId="IntenseReference">
    <w:name w:val="Intense Reference"/>
    <w:basedOn w:val="DefaultParagraphFont"/>
    <w:uiPriority w:val="32"/>
    <w:qFormat/>
    <w:rsid w:val="001C77AD"/>
    <w:rPr>
      <w:b/>
      <w:bCs/>
      <w:smallCaps/>
      <w:color w:val="0F4761" w:themeColor="accent1" w:themeShade="BF"/>
      <w:spacing w:val="5"/>
    </w:rPr>
  </w:style>
  <w:style w:type="paragraph" w:customStyle="1" w:styleId="p1">
    <w:name w:val="p1"/>
    <w:basedOn w:val="Normal"/>
    <w:rsid w:val="001C77AD"/>
    <w:pPr>
      <w:spacing w:after="0" w:line="240" w:lineRule="auto"/>
    </w:pPr>
    <w:rPr>
      <w:rFonts w:ascii="Arial" w:eastAsia="Times New Roman" w:hAnsi="Arial" w:cs="Arial"/>
      <w:color w:val="000000"/>
      <w:kern w:val="0"/>
      <w:sz w:val="17"/>
      <w:szCs w:val="17"/>
      <w14:ligatures w14:val="none"/>
    </w:rPr>
  </w:style>
  <w:style w:type="paragraph" w:styleId="Revision">
    <w:name w:val="Revision"/>
    <w:hidden/>
    <w:uiPriority w:val="99"/>
    <w:semiHidden/>
    <w:rsid w:val="00FC16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fontTable" Target="fontTable.xml"/><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15</Pages>
  <Words>814</Words>
  <Characters>4642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Rybacki, Karleena</dc:creator>
  <cp:keywords/>
  <dc:description/>
  <cp:lastModifiedBy>Rybacki, Karleena</cp:lastModifiedBy>
  <cp:revision>16</cp:revision>
  <dcterms:created xsi:type="dcterms:W3CDTF">2026-05-04T22:47:00Z</dcterms:created>
  <dcterms:modified xsi:type="dcterms:W3CDTF">2026-06-26T15:48:00Z</dcterms:modified>
</cp:coreProperties>
</file>