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D71AA">
      <w:pPr>
        <w:pStyle w:val="2"/>
        <w:snapToGrid w:val="0"/>
        <w:spacing w:before="0" w:after="0" w:line="480" w:lineRule="auto"/>
        <w:rPr>
          <w:rFonts w:ascii="Calibri" w:hAnsi="Calibri" w:cs="Calibri"/>
          <w:sz w:val="36"/>
          <w:szCs w:val="36"/>
        </w:rPr>
      </w:pPr>
      <w:r>
        <w:rPr>
          <w:rFonts w:hint="eastAsia" w:ascii="Calibri" w:hAnsi="Calibri" w:cs="Calibri"/>
          <w:sz w:val="36"/>
          <w:szCs w:val="36"/>
        </w:rPr>
        <w:t>F</w:t>
      </w:r>
      <w:r>
        <w:rPr>
          <w:rFonts w:ascii="Calibri" w:hAnsi="Calibri" w:cs="Calibri"/>
          <w:sz w:val="36"/>
          <w:szCs w:val="36"/>
        </w:rPr>
        <w:t xml:space="preserve">igures </w:t>
      </w:r>
      <w:r>
        <w:rPr>
          <w:rFonts w:hint="eastAsia" w:ascii="Calibri" w:hAnsi="Calibri" w:cs="Calibri"/>
          <w:sz w:val="36"/>
          <w:szCs w:val="36"/>
        </w:rPr>
        <w:t>S</w:t>
      </w:r>
      <w:r>
        <w:rPr>
          <w:rFonts w:ascii="Calibri" w:hAnsi="Calibri" w:cs="Calibri"/>
          <w:sz w:val="36"/>
          <w:szCs w:val="36"/>
        </w:rPr>
        <w:t>1-</w:t>
      </w:r>
      <w:r>
        <w:rPr>
          <w:rFonts w:hint="eastAsia" w:ascii="Calibri" w:hAnsi="Calibri" w:cs="Calibri"/>
          <w:sz w:val="36"/>
          <w:szCs w:val="36"/>
        </w:rPr>
        <w:t>S</w:t>
      </w:r>
      <w:r>
        <w:rPr>
          <w:rFonts w:ascii="Calibri" w:hAnsi="Calibri" w:cs="Calibri"/>
          <w:sz w:val="36"/>
          <w:szCs w:val="36"/>
        </w:rPr>
        <w:t>1</w:t>
      </w:r>
      <w:r>
        <w:rPr>
          <w:rFonts w:hint="eastAsia" w:ascii="Calibri" w:hAnsi="Calibri" w:cs="Calibri"/>
          <w:sz w:val="36"/>
          <w:szCs w:val="36"/>
        </w:rPr>
        <w:t>8</w:t>
      </w:r>
    </w:p>
    <w:p w14:paraId="2E8E5F1A">
      <w:pPr>
        <w:snapToGrid w:val="0"/>
        <w:spacing w:line="480" w:lineRule="auto"/>
        <w:rPr>
          <w:rFonts w:ascii="Calibri" w:hAnsi="Calibri" w:cs="Calibri"/>
          <w:b/>
          <w:sz w:val="24"/>
        </w:rPr>
      </w:pPr>
    </w:p>
    <w:p w14:paraId="22655299">
      <w:pPr>
        <w:snapToGrid w:val="0"/>
        <w:spacing w:line="480" w:lineRule="auto"/>
        <w:rPr>
          <w:rFonts w:ascii="Calibri" w:hAnsi="Calibri" w:cs="Calibri"/>
          <w:b/>
          <w:sz w:val="24"/>
        </w:rPr>
      </w:pPr>
      <w:r>
        <w:drawing>
          <wp:inline distT="0" distB="0" distL="0" distR="0">
            <wp:extent cx="5274310" cy="6196330"/>
            <wp:effectExtent l="0" t="0" r="2540" b="0"/>
            <wp:docPr id="7224403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40384" name="图片 1"/>
                    <pic:cNvPicPr>
                      <a:picLocks noChangeAspect="1"/>
                    </pic:cNvPicPr>
                  </pic:nvPicPr>
                  <pic:blipFill>
                    <a:blip r:embed="rId5"/>
                    <a:srcRect b="14662"/>
                    <a:stretch>
                      <a:fillRect/>
                    </a:stretch>
                  </pic:blipFill>
                  <pic:spPr>
                    <a:xfrm>
                      <a:off x="0" y="0"/>
                      <a:ext cx="5274310" cy="6196614"/>
                    </a:xfrm>
                    <a:prstGeom prst="rect">
                      <a:avLst/>
                    </a:prstGeom>
                    <a:ln>
                      <a:noFill/>
                    </a:ln>
                  </pic:spPr>
                </pic:pic>
              </a:graphicData>
            </a:graphic>
          </wp:inline>
        </w:drawing>
      </w:r>
    </w:p>
    <w:p w14:paraId="26E321D8">
      <w:pPr>
        <w:snapToGrid w:val="0"/>
        <w:spacing w:line="480" w:lineRule="auto"/>
        <w:rPr>
          <w:rFonts w:ascii="Calibri" w:hAnsi="Calibri" w:cs="Calibri"/>
          <w:b/>
          <w:sz w:val="24"/>
        </w:rPr>
      </w:pPr>
      <w:r>
        <w:rPr>
          <w:rFonts w:ascii="Calibri" w:hAnsi="Calibri" w:cs="Calibri"/>
          <w:b/>
          <w:sz w:val="24"/>
        </w:rPr>
        <w:t>Fig. S1.</w:t>
      </w:r>
      <w:r>
        <w:rPr>
          <w:rFonts w:ascii="Calibri" w:hAnsi="Calibri" w:cs="Calibri"/>
          <w:sz w:val="24"/>
        </w:rPr>
        <w:t xml:space="preserve"> </w:t>
      </w:r>
      <w:r>
        <w:rPr>
          <w:rFonts w:ascii="Calibri" w:hAnsi="Calibri" w:cs="Calibri"/>
          <w:b/>
          <w:sz w:val="24"/>
        </w:rPr>
        <w:t>Validation of cell type annotation across integrated lung single-cell datasets.</w:t>
      </w:r>
    </w:p>
    <w:p w14:paraId="72961430">
      <w:pPr>
        <w:snapToGrid w:val="0"/>
        <w:spacing w:line="480" w:lineRule="auto"/>
        <w:rPr>
          <w:rFonts w:ascii="Calibri" w:hAnsi="Calibri" w:cs="Calibri"/>
          <w:sz w:val="24"/>
        </w:rPr>
      </w:pPr>
      <w:r>
        <w:rPr>
          <w:rFonts w:ascii="Calibri" w:hAnsi="Calibri" w:cs="Calibri"/>
          <w:sz w:val="24"/>
        </w:rPr>
        <w:t>(A) Summary of</w:t>
      </w:r>
      <w:r>
        <w:rPr>
          <w:rFonts w:hint="eastAsia" w:ascii="Calibri" w:hAnsi="Calibri" w:cs="Calibri"/>
          <w:sz w:val="24"/>
        </w:rPr>
        <w:t xml:space="preserve"> </w:t>
      </w:r>
      <w:r>
        <w:rPr>
          <w:rFonts w:ascii="Calibri" w:hAnsi="Calibri" w:cs="Calibri"/>
          <w:sz w:val="24"/>
        </w:rPr>
        <w:t>cell, sample and datasets numbers across healthy donor, COPD, PF, and COVID-19 lungs.</w:t>
      </w:r>
    </w:p>
    <w:p w14:paraId="0291628A">
      <w:pPr>
        <w:snapToGrid w:val="0"/>
        <w:spacing w:line="480" w:lineRule="auto"/>
        <w:rPr>
          <w:rFonts w:ascii="Calibri" w:hAnsi="Calibri" w:cs="Calibri"/>
          <w:sz w:val="24"/>
        </w:rPr>
      </w:pPr>
      <w:r>
        <w:rPr>
          <w:rFonts w:ascii="Calibri" w:hAnsi="Calibri" w:cs="Calibri"/>
          <w:sz w:val="24"/>
        </w:rPr>
        <w:t>(B) UMAP visualization of all lung cells colored by dataset, showing consistent distributions across integrated datasets.</w:t>
      </w:r>
      <w:r>
        <w:rPr>
          <w:rFonts w:ascii="Calibri" w:hAnsi="Calibri" w:cs="Calibri"/>
          <w:sz w:val="24"/>
        </w:rPr>
        <w:br w:type="textWrapping"/>
      </w:r>
      <w:r>
        <w:rPr>
          <w:rFonts w:ascii="Calibri" w:hAnsi="Calibri" w:cs="Calibri"/>
          <w:sz w:val="24"/>
        </w:rPr>
        <w:t xml:space="preserve">(C) UMAP visualization of identifed cell types. </w:t>
      </w:r>
    </w:p>
    <w:p w14:paraId="1E7DE73B">
      <w:pPr>
        <w:snapToGrid w:val="0"/>
        <w:spacing w:line="480" w:lineRule="auto"/>
        <w:rPr>
          <w:rFonts w:ascii="Calibri" w:hAnsi="Calibri" w:cs="Calibri"/>
        </w:rPr>
      </w:pPr>
      <w:r>
        <w:rPr>
          <w:rFonts w:ascii="Calibri" w:hAnsi="Calibri" w:cs="Calibri"/>
          <w:sz w:val="24"/>
        </w:rPr>
        <w:t>(D) Bubble plot showing canonical marker expression across cell types defined in Fig. S1C. Circle size indicates the proportion of cells expressing each gene, and color reflects the average expression (row z-score).</w:t>
      </w:r>
      <w:r>
        <w:rPr>
          <w:rFonts w:ascii="Calibri" w:hAnsi="Calibri" w:cs="Calibri"/>
          <w:sz w:val="24"/>
        </w:rPr>
        <w:br w:type="textWrapping"/>
      </w:r>
      <w:r>
        <w:rPr>
          <w:rFonts w:ascii="Calibri" w:hAnsi="Calibri" w:cs="Calibri"/>
          <w:sz w:val="24"/>
        </w:rPr>
        <w:t>(E) Feature plots displaying canonical fibroblast markers (</w:t>
      </w:r>
      <w:r>
        <w:rPr>
          <w:rFonts w:ascii="Calibri" w:hAnsi="Calibri" w:cs="Calibri"/>
          <w:i/>
          <w:iCs/>
          <w:sz w:val="24"/>
        </w:rPr>
        <w:t>COL1A1</w:t>
      </w:r>
      <w:r>
        <w:rPr>
          <w:rFonts w:ascii="Calibri" w:hAnsi="Calibri" w:cs="Calibri"/>
          <w:sz w:val="24"/>
        </w:rPr>
        <w:t xml:space="preserve">, </w:t>
      </w:r>
      <w:r>
        <w:rPr>
          <w:rFonts w:ascii="Calibri" w:hAnsi="Calibri" w:cs="Calibri"/>
          <w:i/>
          <w:iCs/>
          <w:sz w:val="24"/>
        </w:rPr>
        <w:t>COL1A2</w:t>
      </w:r>
      <w:r>
        <w:rPr>
          <w:rFonts w:ascii="Calibri" w:hAnsi="Calibri" w:cs="Calibri"/>
          <w:sz w:val="24"/>
        </w:rPr>
        <w:t xml:space="preserve">, </w:t>
      </w:r>
      <w:r>
        <w:rPr>
          <w:rFonts w:ascii="Calibri" w:hAnsi="Calibri" w:cs="Calibri"/>
          <w:i/>
          <w:iCs/>
          <w:sz w:val="24"/>
        </w:rPr>
        <w:t>DCN</w:t>
      </w:r>
      <w:r>
        <w:rPr>
          <w:rFonts w:ascii="Calibri" w:hAnsi="Calibri" w:cs="Calibri"/>
          <w:sz w:val="24"/>
        </w:rPr>
        <w:t>) overlaid on the UMAP from Fig. S1</w:t>
      </w:r>
      <w:r>
        <w:rPr>
          <w:rFonts w:hint="eastAsia" w:ascii="Calibri" w:hAnsi="Calibri" w:cs="Calibri"/>
          <w:sz w:val="24"/>
        </w:rPr>
        <w:t>C</w:t>
      </w:r>
      <w:r>
        <w:rPr>
          <w:rFonts w:ascii="Calibri" w:hAnsi="Calibri" w:cs="Calibri"/>
          <w:sz w:val="24"/>
        </w:rPr>
        <w:t>, confirming robust fibroblast identification.</w:t>
      </w:r>
      <w:r>
        <w:rPr>
          <w:rFonts w:ascii="Calibri" w:hAnsi="Calibri" w:cs="Calibri"/>
          <w:sz w:val="24"/>
        </w:rPr>
        <w:br w:type="textWrapping"/>
      </w:r>
    </w:p>
    <w:p w14:paraId="5F1C8485">
      <w:pPr>
        <w:widowControl/>
        <w:snapToGrid w:val="0"/>
        <w:spacing w:line="480" w:lineRule="auto"/>
        <w:jc w:val="left"/>
        <w:rPr>
          <w:rFonts w:hint="eastAsia"/>
        </w:rPr>
      </w:pPr>
      <w:r>
        <w:drawing>
          <wp:inline distT="0" distB="0" distL="0" distR="0">
            <wp:extent cx="5273675" cy="6542405"/>
            <wp:effectExtent l="0" t="0" r="3175" b="0"/>
            <wp:docPr id="18471118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111811" name="图片 1"/>
                    <pic:cNvPicPr>
                      <a:picLocks noChangeAspect="1"/>
                    </pic:cNvPicPr>
                  </pic:nvPicPr>
                  <pic:blipFill>
                    <a:blip r:embed="rId6"/>
                    <a:srcRect t="2078" b="7831"/>
                    <a:stretch>
                      <a:fillRect/>
                    </a:stretch>
                  </pic:blipFill>
                  <pic:spPr>
                    <a:xfrm>
                      <a:off x="0" y="0"/>
                      <a:ext cx="5274310" cy="6542838"/>
                    </a:xfrm>
                    <a:prstGeom prst="rect">
                      <a:avLst/>
                    </a:prstGeom>
                    <a:ln>
                      <a:noFill/>
                    </a:ln>
                  </pic:spPr>
                </pic:pic>
              </a:graphicData>
            </a:graphic>
          </wp:inline>
        </w:drawing>
      </w:r>
    </w:p>
    <w:p w14:paraId="6414DB19">
      <w:pPr>
        <w:widowControl/>
        <w:snapToGrid w:val="0"/>
        <w:spacing w:line="480" w:lineRule="auto"/>
        <w:jc w:val="left"/>
        <w:rPr>
          <w:rFonts w:ascii="Calibri" w:hAnsi="Calibri" w:cs="Calibri"/>
          <w:b/>
          <w:sz w:val="24"/>
          <w:lang w:bidi="ar"/>
        </w:rPr>
      </w:pPr>
      <w:r>
        <w:rPr>
          <w:rFonts w:ascii="Calibri" w:hAnsi="Calibri" w:cs="Calibri"/>
          <w:b/>
          <w:sz w:val="24"/>
        </w:rPr>
        <w:t xml:space="preserve">Fig. S2. </w:t>
      </w:r>
      <w:r>
        <w:rPr>
          <w:rFonts w:hint="eastAsia" w:ascii="Calibri" w:hAnsi="Calibri" w:cs="Calibri"/>
          <w:b/>
          <w:sz w:val="24"/>
          <w:lang w:bidi="ar"/>
        </w:rPr>
        <w:t>Assessment of potential technical batch effects</w:t>
      </w:r>
      <w:r>
        <w:rPr>
          <w:rFonts w:hint="eastAsia"/>
        </w:rPr>
        <w:t xml:space="preserve"> </w:t>
      </w:r>
      <w:r>
        <w:rPr>
          <w:rFonts w:ascii="Calibri" w:hAnsi="Calibri" w:cs="Calibri"/>
          <w:b/>
          <w:sz w:val="24"/>
          <w:lang w:bidi="ar"/>
        </w:rPr>
        <w:t>and fibroblast subtype identification</w:t>
      </w:r>
      <w:r>
        <w:rPr>
          <w:rFonts w:hint="eastAsia" w:ascii="Calibri" w:hAnsi="Calibri" w:cs="Calibri"/>
          <w:b/>
          <w:sz w:val="24"/>
          <w:lang w:bidi="ar"/>
        </w:rPr>
        <w:t>.</w:t>
      </w:r>
    </w:p>
    <w:p w14:paraId="0F2646CB">
      <w:pPr>
        <w:widowControl/>
        <w:numPr>
          <w:ilvl w:val="0"/>
          <w:numId w:val="1"/>
        </w:numPr>
        <w:snapToGrid w:val="0"/>
        <w:spacing w:line="480" w:lineRule="auto"/>
        <w:jc w:val="left"/>
        <w:rPr>
          <w:rFonts w:ascii="Calibri" w:hAnsi="Calibri" w:cs="Calibri"/>
          <w:bCs/>
          <w:sz w:val="24"/>
          <w:lang w:bidi="ar"/>
        </w:rPr>
      </w:pPr>
      <w:r>
        <w:rPr>
          <w:rFonts w:ascii="Calibri" w:hAnsi="Calibri" w:cs="Calibri"/>
          <w:bCs/>
          <w:sz w:val="24"/>
          <w:lang w:bidi="ar"/>
        </w:rPr>
        <w:t>Evaluation of potential technical batch effects on UMAP visualization for major fibroblasts types.</w:t>
      </w:r>
    </w:p>
    <w:p w14:paraId="4A76A520">
      <w:pPr>
        <w:widowControl/>
        <w:numPr>
          <w:ilvl w:val="0"/>
          <w:numId w:val="1"/>
        </w:numPr>
        <w:snapToGrid w:val="0"/>
        <w:spacing w:line="480" w:lineRule="auto"/>
        <w:jc w:val="left"/>
        <w:rPr>
          <w:rFonts w:ascii="Calibri" w:hAnsi="Calibri" w:cs="Calibri"/>
          <w:b/>
          <w:sz w:val="24"/>
          <w:lang w:bidi="ar"/>
        </w:rPr>
      </w:pPr>
      <w:r>
        <w:rPr>
          <w:rFonts w:ascii="Calibri" w:hAnsi="Calibri" w:cs="Calibri"/>
          <w:sz w:val="24"/>
        </w:rPr>
        <w:t>Density plots showing the distribution of major fibroblast subtypes.</w:t>
      </w:r>
      <w:r>
        <w:rPr>
          <w:rFonts w:ascii="Calibri" w:hAnsi="Calibri" w:cs="Calibri"/>
          <w:sz w:val="24"/>
        </w:rPr>
        <w:br w:type="textWrapping"/>
      </w:r>
      <w:r>
        <w:rPr>
          <w:rFonts w:ascii="Calibri" w:hAnsi="Calibri" w:cs="Calibri"/>
          <w:sz w:val="24"/>
        </w:rPr>
        <w:t xml:space="preserve">(C) Heatmap showing expression of the top 10 marker genes per fibroblast subtype as reported by Travaglini et al. (2020) </w:t>
      </w:r>
      <w:r>
        <w:rPr>
          <w:rFonts w:ascii="Calibri" w:hAnsi="Calibri" w:cs="Calibri"/>
          <w:sz w:val="24"/>
        </w:rPr>
        <w:fldChar w:fldCharType="begin"/>
      </w:r>
      <w:r>
        <w:rPr>
          <w:rFonts w:ascii="Calibri" w:hAnsi="Calibri" w:cs="Calibri"/>
          <w:sz w:val="24"/>
        </w:rPr>
        <w:instrText xml:space="preserve"> ADDIN ZOTERO_ITEM CSL_CITATION {"citationID":"jg6IplQq","properties":{"formattedCitation":"[6]","plainCitation":"[6]","noteIndex":0},"citationItems":[{"id":24,"uris":["http://zotero.org/users/18481315/items/7URB2MI5"],"itemData":{"id":24,"type":"article-journal","abstract":"Although single-cell RNA sequencing studies have begun to provide compendia of cell expression profiles1-9, it has been difficult to systematically identify and localize all molecular cell types in individual organs to create a full molecular cell atlas. Here, using droplet- and plate-based single-cell RNA sequencing of approximately 75,000 human cells across all lung tissue compartments and circulating blood, combined with a multi-pronged cell annotation approach, we create an extensive cell atlas of the human lung. We define the gene expression profiles and anatomical locations of 58 cell populations in the human lung, including 41 out of 45 previously known cell types and 14 previously unknown ones. This comprehensive molecular atlas identifies the biochemical functions of lung cells and the transcription factors and markers for making and monitoring them; defines the cell targets of circulating hormones and predicts local signalling interactions and immune cell homing; and identifies cell types that are directly affected by lung disease genes and respiratory viruses. By comparing human and mouse data, we identified 17 molecular cell types that have been gained or lost during lung evolution and others with substantially altered expression profiles, revealing extensive plasticity of cell types and cell-type-specific gene expression during organ evolution including expression switches between cell types. This atlas provides the molecular foundation for investigating how lung cell identities, functions and interactions are achieved in development and tissue engineering and altered in disease and evolution.","container-title":"Nature","DOI":"10.1038/s41586-020-2922-4","ISSN":"1476-4687","issue":"7835","journalAbbreviation":"Nature","language":"eng","note":"PMID: 33208946\nPMCID: PMC7704697","page":"619-625","source":"PubMed","title":"A molecular cell atlas of the human lung from single-cell RNA sequencing","volume":"587","author":[{"family":"Travaglini","given":"Kyle J."},{"family":"Nabhan","given":"Ahmad N."},{"family":"Penland","given":"Lolita"},{"family":"Sinha","given":"Rahul"},{"family":"Gillich","given":"Astrid"},{"family":"Sit","given":"Rene V."},{"family":"Chang","given":"Stephen"},{"family":"Conley","given":"Stephanie D."},{"family":"Mori","given":"Yasuo"},{"family":"Seita","given":"Jun"},{"family":"Berry","given":"Gerald J."},{"family":"Shrager","given":"Joseph B."},{"family":"Metzger","given":"Ross J."},{"family":"Kuo","given":"Christin S."},{"family":"Neff","given":"Norma"},{"family":"Weissman","given":"Irving L."},{"family":"Quake","given":"Stephen R."},{"family":"Krasnow","given":"Mark A."}],"issued":{"date-parts":[["2020",11]]}}}],"schema":"https://github.com/citation-style-language/schema/raw/master/csl-citation.json"} </w:instrText>
      </w:r>
      <w:r>
        <w:rPr>
          <w:rFonts w:ascii="Calibri" w:hAnsi="Calibri" w:cs="Calibri"/>
          <w:sz w:val="24"/>
        </w:rPr>
        <w:fldChar w:fldCharType="separate"/>
      </w:r>
      <w:r>
        <w:rPr>
          <w:rFonts w:ascii="Calibri" w:hAnsi="Calibri" w:cs="Calibri"/>
          <w:sz w:val="24"/>
        </w:rPr>
        <w:t>[6]</w:t>
      </w:r>
      <w:r>
        <w:rPr>
          <w:rFonts w:ascii="Calibri" w:hAnsi="Calibri" w:cs="Calibri"/>
          <w:sz w:val="24"/>
        </w:rPr>
        <w:fldChar w:fldCharType="end"/>
      </w:r>
      <w:r>
        <w:rPr>
          <w:rFonts w:ascii="Calibri" w:hAnsi="Calibri" w:cs="Calibri"/>
          <w:sz w:val="24"/>
        </w:rPr>
        <w:t>, using 1,000 randomly sampled cells per subtype.</w:t>
      </w:r>
    </w:p>
    <w:p w14:paraId="44A98C20">
      <w:pPr>
        <w:snapToGrid w:val="0"/>
        <w:spacing w:line="480" w:lineRule="auto"/>
        <w:rPr>
          <w:rFonts w:ascii="Calibri" w:hAnsi="Calibri" w:cs="Calibri"/>
          <w:b/>
          <w:sz w:val="24"/>
        </w:rPr>
      </w:pPr>
    </w:p>
    <w:p w14:paraId="377176C0">
      <w:pPr>
        <w:snapToGrid w:val="0"/>
        <w:spacing w:line="480" w:lineRule="auto"/>
        <w:rPr>
          <w:rFonts w:ascii="Calibri" w:hAnsi="Calibri" w:cs="Calibri"/>
        </w:rPr>
      </w:pPr>
    </w:p>
    <w:p w14:paraId="16E57666">
      <w:pPr>
        <w:snapToGrid w:val="0"/>
        <w:spacing w:line="480" w:lineRule="auto"/>
        <w:rPr>
          <w:rFonts w:ascii="Calibri" w:hAnsi="Calibri" w:cs="Calibri"/>
        </w:rPr>
      </w:pPr>
      <w:r>
        <w:drawing>
          <wp:inline distT="0" distB="0" distL="0" distR="0">
            <wp:extent cx="5274310" cy="4846955"/>
            <wp:effectExtent l="0" t="0" r="2540" b="0"/>
            <wp:docPr id="5153387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38749" name="图片 1"/>
                    <pic:cNvPicPr>
                      <a:picLocks noChangeAspect="1"/>
                    </pic:cNvPicPr>
                  </pic:nvPicPr>
                  <pic:blipFill>
                    <a:blip r:embed="rId7"/>
                    <a:srcRect b="33257"/>
                    <a:stretch>
                      <a:fillRect/>
                    </a:stretch>
                  </pic:blipFill>
                  <pic:spPr>
                    <a:xfrm>
                      <a:off x="0" y="0"/>
                      <a:ext cx="5274310" cy="4847208"/>
                    </a:xfrm>
                    <a:prstGeom prst="rect">
                      <a:avLst/>
                    </a:prstGeom>
                    <a:ln>
                      <a:noFill/>
                    </a:ln>
                  </pic:spPr>
                </pic:pic>
              </a:graphicData>
            </a:graphic>
          </wp:inline>
        </w:drawing>
      </w:r>
    </w:p>
    <w:p w14:paraId="7BFBE7F0">
      <w:pPr>
        <w:snapToGrid w:val="0"/>
        <w:spacing w:line="480" w:lineRule="auto"/>
        <w:rPr>
          <w:rFonts w:ascii="Calibri" w:hAnsi="Calibri" w:cs="Calibri"/>
          <w:b/>
          <w:sz w:val="24"/>
        </w:rPr>
      </w:pPr>
      <w:r>
        <w:rPr>
          <w:rFonts w:ascii="Calibri" w:hAnsi="Calibri" w:cs="Calibri"/>
          <w:b/>
          <w:sz w:val="24"/>
        </w:rPr>
        <w:t>Fig. S3. Disease-specific transcriptional programs distinguish non-cancerous fibroblasts from cancer-associated fibroblasts.</w:t>
      </w:r>
    </w:p>
    <w:p w14:paraId="09FDEDEF">
      <w:pPr>
        <w:numPr>
          <w:ilvl w:val="0"/>
          <w:numId w:val="2"/>
        </w:numPr>
        <w:snapToGrid w:val="0"/>
        <w:spacing w:line="480" w:lineRule="auto"/>
        <w:rPr>
          <w:rFonts w:ascii="Calibri" w:hAnsi="Calibri" w:cs="Calibri"/>
          <w:sz w:val="24"/>
        </w:rPr>
      </w:pPr>
      <w:r>
        <w:rPr>
          <w:rFonts w:ascii="Calibri" w:hAnsi="Calibri" w:cs="Calibri"/>
          <w:sz w:val="24"/>
        </w:rPr>
        <w:t>Joint UMAP embedding of fibroblasts from healthy, COPD, PF, COVID-19, and cancerous lungs.</w:t>
      </w:r>
      <w:r>
        <w:rPr>
          <w:rFonts w:ascii="Calibri" w:hAnsi="Calibri" w:cs="Calibri"/>
          <w:sz w:val="24"/>
        </w:rPr>
        <w:br w:type="textWrapping"/>
      </w:r>
      <w:r>
        <w:rPr>
          <w:rFonts w:ascii="Calibri" w:hAnsi="Calibri" w:cs="Calibri"/>
          <w:sz w:val="24"/>
        </w:rPr>
        <w:t>(B) Density plots showing fibroblast distributions by condition and subtype.</w:t>
      </w:r>
      <w:r>
        <w:rPr>
          <w:rFonts w:ascii="Calibri" w:hAnsi="Calibri" w:cs="Calibri"/>
          <w:sz w:val="24"/>
        </w:rPr>
        <w:br w:type="textWrapping"/>
      </w:r>
      <w:r>
        <w:rPr>
          <w:rFonts w:ascii="Calibri" w:hAnsi="Calibri" w:cs="Calibri"/>
          <w:sz w:val="24"/>
        </w:rPr>
        <w:t>(C–</w:t>
      </w:r>
      <w:r>
        <w:rPr>
          <w:rFonts w:hint="eastAsia" w:ascii="Calibri" w:hAnsi="Calibri" w:cs="Calibri"/>
          <w:sz w:val="24"/>
        </w:rPr>
        <w:t>E</w:t>
      </w:r>
      <w:r>
        <w:rPr>
          <w:rFonts w:ascii="Calibri" w:hAnsi="Calibri" w:cs="Calibri"/>
          <w:sz w:val="24"/>
        </w:rPr>
        <w:t>) UpsetR plots showing up- (</w:t>
      </w:r>
      <w:r>
        <w:rPr>
          <w:rFonts w:hint="eastAsia" w:ascii="Calibri" w:hAnsi="Calibri" w:cs="Calibri"/>
          <w:sz w:val="24"/>
        </w:rPr>
        <w:t>upper</w:t>
      </w:r>
      <w:r>
        <w:rPr>
          <w:rFonts w:ascii="Calibri" w:hAnsi="Calibri" w:cs="Calibri"/>
          <w:sz w:val="24"/>
        </w:rPr>
        <w:t>) and downregulated (</w:t>
      </w:r>
      <w:r>
        <w:rPr>
          <w:rFonts w:hint="eastAsia" w:ascii="Calibri" w:hAnsi="Calibri" w:cs="Calibri"/>
          <w:sz w:val="24"/>
        </w:rPr>
        <w:t>lower</w:t>
      </w:r>
      <w:r>
        <w:rPr>
          <w:rFonts w:ascii="Calibri" w:hAnsi="Calibri" w:cs="Calibri"/>
          <w:sz w:val="24"/>
        </w:rPr>
        <w:t>) DEGs in (C) myofibroblasts</w:t>
      </w:r>
      <w:r>
        <w:rPr>
          <w:rFonts w:hint="eastAsia" w:ascii="Calibri" w:hAnsi="Calibri" w:cs="Calibri"/>
          <w:sz w:val="24"/>
        </w:rPr>
        <w:t>,</w:t>
      </w:r>
      <w:r>
        <w:rPr>
          <w:rFonts w:ascii="Calibri" w:hAnsi="Calibri" w:cs="Calibri"/>
          <w:sz w:val="24"/>
        </w:rPr>
        <w:t xml:space="preserve"> (D) adventitial fibroblasts and </w:t>
      </w:r>
      <w:r>
        <w:rPr>
          <w:rFonts w:hint="eastAsia" w:ascii="Calibri" w:hAnsi="Calibri" w:cs="Calibri"/>
          <w:sz w:val="24"/>
        </w:rPr>
        <w:t xml:space="preserve">(E) alveolar fibroblasts </w:t>
      </w:r>
      <w:r>
        <w:rPr>
          <w:rFonts w:ascii="Calibri" w:hAnsi="Calibri" w:cs="Calibri"/>
          <w:sz w:val="24"/>
        </w:rPr>
        <w:t>across conditions versus donor, highlighting shared and unique transcriptional responses.</w:t>
      </w:r>
    </w:p>
    <w:p w14:paraId="31706F1B">
      <w:pPr>
        <w:snapToGrid w:val="0"/>
        <w:spacing w:line="480" w:lineRule="auto"/>
        <w:jc w:val="both"/>
        <w:rPr>
          <w:rFonts w:ascii="Calibri" w:hAnsi="Calibri" w:cs="Calibri"/>
          <w:sz w:val="24"/>
        </w:rPr>
      </w:pPr>
      <w:bookmarkStart w:id="0" w:name="_GoBack"/>
      <w:bookmarkEnd w:id="0"/>
      <w:r>
        <w:t xml:space="preserve"> </w:t>
      </w:r>
      <w:r>
        <w:drawing>
          <wp:inline distT="0" distB="0" distL="0" distR="0">
            <wp:extent cx="5274310" cy="4563110"/>
            <wp:effectExtent l="0" t="0" r="2540" b="8890"/>
            <wp:docPr id="21268163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16329" name="图片 1"/>
                    <pic:cNvPicPr>
                      <a:picLocks noChangeAspect="1"/>
                    </pic:cNvPicPr>
                  </pic:nvPicPr>
                  <pic:blipFill>
                    <a:blip r:embed="rId8"/>
                    <a:srcRect b="46433"/>
                    <a:stretch>
                      <a:fillRect/>
                    </a:stretch>
                  </pic:blipFill>
                  <pic:spPr>
                    <a:xfrm>
                      <a:off x="0" y="0"/>
                      <a:ext cx="5274310" cy="4563122"/>
                    </a:xfrm>
                    <a:prstGeom prst="rect">
                      <a:avLst/>
                    </a:prstGeom>
                    <a:ln>
                      <a:noFill/>
                    </a:ln>
                  </pic:spPr>
                </pic:pic>
              </a:graphicData>
            </a:graphic>
          </wp:inline>
        </w:drawing>
      </w:r>
    </w:p>
    <w:p w14:paraId="41632684">
      <w:pPr>
        <w:snapToGrid w:val="0"/>
        <w:spacing w:line="480" w:lineRule="auto"/>
        <w:rPr>
          <w:rFonts w:ascii="Calibri" w:hAnsi="Calibri" w:cs="Calibri"/>
          <w:bCs/>
          <w:sz w:val="24"/>
        </w:rPr>
      </w:pPr>
      <w:r>
        <w:rPr>
          <w:rFonts w:ascii="Calibri" w:hAnsi="Calibri" w:cs="Calibri"/>
          <w:b/>
          <w:sz w:val="24"/>
        </w:rPr>
        <w:t>Fig. S</w:t>
      </w:r>
      <w:r>
        <w:rPr>
          <w:rFonts w:hint="eastAsia" w:ascii="Calibri" w:hAnsi="Calibri" w:cs="Calibri"/>
          <w:b/>
          <w:sz w:val="24"/>
        </w:rPr>
        <w:t>4</w:t>
      </w:r>
      <w:r>
        <w:rPr>
          <w:rFonts w:ascii="Calibri" w:hAnsi="Calibri" w:cs="Calibri"/>
          <w:b/>
          <w:sz w:val="24"/>
        </w:rPr>
        <w:t>.</w:t>
      </w:r>
      <w:r>
        <w:rPr>
          <w:rFonts w:hint="eastAsia" w:ascii="Calibri" w:hAnsi="Calibri" w:cs="Calibri"/>
          <w:b/>
          <w:sz w:val="24"/>
        </w:rPr>
        <w:t xml:space="preserve"> </w:t>
      </w:r>
      <w:r>
        <w:rPr>
          <w:rFonts w:ascii="Calibri" w:hAnsi="Calibri" w:cs="Calibri"/>
          <w:b/>
          <w:sz w:val="24"/>
        </w:rPr>
        <w:t>Intra-subtype heterogeneity and disease-skewed distributions of myofibroblasts across cancer and non-cancer conditions.</w:t>
      </w:r>
    </w:p>
    <w:p w14:paraId="048714F7">
      <w:pPr>
        <w:snapToGrid w:val="0"/>
        <w:spacing w:line="480" w:lineRule="auto"/>
        <w:rPr>
          <w:rFonts w:ascii="Calibri" w:hAnsi="Calibri" w:cs="Calibri"/>
          <w:sz w:val="24"/>
        </w:rPr>
      </w:pPr>
      <w:r>
        <w:rPr>
          <w:rFonts w:ascii="Calibri" w:hAnsi="Calibri" w:cs="Calibri"/>
          <w:sz w:val="24"/>
        </w:rPr>
        <w:t>(A) Evaluation of technical effects on myofibroblasts subtypes</w:t>
      </w:r>
      <w:r>
        <w:rPr>
          <w:rFonts w:hint="eastAsia" w:ascii="Calibri" w:hAnsi="Calibri" w:cs="Calibri"/>
          <w:sz w:val="24"/>
        </w:rPr>
        <w:t>.</w:t>
      </w:r>
    </w:p>
    <w:p w14:paraId="4A5D1D8A">
      <w:pPr>
        <w:snapToGrid w:val="0"/>
        <w:spacing w:line="480" w:lineRule="auto"/>
        <w:rPr>
          <w:rFonts w:ascii="Calibri" w:hAnsi="Calibri" w:cs="Calibri"/>
          <w:sz w:val="24"/>
        </w:rPr>
      </w:pPr>
      <w:r>
        <w:rPr>
          <w:rFonts w:ascii="Calibri" w:hAnsi="Calibri" w:cs="Calibri"/>
          <w:sz w:val="24"/>
        </w:rPr>
        <w:t xml:space="preserve">(B) Heatmaps showing differentially expressed genes for each subcluster of MyoFs. </w:t>
      </w:r>
    </w:p>
    <w:p w14:paraId="71432114">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C</w:t>
      </w:r>
      <w:r>
        <w:rPr>
          <w:rFonts w:ascii="Calibri" w:hAnsi="Calibri" w:cs="Calibri"/>
          <w:sz w:val="24"/>
        </w:rPr>
        <w:t>) Boxplot showing proportions of MyoF subclusters within individual samples, normalized to the total number of MyoF cells per sample.</w:t>
      </w:r>
    </w:p>
    <w:p w14:paraId="13C96947">
      <w:pPr>
        <w:numPr>
          <w:ilvl w:val="0"/>
          <w:numId w:val="0"/>
        </w:numPr>
        <w:snapToGrid w:val="0"/>
        <w:spacing w:line="480" w:lineRule="auto"/>
        <w:rPr>
          <w:rFonts w:ascii="Calibri" w:hAnsi="Calibri" w:cs="Calibri"/>
          <w:sz w:val="24"/>
        </w:rPr>
      </w:pPr>
    </w:p>
    <w:p w14:paraId="21D4C0ED">
      <w:pPr>
        <w:snapToGrid w:val="0"/>
        <w:spacing w:line="480" w:lineRule="auto"/>
        <w:rPr>
          <w:rFonts w:ascii="Calibri" w:hAnsi="Calibri" w:cs="Calibri"/>
        </w:rPr>
      </w:pPr>
      <w:r>
        <w:drawing>
          <wp:inline distT="0" distB="0" distL="0" distR="0">
            <wp:extent cx="5274310" cy="7011670"/>
            <wp:effectExtent l="0" t="0" r="2540" b="0"/>
            <wp:docPr id="7272363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36329" name="图片 1"/>
                    <pic:cNvPicPr>
                      <a:picLocks noChangeAspect="1"/>
                    </pic:cNvPicPr>
                  </pic:nvPicPr>
                  <pic:blipFill>
                    <a:blip r:embed="rId9"/>
                    <a:stretch>
                      <a:fillRect/>
                    </a:stretch>
                  </pic:blipFill>
                  <pic:spPr>
                    <a:xfrm>
                      <a:off x="0" y="0"/>
                      <a:ext cx="5274310" cy="7011670"/>
                    </a:xfrm>
                    <a:prstGeom prst="rect">
                      <a:avLst/>
                    </a:prstGeom>
                  </pic:spPr>
                </pic:pic>
              </a:graphicData>
            </a:graphic>
          </wp:inline>
        </w:drawing>
      </w:r>
    </w:p>
    <w:p w14:paraId="79FA0F66">
      <w:pPr>
        <w:snapToGrid w:val="0"/>
        <w:spacing w:line="480" w:lineRule="auto"/>
        <w:rPr>
          <w:rFonts w:ascii="Calibri" w:hAnsi="Calibri" w:cs="Calibri"/>
          <w:bCs/>
          <w:sz w:val="24"/>
        </w:rPr>
      </w:pPr>
      <w:r>
        <w:rPr>
          <w:rFonts w:ascii="Calibri" w:hAnsi="Calibri" w:cs="Calibri"/>
          <w:b/>
          <w:sz w:val="24"/>
        </w:rPr>
        <w:t>Fig. S</w:t>
      </w:r>
      <w:r>
        <w:rPr>
          <w:rFonts w:hint="eastAsia" w:ascii="Calibri" w:hAnsi="Calibri" w:cs="Calibri"/>
          <w:b/>
          <w:sz w:val="24"/>
        </w:rPr>
        <w:t>5</w:t>
      </w:r>
      <w:r>
        <w:rPr>
          <w:rFonts w:ascii="Calibri" w:hAnsi="Calibri" w:cs="Calibri"/>
          <w:b/>
          <w:sz w:val="24"/>
        </w:rPr>
        <w:t>. Intra-subtype heterogeneity and disease-skewed distributions of adventitial fibroblasts</w:t>
      </w:r>
      <w:r>
        <w:rPr>
          <w:rFonts w:ascii="Calibri" w:hAnsi="Calibri" w:cs="Calibri"/>
          <w:bCs/>
          <w:sz w:val="24"/>
        </w:rPr>
        <w:t xml:space="preserve"> </w:t>
      </w:r>
      <w:r>
        <w:rPr>
          <w:rFonts w:ascii="Calibri" w:hAnsi="Calibri" w:cs="Calibri"/>
          <w:b/>
          <w:sz w:val="24"/>
        </w:rPr>
        <w:t>across cancer and non-cancer conditions.</w:t>
      </w:r>
    </w:p>
    <w:p w14:paraId="6F90AC74">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A</w:t>
      </w:r>
      <w:r>
        <w:rPr>
          <w:rFonts w:ascii="Calibri" w:hAnsi="Calibri" w:cs="Calibri"/>
          <w:sz w:val="24"/>
        </w:rPr>
        <w:t>) Evaluation of technical effects on adventitial fibroblasts subtypes</w:t>
      </w:r>
      <w:r>
        <w:rPr>
          <w:rFonts w:hint="eastAsia" w:ascii="Calibri" w:hAnsi="Calibri" w:cs="Calibri"/>
          <w:sz w:val="24"/>
        </w:rPr>
        <w:t>.</w:t>
      </w:r>
      <w:r>
        <w:rPr>
          <w:rFonts w:ascii="Calibri" w:hAnsi="Calibri" w:cs="Calibri"/>
          <w:sz w:val="24"/>
        </w:rPr>
        <w:t xml:space="preserve"> </w:t>
      </w:r>
    </w:p>
    <w:p w14:paraId="0C6E89F4">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B-</w:t>
      </w:r>
      <w:r>
        <w:rPr>
          <w:rFonts w:ascii="Calibri" w:hAnsi="Calibri" w:cs="Calibri"/>
          <w:sz w:val="24"/>
        </w:rPr>
        <w:t>C) Re-clustering and density plots of Advs revealing five transcriptionally distinct subclusters with disease-skewed distributions.</w:t>
      </w:r>
    </w:p>
    <w:p w14:paraId="07AF1A0E">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D</w:t>
      </w:r>
      <w:r>
        <w:rPr>
          <w:rFonts w:ascii="Calibri" w:hAnsi="Calibri" w:cs="Calibri"/>
          <w:sz w:val="24"/>
        </w:rPr>
        <w:t xml:space="preserve">) Heatmaps showing differentially expressed genes for each subcluster of Advs. </w:t>
      </w:r>
    </w:p>
    <w:p w14:paraId="63873857">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E</w:t>
      </w:r>
      <w:r>
        <w:rPr>
          <w:rFonts w:ascii="Calibri" w:hAnsi="Calibri" w:cs="Calibri"/>
          <w:sz w:val="24"/>
        </w:rPr>
        <w:t xml:space="preserve">) Boxplot showing proportions of Adv subclusters </w:t>
      </w:r>
      <w:r>
        <w:rPr>
          <w:rFonts w:ascii="Calibri" w:hAnsi="Calibri" w:cs="Calibri"/>
          <w:bCs/>
          <w:sz w:val="24"/>
        </w:rPr>
        <w:t>across conditions</w:t>
      </w:r>
      <w:r>
        <w:rPr>
          <w:rFonts w:ascii="Calibri" w:hAnsi="Calibri" w:cs="Calibri"/>
          <w:sz w:val="24"/>
        </w:rPr>
        <w:t>.</w:t>
      </w:r>
    </w:p>
    <w:p w14:paraId="558956B8">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F</w:t>
      </w:r>
      <w:r>
        <w:rPr>
          <w:rFonts w:ascii="Calibri" w:hAnsi="Calibri" w:cs="Calibri"/>
          <w:sz w:val="24"/>
        </w:rPr>
        <w:t>) Venn diagrams showing overlap of DEGs in Advs between PF vs. donor and cancer vs. donor, and between COPD vs. donor and cancer vs. donor, separated into up- and downregulated sets.</w:t>
      </w:r>
    </w:p>
    <w:p w14:paraId="10D0A704">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G</w:t>
      </w:r>
      <w:r>
        <w:rPr>
          <w:rFonts w:ascii="Calibri" w:hAnsi="Calibri" w:cs="Calibri"/>
          <w:sz w:val="24"/>
        </w:rPr>
        <w:t>) Dot plot showing PF- and COPD-specific DEGs in Advs relative to other conditions.</w:t>
      </w:r>
    </w:p>
    <w:p w14:paraId="2FA3F396">
      <w:p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H</w:t>
      </w:r>
      <w:r>
        <w:rPr>
          <w:rFonts w:ascii="Calibri" w:hAnsi="Calibri" w:cs="Calibri"/>
          <w:sz w:val="24"/>
        </w:rPr>
        <w:t>) Violin plots showing pathway activation scores for key biological processes in Advs across diseases.</w:t>
      </w:r>
    </w:p>
    <w:p w14:paraId="3FC47EA2">
      <w:pPr>
        <w:snapToGrid w:val="0"/>
        <w:spacing w:line="480" w:lineRule="auto"/>
        <w:rPr>
          <w:rFonts w:ascii="Calibri" w:hAnsi="Calibri" w:cs="Calibri"/>
          <w:sz w:val="24"/>
        </w:rPr>
      </w:pPr>
      <w:r>
        <w:rPr>
          <w:rFonts w:ascii="Calibri" w:hAnsi="Calibri" w:cs="Calibri"/>
          <w:sz w:val="24"/>
        </w:rPr>
        <w:t>Statistical significance: ns, not significant; *p &lt; 0.05; **p &lt; 0.01.</w:t>
      </w:r>
    </w:p>
    <w:p w14:paraId="703AEF14">
      <w:pPr>
        <w:snapToGrid w:val="0"/>
        <w:spacing w:line="480" w:lineRule="auto"/>
        <w:rPr>
          <w:rFonts w:ascii="Calibri" w:hAnsi="Calibri" w:cs="Calibri"/>
        </w:rPr>
      </w:pPr>
    </w:p>
    <w:p w14:paraId="1FF2D77E">
      <w:pPr>
        <w:snapToGrid w:val="0"/>
        <w:spacing w:line="480" w:lineRule="auto"/>
        <w:rPr>
          <w:rFonts w:ascii="Calibri" w:hAnsi="Calibri" w:cs="Calibri"/>
        </w:rPr>
      </w:pPr>
    </w:p>
    <w:p w14:paraId="4241AEC0">
      <w:pPr>
        <w:snapToGrid w:val="0"/>
        <w:spacing w:line="480" w:lineRule="auto"/>
        <w:rPr>
          <w:rFonts w:ascii="Calibri" w:hAnsi="Calibri" w:cs="Calibri"/>
        </w:rPr>
      </w:pPr>
    </w:p>
    <w:p w14:paraId="6CD9DB82">
      <w:pPr>
        <w:snapToGrid w:val="0"/>
        <w:spacing w:line="480" w:lineRule="auto"/>
        <w:rPr>
          <w:rFonts w:ascii="Calibri" w:hAnsi="Calibri" w:cs="Calibri"/>
        </w:rPr>
      </w:pPr>
    </w:p>
    <w:p w14:paraId="7CC6E94F">
      <w:pPr>
        <w:snapToGrid w:val="0"/>
        <w:spacing w:line="480" w:lineRule="auto"/>
        <w:rPr>
          <w:rFonts w:ascii="Calibri" w:hAnsi="Calibri" w:cs="Calibri"/>
        </w:rPr>
      </w:pPr>
    </w:p>
    <w:p w14:paraId="75F168DE">
      <w:pPr>
        <w:snapToGrid w:val="0"/>
        <w:spacing w:line="480" w:lineRule="auto"/>
        <w:rPr>
          <w:rFonts w:ascii="Calibri" w:hAnsi="Calibri" w:cs="Calibri"/>
        </w:rPr>
      </w:pPr>
    </w:p>
    <w:p w14:paraId="4950FF83">
      <w:pPr>
        <w:snapToGrid w:val="0"/>
        <w:spacing w:line="480" w:lineRule="auto"/>
        <w:rPr>
          <w:rFonts w:ascii="Calibri" w:hAnsi="Calibri" w:cs="Calibri"/>
        </w:rPr>
      </w:pPr>
    </w:p>
    <w:p w14:paraId="43672FF6">
      <w:pPr>
        <w:snapToGrid w:val="0"/>
        <w:spacing w:line="480" w:lineRule="auto"/>
        <w:rPr>
          <w:rFonts w:ascii="Calibri" w:hAnsi="Calibri" w:cs="Calibri"/>
        </w:rPr>
      </w:pPr>
    </w:p>
    <w:p w14:paraId="68A7D55E">
      <w:pPr>
        <w:snapToGrid w:val="0"/>
        <w:spacing w:line="480" w:lineRule="auto"/>
        <w:rPr>
          <w:rFonts w:ascii="Calibri" w:hAnsi="Calibri" w:cs="Calibri"/>
        </w:rPr>
      </w:pPr>
    </w:p>
    <w:p w14:paraId="09B171A9">
      <w:pPr>
        <w:snapToGrid w:val="0"/>
        <w:spacing w:line="480" w:lineRule="auto"/>
        <w:rPr>
          <w:rFonts w:ascii="Calibri" w:hAnsi="Calibri" w:cs="Calibri"/>
        </w:rPr>
      </w:pPr>
    </w:p>
    <w:p w14:paraId="77621331">
      <w:pPr>
        <w:snapToGrid w:val="0"/>
        <w:spacing w:line="480" w:lineRule="auto"/>
        <w:rPr>
          <w:rFonts w:ascii="Calibri" w:hAnsi="Calibri" w:cs="Calibri"/>
        </w:rPr>
      </w:pPr>
    </w:p>
    <w:p w14:paraId="088744DA">
      <w:pPr>
        <w:snapToGrid w:val="0"/>
        <w:spacing w:line="480" w:lineRule="auto"/>
        <w:jc w:val="center"/>
        <w:rPr>
          <w:rFonts w:ascii="Calibri" w:hAnsi="Calibri" w:cs="Calibri"/>
        </w:rPr>
      </w:pPr>
      <w:r>
        <w:drawing>
          <wp:inline distT="0" distB="0" distL="0" distR="0">
            <wp:extent cx="5274310" cy="7262495"/>
            <wp:effectExtent l="0" t="0" r="2540" b="0"/>
            <wp:docPr id="19012307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30771" name="图片 1"/>
                    <pic:cNvPicPr>
                      <a:picLocks noChangeAspect="1"/>
                    </pic:cNvPicPr>
                  </pic:nvPicPr>
                  <pic:blipFill>
                    <a:blip r:embed="rId10"/>
                    <a:stretch>
                      <a:fillRect/>
                    </a:stretch>
                  </pic:blipFill>
                  <pic:spPr>
                    <a:xfrm>
                      <a:off x="0" y="0"/>
                      <a:ext cx="5274310" cy="7262495"/>
                    </a:xfrm>
                    <a:prstGeom prst="rect">
                      <a:avLst/>
                    </a:prstGeom>
                  </pic:spPr>
                </pic:pic>
              </a:graphicData>
            </a:graphic>
          </wp:inline>
        </w:drawing>
      </w:r>
    </w:p>
    <w:p w14:paraId="48691106">
      <w:pPr>
        <w:snapToGrid w:val="0"/>
        <w:spacing w:line="480" w:lineRule="auto"/>
        <w:rPr>
          <w:rFonts w:ascii="Calibri" w:hAnsi="Calibri" w:cs="Calibri"/>
          <w:bCs/>
          <w:sz w:val="24"/>
        </w:rPr>
      </w:pPr>
      <w:r>
        <w:rPr>
          <w:rFonts w:ascii="Calibri" w:hAnsi="Calibri" w:cs="Calibri"/>
          <w:b/>
          <w:sz w:val="24"/>
        </w:rPr>
        <w:t>Fig. S</w:t>
      </w:r>
      <w:r>
        <w:rPr>
          <w:rFonts w:hint="eastAsia" w:ascii="Calibri" w:hAnsi="Calibri" w:cs="Calibri"/>
          <w:b/>
          <w:sz w:val="24"/>
        </w:rPr>
        <w:t>6</w:t>
      </w:r>
      <w:r>
        <w:rPr>
          <w:rFonts w:ascii="Calibri" w:hAnsi="Calibri" w:cs="Calibri"/>
          <w:b/>
          <w:sz w:val="24"/>
        </w:rPr>
        <w:t>. Intra-subtype heterogeneity and disease-skewed distributions of alveolar fibroblasts</w:t>
      </w:r>
      <w:r>
        <w:rPr>
          <w:rFonts w:ascii="Calibri" w:hAnsi="Calibri" w:cs="Calibri"/>
          <w:bCs/>
          <w:sz w:val="24"/>
        </w:rPr>
        <w:t xml:space="preserve"> </w:t>
      </w:r>
      <w:r>
        <w:rPr>
          <w:rFonts w:ascii="Calibri" w:hAnsi="Calibri" w:cs="Calibri"/>
          <w:b/>
          <w:sz w:val="24"/>
        </w:rPr>
        <w:t>across cancer and non-cancer conditions.</w:t>
      </w:r>
    </w:p>
    <w:p w14:paraId="4C1B3F5A">
      <w:pPr>
        <w:numPr>
          <w:ilvl w:val="255"/>
          <w:numId w:val="0"/>
        </w:numPr>
        <w:snapToGrid w:val="0"/>
        <w:spacing w:line="480" w:lineRule="auto"/>
        <w:rPr>
          <w:rFonts w:ascii="Calibri" w:hAnsi="Calibri" w:cs="Calibri"/>
          <w:sz w:val="24"/>
        </w:rPr>
      </w:pPr>
      <w:r>
        <w:rPr>
          <w:rFonts w:ascii="Calibri" w:hAnsi="Calibri" w:cs="Calibri"/>
          <w:sz w:val="24"/>
        </w:rPr>
        <w:t>(</w:t>
      </w:r>
      <w:r>
        <w:rPr>
          <w:rFonts w:hint="eastAsia" w:ascii="Calibri" w:hAnsi="Calibri" w:cs="Calibri"/>
          <w:sz w:val="24"/>
        </w:rPr>
        <w:t>A</w:t>
      </w:r>
      <w:r>
        <w:rPr>
          <w:rFonts w:ascii="Calibri" w:hAnsi="Calibri" w:cs="Calibri"/>
          <w:sz w:val="24"/>
        </w:rPr>
        <w:t>) Evaluation of technical effects on alveolar fibroblasts subtypes</w:t>
      </w:r>
      <w:r>
        <w:rPr>
          <w:rFonts w:hint="eastAsia" w:ascii="Calibri" w:hAnsi="Calibri" w:cs="Calibri"/>
          <w:sz w:val="24"/>
        </w:rPr>
        <w:t>.</w:t>
      </w:r>
      <w:r>
        <w:rPr>
          <w:rFonts w:ascii="Calibri" w:hAnsi="Calibri" w:cs="Calibri"/>
          <w:sz w:val="24"/>
        </w:rPr>
        <w:t xml:space="preserve"> </w:t>
      </w:r>
    </w:p>
    <w:p w14:paraId="3E4D5601">
      <w:pPr>
        <w:numPr>
          <w:ilvl w:val="0"/>
          <w:numId w:val="3"/>
        </w:numPr>
        <w:snapToGrid w:val="0"/>
        <w:spacing w:line="480" w:lineRule="auto"/>
        <w:rPr>
          <w:rFonts w:ascii="Calibri" w:hAnsi="Calibri" w:cs="Calibri"/>
          <w:sz w:val="24"/>
        </w:rPr>
      </w:pPr>
      <w:r>
        <w:rPr>
          <w:rFonts w:hint="eastAsia" w:ascii="Calibri" w:hAnsi="Calibri" w:cs="Calibri"/>
          <w:sz w:val="24"/>
        </w:rPr>
        <w:t>C</w:t>
      </w:r>
      <w:r>
        <w:rPr>
          <w:rFonts w:ascii="Calibri" w:hAnsi="Calibri" w:cs="Calibri"/>
          <w:sz w:val="24"/>
        </w:rPr>
        <w:t xml:space="preserve">) Re-clustering and density plots of </w:t>
      </w:r>
      <w:r>
        <w:rPr>
          <w:rFonts w:hint="eastAsia" w:ascii="Calibri" w:hAnsi="Calibri" w:cs="Calibri"/>
          <w:sz w:val="24"/>
        </w:rPr>
        <w:t>Alvs</w:t>
      </w:r>
      <w:r>
        <w:rPr>
          <w:rFonts w:ascii="Calibri" w:hAnsi="Calibri" w:cs="Calibri"/>
          <w:sz w:val="24"/>
        </w:rPr>
        <w:t xml:space="preserve"> revealing five transcriptionally distinct subclusters with disease-skewed distributions.</w:t>
      </w:r>
    </w:p>
    <w:p w14:paraId="37E94699">
      <w:pPr>
        <w:numPr>
          <w:ilvl w:val="255"/>
          <w:numId w:val="0"/>
        </w:numPr>
        <w:snapToGrid w:val="0"/>
        <w:spacing w:line="480" w:lineRule="auto"/>
        <w:rPr>
          <w:rFonts w:ascii="Calibri" w:hAnsi="Calibri" w:cs="Calibri"/>
          <w:sz w:val="24"/>
        </w:rPr>
      </w:pPr>
      <w:r>
        <w:rPr>
          <w:rFonts w:hint="eastAsia" w:ascii="Calibri" w:hAnsi="Calibri" w:cs="Calibri"/>
          <w:sz w:val="24"/>
        </w:rPr>
        <w:t xml:space="preserve">(D) </w:t>
      </w:r>
      <w:r>
        <w:rPr>
          <w:rFonts w:ascii="Calibri" w:hAnsi="Calibri" w:cs="Calibri"/>
          <w:sz w:val="24"/>
        </w:rPr>
        <w:t xml:space="preserve">Heatmaps showing the expression of alveolar fibroblasts subtype marker genes </w:t>
      </w:r>
    </w:p>
    <w:p w14:paraId="0B462B16">
      <w:pPr>
        <w:numPr>
          <w:ilvl w:val="255"/>
          <w:numId w:val="0"/>
        </w:numPr>
        <w:snapToGrid w:val="0"/>
        <w:spacing w:line="480" w:lineRule="auto"/>
        <w:rPr>
          <w:rFonts w:ascii="Calibri" w:hAnsi="Calibri" w:cs="Calibri"/>
          <w:sz w:val="24"/>
        </w:rPr>
      </w:pPr>
      <w:r>
        <w:rPr>
          <w:rFonts w:hint="eastAsia" w:ascii="Calibri" w:hAnsi="Calibri" w:cs="Calibri"/>
          <w:sz w:val="24"/>
        </w:rPr>
        <w:t xml:space="preserve">(E) </w:t>
      </w:r>
      <w:r>
        <w:rPr>
          <w:rFonts w:ascii="Calibri" w:hAnsi="Calibri" w:cs="Calibri"/>
          <w:sz w:val="24"/>
        </w:rPr>
        <w:t>Boxplot showing proportions of alveolar fibroblasts subclusters within individual samples, normalized to the total number of alveolar fibroblast cells per sample in the five conditions.</w:t>
      </w:r>
    </w:p>
    <w:p w14:paraId="1DEF93C1">
      <w:pPr>
        <w:snapToGrid w:val="0"/>
        <w:spacing w:line="480" w:lineRule="auto"/>
        <w:rPr>
          <w:rFonts w:ascii="Calibri" w:hAnsi="Calibri" w:cs="Calibri"/>
          <w:sz w:val="24"/>
        </w:rPr>
      </w:pPr>
      <w:r>
        <w:rPr>
          <w:rFonts w:ascii="Calibri" w:hAnsi="Calibri" w:cs="Calibri"/>
          <w:sz w:val="24"/>
        </w:rPr>
        <w:t>(F) Venn diagrams showing overlap of DEGs in Alvs between PF vs. donor and cancer vs. donor, and between COPD vs. donor and cancer vs. donor, separated into up- and downregulated sets.</w:t>
      </w:r>
    </w:p>
    <w:p w14:paraId="0B0425C3">
      <w:pPr>
        <w:snapToGrid w:val="0"/>
        <w:spacing w:line="480" w:lineRule="auto"/>
        <w:rPr>
          <w:rFonts w:ascii="Calibri" w:hAnsi="Calibri" w:cs="Calibri"/>
          <w:sz w:val="24"/>
        </w:rPr>
      </w:pPr>
      <w:r>
        <w:rPr>
          <w:rFonts w:ascii="Calibri" w:hAnsi="Calibri" w:cs="Calibri"/>
          <w:sz w:val="24"/>
        </w:rPr>
        <w:t>(G) Dot plot showing PF- and COPD-specific DEGs in Alvs relative to other conditions.</w:t>
      </w:r>
    </w:p>
    <w:p w14:paraId="39296ABA">
      <w:pPr>
        <w:snapToGrid w:val="0"/>
        <w:spacing w:line="480" w:lineRule="auto"/>
        <w:rPr>
          <w:rFonts w:ascii="Calibri" w:hAnsi="Calibri" w:cs="Calibri"/>
          <w:sz w:val="24"/>
        </w:rPr>
      </w:pPr>
      <w:r>
        <w:rPr>
          <w:rFonts w:ascii="Calibri" w:hAnsi="Calibri" w:cs="Calibri"/>
          <w:sz w:val="24"/>
        </w:rPr>
        <w:t>(H) Violin plots showing pathway activation scores for key biological processes in Alvs across diseases.</w:t>
      </w:r>
    </w:p>
    <w:p w14:paraId="10DEA8E7">
      <w:pPr>
        <w:snapToGrid w:val="0"/>
        <w:spacing w:line="480" w:lineRule="auto"/>
        <w:rPr>
          <w:rFonts w:hint="eastAsia"/>
        </w:rPr>
      </w:pPr>
      <w:r>
        <w:drawing>
          <wp:inline distT="0" distB="0" distL="0" distR="0">
            <wp:extent cx="5274310" cy="2858135"/>
            <wp:effectExtent l="0" t="0" r="2540" b="0"/>
            <wp:docPr id="18027511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51110" name="图片 1"/>
                    <pic:cNvPicPr>
                      <a:picLocks noChangeAspect="1"/>
                    </pic:cNvPicPr>
                  </pic:nvPicPr>
                  <pic:blipFill>
                    <a:blip r:embed="rId11"/>
                    <a:srcRect b="24921"/>
                    <a:stretch>
                      <a:fillRect/>
                    </a:stretch>
                  </pic:blipFill>
                  <pic:spPr>
                    <a:xfrm>
                      <a:off x="0" y="0"/>
                      <a:ext cx="5274310" cy="2858610"/>
                    </a:xfrm>
                    <a:prstGeom prst="rect">
                      <a:avLst/>
                    </a:prstGeom>
                    <a:ln>
                      <a:noFill/>
                    </a:ln>
                  </pic:spPr>
                </pic:pic>
              </a:graphicData>
            </a:graphic>
          </wp:inline>
        </w:drawing>
      </w:r>
      <w:r>
        <w:rPr>
          <w:rFonts w:ascii="Calibri" w:hAnsi="Calibri" w:cs="Calibri"/>
          <w:b/>
          <w:sz w:val="24"/>
        </w:rPr>
        <w:t>Figure S</w:t>
      </w:r>
      <w:r>
        <w:rPr>
          <w:rFonts w:hint="eastAsia" w:ascii="Calibri" w:hAnsi="Calibri" w:cs="Calibri"/>
          <w:b/>
          <w:sz w:val="24"/>
        </w:rPr>
        <w:t>7</w:t>
      </w:r>
      <w:r>
        <w:rPr>
          <w:rFonts w:ascii="Calibri" w:hAnsi="Calibri" w:cs="Calibri"/>
          <w:b/>
          <w:sz w:val="24"/>
        </w:rPr>
        <w:t xml:space="preserve">. </w:t>
      </w:r>
      <w:r>
        <w:rPr>
          <w:rFonts w:hint="eastAsia" w:ascii="Calibri" w:hAnsi="Calibri" w:cs="Calibri"/>
          <w:b/>
          <w:sz w:val="24"/>
        </w:rPr>
        <w:t xml:space="preserve">Heatmap showing </w:t>
      </w:r>
      <w:r>
        <w:rPr>
          <w:rFonts w:ascii="Calibri" w:hAnsi="Calibri" w:cs="Calibri"/>
          <w:b/>
          <w:sz w:val="24"/>
        </w:rPr>
        <w:t xml:space="preserve">the expression of </w:t>
      </w:r>
      <w:r>
        <w:rPr>
          <w:rFonts w:hint="eastAsia" w:ascii="Calibri" w:hAnsi="Calibri" w:cs="Calibri"/>
          <w:b/>
          <w:sz w:val="24"/>
        </w:rPr>
        <w:t>markers of our defined fibroblast subtypes and previously reported fibroblast states</w:t>
      </w:r>
    </w:p>
    <w:p w14:paraId="49026A7A">
      <w:pPr>
        <w:snapToGrid w:val="0"/>
        <w:spacing w:line="480" w:lineRule="auto"/>
        <w:rPr>
          <w:rFonts w:hint="eastAsia"/>
        </w:rPr>
      </w:pPr>
    </w:p>
    <w:p w14:paraId="7CBBABE0">
      <w:pPr>
        <w:snapToGrid w:val="0"/>
        <w:spacing w:line="480" w:lineRule="auto"/>
        <w:rPr>
          <w:rFonts w:ascii="Calibri" w:hAnsi="Calibri" w:cs="Calibri"/>
        </w:rPr>
      </w:pPr>
      <w:r>
        <w:drawing>
          <wp:inline distT="0" distB="0" distL="0" distR="0">
            <wp:extent cx="5274310" cy="7262495"/>
            <wp:effectExtent l="0" t="0" r="2540" b="0"/>
            <wp:docPr id="11581157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115797" name="图片 1"/>
                    <pic:cNvPicPr>
                      <a:picLocks noChangeAspect="1"/>
                    </pic:cNvPicPr>
                  </pic:nvPicPr>
                  <pic:blipFill>
                    <a:blip r:embed="rId12"/>
                    <a:stretch>
                      <a:fillRect/>
                    </a:stretch>
                  </pic:blipFill>
                  <pic:spPr>
                    <a:xfrm>
                      <a:off x="0" y="0"/>
                      <a:ext cx="5274310" cy="7262495"/>
                    </a:xfrm>
                    <a:prstGeom prst="rect">
                      <a:avLst/>
                    </a:prstGeom>
                  </pic:spPr>
                </pic:pic>
              </a:graphicData>
            </a:graphic>
          </wp:inline>
        </w:drawing>
      </w:r>
    </w:p>
    <w:p w14:paraId="46BD9D3F">
      <w:pPr>
        <w:snapToGrid w:val="0"/>
        <w:spacing w:line="480" w:lineRule="auto"/>
        <w:rPr>
          <w:rFonts w:ascii="Calibri" w:hAnsi="Calibri" w:cs="Calibri"/>
          <w:bCs/>
          <w:sz w:val="24"/>
        </w:rPr>
      </w:pPr>
      <w:r>
        <w:rPr>
          <w:rFonts w:ascii="Calibri" w:hAnsi="Calibri" w:cs="Calibri"/>
          <w:b/>
          <w:sz w:val="24"/>
        </w:rPr>
        <w:t>Fig. S8. Disease-specific pathway and gene activation in lung fibroblasts across COVID-19, PF, and COPD.</w:t>
      </w:r>
    </w:p>
    <w:p w14:paraId="734650E0">
      <w:pPr>
        <w:snapToGrid w:val="0"/>
        <w:spacing w:line="480" w:lineRule="auto"/>
        <w:rPr>
          <w:rFonts w:ascii="Calibri" w:hAnsi="Calibri" w:cs="Calibri"/>
          <w:sz w:val="24"/>
        </w:rPr>
      </w:pPr>
      <w:r>
        <w:rPr>
          <w:rFonts w:ascii="Calibri" w:hAnsi="Calibri" w:cs="Calibri"/>
          <w:sz w:val="24"/>
        </w:rPr>
        <w:t>(A–C) Violin plots showing module scores of pathways upregulated in (A) COVID-19, (B) PF, and (C) COPD fibroblasts.</w:t>
      </w:r>
      <w:r>
        <w:rPr>
          <w:rFonts w:ascii="Calibri" w:hAnsi="Calibri" w:cs="Calibri"/>
          <w:sz w:val="24"/>
        </w:rPr>
        <w:br w:type="textWrapping"/>
      </w:r>
      <w:r>
        <w:rPr>
          <w:rFonts w:ascii="Calibri" w:hAnsi="Calibri" w:cs="Calibri"/>
          <w:sz w:val="24"/>
        </w:rPr>
        <w:t>(D) Violin plots showing representative gene expression within pathways from Figure 2G–I.</w:t>
      </w:r>
      <w:r>
        <w:rPr>
          <w:rFonts w:ascii="Calibri" w:hAnsi="Calibri" w:cs="Calibri"/>
          <w:sz w:val="24"/>
        </w:rPr>
        <w:br w:type="textWrapping"/>
      </w:r>
      <w:r>
        <w:rPr>
          <w:rFonts w:ascii="Calibri" w:hAnsi="Calibri" w:cs="Calibri"/>
          <w:sz w:val="24"/>
        </w:rPr>
        <w:t>(E–G) Boxplots showing the fraction of fibroblast cells expressing pathway genes in individual samples grouped by condition for (E) COVID-19, (F) PF, and (G) COPD.</w:t>
      </w:r>
      <w:r>
        <w:rPr>
          <w:rFonts w:ascii="Calibri" w:hAnsi="Calibri" w:cs="Calibri"/>
          <w:sz w:val="24"/>
        </w:rPr>
        <w:br w:type="textWrapping"/>
      </w:r>
      <w:r>
        <w:rPr>
          <w:rFonts w:ascii="Calibri" w:hAnsi="Calibri" w:cs="Calibri"/>
          <w:sz w:val="24"/>
        </w:rPr>
        <w:t>Statistical significance: ns, not significant; *p &lt; 0.05; **p &lt; 0.01.</w:t>
      </w:r>
    </w:p>
    <w:p w14:paraId="6B999D27">
      <w:pPr>
        <w:snapToGrid w:val="0"/>
        <w:spacing w:line="480" w:lineRule="auto"/>
        <w:rPr>
          <w:rFonts w:ascii="Calibri" w:hAnsi="Calibri" w:cs="Calibri"/>
          <w:sz w:val="24"/>
        </w:rPr>
      </w:pPr>
    </w:p>
    <w:p w14:paraId="7F2EE410">
      <w:pPr>
        <w:snapToGrid w:val="0"/>
        <w:spacing w:line="480" w:lineRule="auto"/>
        <w:rPr>
          <w:rFonts w:hint="eastAsia" w:ascii="Calibri" w:hAnsi="Calibri" w:cs="Calibri"/>
        </w:rPr>
      </w:pPr>
      <w:r>
        <w:t xml:space="preserve"> </w:t>
      </w:r>
      <w:r>
        <w:drawing>
          <wp:inline distT="0" distB="0" distL="0" distR="0">
            <wp:extent cx="5274310" cy="6452235"/>
            <wp:effectExtent l="0" t="0" r="2540" b="5715"/>
            <wp:docPr id="9744839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83919" name="图片 1"/>
                    <pic:cNvPicPr>
                      <a:picLocks noChangeAspect="1"/>
                    </pic:cNvPicPr>
                  </pic:nvPicPr>
                  <pic:blipFill>
                    <a:blip r:embed="rId13"/>
                    <a:srcRect b="11149"/>
                    <a:stretch>
                      <a:fillRect/>
                    </a:stretch>
                  </pic:blipFill>
                  <pic:spPr>
                    <a:xfrm>
                      <a:off x="0" y="0"/>
                      <a:ext cx="5274310" cy="6452839"/>
                    </a:xfrm>
                    <a:prstGeom prst="rect">
                      <a:avLst/>
                    </a:prstGeom>
                    <a:ln>
                      <a:noFill/>
                    </a:ln>
                  </pic:spPr>
                </pic:pic>
              </a:graphicData>
            </a:graphic>
          </wp:inline>
        </w:drawing>
      </w:r>
    </w:p>
    <w:p w14:paraId="44F0469A">
      <w:pPr>
        <w:snapToGrid w:val="0"/>
        <w:spacing w:line="480" w:lineRule="auto"/>
        <w:rPr>
          <w:rFonts w:ascii="Calibri" w:hAnsi="Calibri" w:cs="Calibri"/>
          <w:sz w:val="24"/>
        </w:rPr>
      </w:pPr>
      <w:r>
        <w:rPr>
          <w:rFonts w:ascii="Calibri" w:hAnsi="Calibri" w:cs="Calibri"/>
          <w:b/>
          <w:sz w:val="24"/>
        </w:rPr>
        <w:t>Fig. S9. Subtype-specific transcription factor activity in lung fibroblasts across disease conditions.</w:t>
      </w:r>
    </w:p>
    <w:p w14:paraId="0C7B6B85">
      <w:pPr>
        <w:snapToGrid w:val="0"/>
        <w:spacing w:line="480" w:lineRule="auto"/>
        <w:rPr>
          <w:rFonts w:ascii="Calibri" w:hAnsi="Calibri" w:cs="Calibri"/>
          <w:sz w:val="24"/>
        </w:rPr>
      </w:pPr>
      <w:r>
        <w:rPr>
          <w:rFonts w:ascii="Calibri" w:hAnsi="Calibri" w:cs="Calibri"/>
          <w:sz w:val="24"/>
        </w:rPr>
        <w:t>(A) Heatmap of pairwise Jaccard indices for top 25 TFs between disease and cell type combinations, revealing subtype-specific regulatory networks.</w:t>
      </w:r>
      <w:r>
        <w:rPr>
          <w:rFonts w:ascii="Calibri" w:hAnsi="Calibri" w:cs="Calibri"/>
          <w:sz w:val="24"/>
        </w:rPr>
        <w:br w:type="textWrapping"/>
      </w:r>
      <w:r>
        <w:rPr>
          <w:rFonts w:ascii="Calibri" w:hAnsi="Calibri" w:cs="Calibri"/>
          <w:sz w:val="24"/>
        </w:rPr>
        <w:t>(B) AUC heatmap showing regulon activity of top 25 TFs in healthy fibroblast subtypes relative to disease conditions (total of 75 TFs), with color scale based on row z-scores.</w:t>
      </w:r>
      <w:r>
        <w:rPr>
          <w:rFonts w:ascii="Calibri" w:hAnsi="Calibri" w:cs="Calibri"/>
          <w:sz w:val="24"/>
        </w:rPr>
        <w:br w:type="textWrapping"/>
      </w:r>
      <w:r>
        <w:rPr>
          <w:rFonts w:ascii="Calibri" w:hAnsi="Calibri" w:cs="Calibri"/>
          <w:sz w:val="24"/>
        </w:rPr>
        <w:t>(C) Dot plot showing expression of disease-specific upregulated TFs.</w:t>
      </w:r>
      <w:r>
        <w:rPr>
          <w:rFonts w:ascii="Calibri" w:hAnsi="Calibri" w:cs="Calibri"/>
          <w:sz w:val="24"/>
        </w:rPr>
        <w:br w:type="textWrapping"/>
      </w:r>
      <w:r>
        <w:rPr>
          <w:rFonts w:ascii="Calibri" w:hAnsi="Calibri" w:cs="Calibri"/>
          <w:sz w:val="24"/>
        </w:rPr>
        <w:t>(D) Venn diagrams showing overlap of top 25 TFs across fibroblast subtypes within each disease.</w:t>
      </w:r>
      <w:r>
        <w:rPr>
          <w:rFonts w:ascii="Calibri" w:hAnsi="Calibri" w:cs="Calibri"/>
          <w:sz w:val="24"/>
        </w:rPr>
        <w:br w:type="textWrapping"/>
      </w:r>
      <w:r>
        <w:rPr>
          <w:rFonts w:ascii="Calibri" w:hAnsi="Calibri" w:cs="Calibri"/>
          <w:sz w:val="24"/>
        </w:rPr>
        <w:t>(E) Density plots showing cell distributions across four conditions on subtype-specific trajectorie</w:t>
      </w:r>
    </w:p>
    <w:p w14:paraId="75D889A1">
      <w:pPr>
        <w:snapToGrid w:val="0"/>
        <w:spacing w:line="480" w:lineRule="auto"/>
        <w:rPr>
          <w:rFonts w:ascii="Calibri" w:hAnsi="Calibri" w:cs="Calibri"/>
          <w:sz w:val="24"/>
        </w:rPr>
      </w:pPr>
    </w:p>
    <w:p w14:paraId="0F24EE29">
      <w:pPr>
        <w:snapToGrid w:val="0"/>
        <w:spacing w:line="480" w:lineRule="auto"/>
        <w:jc w:val="center"/>
        <w:rPr>
          <w:rFonts w:hint="eastAsia" w:ascii="Calibri" w:hAnsi="Calibri" w:cs="Calibri"/>
        </w:rPr>
      </w:pPr>
      <w:r>
        <w:drawing>
          <wp:inline distT="0" distB="0" distL="0" distR="0">
            <wp:extent cx="4823460" cy="4670425"/>
            <wp:effectExtent l="0" t="0" r="0" b="0"/>
            <wp:docPr id="119686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652" name="图片 1"/>
                    <pic:cNvPicPr>
                      <a:picLocks noChangeAspect="1"/>
                    </pic:cNvPicPr>
                  </pic:nvPicPr>
                  <pic:blipFill>
                    <a:blip r:embed="rId14"/>
                    <a:stretch>
                      <a:fillRect/>
                    </a:stretch>
                  </pic:blipFill>
                  <pic:spPr>
                    <a:xfrm>
                      <a:off x="0" y="0"/>
                      <a:ext cx="4824000" cy="4670670"/>
                    </a:xfrm>
                    <a:prstGeom prst="rect">
                      <a:avLst/>
                    </a:prstGeom>
                  </pic:spPr>
                </pic:pic>
              </a:graphicData>
            </a:graphic>
          </wp:inline>
        </w:drawing>
      </w:r>
    </w:p>
    <w:p w14:paraId="16D15A5D">
      <w:pPr>
        <w:snapToGrid w:val="0"/>
        <w:spacing w:line="480" w:lineRule="auto"/>
        <w:rPr>
          <w:rFonts w:ascii="Calibri" w:hAnsi="Calibri" w:cs="Calibri"/>
          <w:sz w:val="24"/>
        </w:rPr>
      </w:pPr>
      <w:r>
        <w:rPr>
          <w:rFonts w:ascii="Calibri" w:hAnsi="Calibri" w:cs="Calibri"/>
          <w:b/>
          <w:sz w:val="24"/>
        </w:rPr>
        <w:t>Fig. S10.</w:t>
      </w:r>
      <w:r>
        <w:rPr>
          <w:rFonts w:ascii="Calibri" w:hAnsi="Calibri" w:cs="Calibri"/>
          <w:bCs/>
          <w:sz w:val="24"/>
        </w:rPr>
        <w:t xml:space="preserve"> </w:t>
      </w:r>
      <w:r>
        <w:rPr>
          <w:rFonts w:hint="eastAsia" w:ascii="Calibri" w:hAnsi="Calibri" w:cs="Calibri"/>
          <w:b/>
          <w:sz w:val="24"/>
        </w:rPr>
        <w:t>Expression</w:t>
      </w:r>
      <w:r>
        <w:rPr>
          <w:rFonts w:hint="eastAsia" w:ascii="Calibri" w:hAnsi="Calibri" w:cs="Calibri"/>
          <w:bCs/>
          <w:sz w:val="24"/>
        </w:rPr>
        <w:t xml:space="preserve"> </w:t>
      </w:r>
      <w:r>
        <w:rPr>
          <w:rFonts w:hint="eastAsia" w:ascii="Calibri" w:hAnsi="Calibri" w:cs="Calibri"/>
          <w:b/>
          <w:sz w:val="24"/>
        </w:rPr>
        <w:t>fraction for selected TFs.</w:t>
      </w:r>
    </w:p>
    <w:p w14:paraId="78844F7D">
      <w:pPr>
        <w:snapToGrid w:val="0"/>
        <w:spacing w:line="480" w:lineRule="auto"/>
        <w:rPr>
          <w:rFonts w:ascii="Calibri" w:hAnsi="Calibri" w:cs="Calibri"/>
          <w:sz w:val="24"/>
        </w:rPr>
      </w:pPr>
    </w:p>
    <w:p w14:paraId="786C1E8E">
      <w:pPr>
        <w:snapToGrid w:val="0"/>
        <w:spacing w:line="480" w:lineRule="auto"/>
        <w:rPr>
          <w:rFonts w:ascii="Calibri" w:hAnsi="Calibri" w:cs="Calibri"/>
          <w:sz w:val="24"/>
        </w:rPr>
      </w:pPr>
      <w:r>
        <w:rPr>
          <w:rFonts w:ascii="Calibri" w:hAnsi="Calibri" w:cs="Calibri"/>
          <w:sz w:val="24"/>
        </w:rPr>
        <w:t>Boxplots showing the fraction of fibroblast cells expressing selected TFs in individual samples grouped by condition.</w:t>
      </w:r>
    </w:p>
    <w:p w14:paraId="06EA66F9">
      <w:pPr>
        <w:snapToGrid w:val="0"/>
        <w:spacing w:line="480" w:lineRule="auto"/>
        <w:rPr>
          <w:rFonts w:ascii="Calibri" w:hAnsi="Calibri" w:cs="Calibri"/>
          <w:sz w:val="24"/>
        </w:rPr>
      </w:pPr>
      <w:r>
        <w:rPr>
          <w:rFonts w:ascii="Calibri" w:hAnsi="Calibri" w:cs="Calibri"/>
          <w:sz w:val="24"/>
        </w:rPr>
        <w:t>Statistical significance: ns, not significant; *p &lt; 0.05; **p &lt; 0.01.</w:t>
      </w:r>
    </w:p>
    <w:p w14:paraId="7924F737">
      <w:pPr>
        <w:snapToGrid w:val="0"/>
        <w:spacing w:line="480" w:lineRule="auto"/>
        <w:rPr>
          <w:rFonts w:ascii="Calibri" w:hAnsi="Calibri" w:cs="Calibri"/>
          <w:sz w:val="24"/>
        </w:rPr>
      </w:pPr>
    </w:p>
    <w:p w14:paraId="697D1BF9">
      <w:pPr>
        <w:snapToGrid w:val="0"/>
        <w:spacing w:line="480" w:lineRule="auto"/>
        <w:rPr>
          <w:rFonts w:ascii="Calibri" w:hAnsi="Calibri" w:cs="Calibri"/>
        </w:rPr>
      </w:pPr>
      <w:r>
        <w:rPr>
          <w:rFonts w:ascii="Calibri" w:hAnsi="Calibri" w:cs="Calibri"/>
        </w:rPr>
        <w:drawing>
          <wp:inline distT="0" distB="0" distL="0" distR="0">
            <wp:extent cx="5274310" cy="2680970"/>
            <wp:effectExtent l="0" t="0" r="254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5"/>
                    <a:stretch>
                      <a:fillRect/>
                    </a:stretch>
                  </pic:blipFill>
                  <pic:spPr>
                    <a:xfrm>
                      <a:off x="0" y="0"/>
                      <a:ext cx="5274310" cy="2680970"/>
                    </a:xfrm>
                    <a:prstGeom prst="rect">
                      <a:avLst/>
                    </a:prstGeom>
                  </pic:spPr>
                </pic:pic>
              </a:graphicData>
            </a:graphic>
          </wp:inline>
        </w:drawing>
      </w:r>
    </w:p>
    <w:p w14:paraId="7FA6FE2A">
      <w:pPr>
        <w:snapToGrid w:val="0"/>
        <w:spacing w:line="480" w:lineRule="auto"/>
        <w:rPr>
          <w:rFonts w:ascii="Calibri" w:hAnsi="Calibri" w:cs="Calibri"/>
          <w:bCs/>
          <w:sz w:val="24"/>
        </w:rPr>
      </w:pPr>
      <w:r>
        <w:rPr>
          <w:rFonts w:ascii="Calibri" w:hAnsi="Calibri" w:cs="Calibri"/>
          <w:b/>
          <w:sz w:val="24"/>
        </w:rPr>
        <w:t>Fig. S11. Single-cell distribution of fibroblasts stratified by chronic and acute fibrosis gene signatures.</w:t>
      </w:r>
    </w:p>
    <w:p w14:paraId="447181E0">
      <w:pPr>
        <w:snapToGrid w:val="0"/>
        <w:spacing w:line="480" w:lineRule="auto"/>
        <w:rPr>
          <w:rFonts w:ascii="Calibri" w:hAnsi="Calibri" w:cs="Calibri"/>
          <w:bCs/>
          <w:sz w:val="24"/>
        </w:rPr>
      </w:pPr>
      <w:r>
        <w:rPr>
          <w:rFonts w:ascii="Calibri" w:hAnsi="Calibri" w:cs="Calibri"/>
          <w:bCs/>
          <w:sz w:val="24"/>
        </w:rPr>
        <w:t xml:space="preserve">Density plots showing the distribution of fibroblast cells across </w:t>
      </w:r>
      <w:r>
        <w:rPr>
          <w:rFonts w:ascii="Calibri" w:hAnsi="Calibri" w:cs="Calibri"/>
          <w:sz w:val="24"/>
        </w:rPr>
        <w:t>the four conditions</w:t>
      </w:r>
      <w:r>
        <w:rPr>
          <w:rFonts w:ascii="Calibri" w:hAnsi="Calibri" w:cs="Calibri"/>
          <w:bCs/>
          <w:sz w:val="24"/>
        </w:rPr>
        <w:t>, corresponding to the UMAP projections in Figure 4B.</w:t>
      </w:r>
    </w:p>
    <w:p w14:paraId="51904883">
      <w:pPr>
        <w:snapToGrid w:val="0"/>
        <w:spacing w:line="480" w:lineRule="auto"/>
        <w:rPr>
          <w:rFonts w:ascii="Calibri" w:hAnsi="Calibri" w:cs="Calibri"/>
          <w:sz w:val="24"/>
        </w:rPr>
      </w:pPr>
    </w:p>
    <w:p w14:paraId="273AB723">
      <w:pPr>
        <w:snapToGrid w:val="0"/>
        <w:spacing w:line="480" w:lineRule="auto"/>
        <w:rPr>
          <w:rFonts w:ascii="Calibri" w:hAnsi="Calibri" w:cs="Calibri"/>
        </w:rPr>
      </w:pPr>
      <w:r>
        <w:drawing>
          <wp:inline distT="0" distB="0" distL="0" distR="0">
            <wp:extent cx="5274310" cy="6853555"/>
            <wp:effectExtent l="0" t="0" r="2540" b="4445"/>
            <wp:docPr id="17250876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87678" name="图片 1"/>
                    <pic:cNvPicPr>
                      <a:picLocks noChangeAspect="1"/>
                    </pic:cNvPicPr>
                  </pic:nvPicPr>
                  <pic:blipFill>
                    <a:blip r:embed="rId16"/>
                    <a:srcRect b="5540"/>
                    <a:stretch>
                      <a:fillRect/>
                    </a:stretch>
                  </pic:blipFill>
                  <pic:spPr>
                    <a:xfrm>
                      <a:off x="0" y="0"/>
                      <a:ext cx="5274310" cy="6853561"/>
                    </a:xfrm>
                    <a:prstGeom prst="rect">
                      <a:avLst/>
                    </a:prstGeom>
                    <a:ln>
                      <a:noFill/>
                    </a:ln>
                  </pic:spPr>
                </pic:pic>
              </a:graphicData>
            </a:graphic>
          </wp:inline>
        </w:drawing>
      </w:r>
    </w:p>
    <w:p w14:paraId="129082A0">
      <w:pPr>
        <w:snapToGrid w:val="0"/>
        <w:spacing w:line="480" w:lineRule="auto"/>
        <w:rPr>
          <w:rFonts w:ascii="Calibri" w:hAnsi="Calibri" w:cs="Calibri"/>
          <w:bCs/>
          <w:sz w:val="24"/>
        </w:rPr>
      </w:pPr>
      <w:r>
        <w:rPr>
          <w:rFonts w:ascii="Calibri" w:hAnsi="Calibri" w:cs="Calibri"/>
          <w:b/>
          <w:sz w:val="24"/>
        </w:rPr>
        <w:t>Fig. S12. Cell type- and disease-specific expression patterns of chronic and acute fibrosis gene signatures.</w:t>
      </w:r>
    </w:p>
    <w:p w14:paraId="4CEFDD7C">
      <w:pPr>
        <w:snapToGrid w:val="0"/>
        <w:spacing w:line="480" w:lineRule="auto"/>
        <w:rPr>
          <w:rFonts w:ascii="Calibri" w:hAnsi="Calibri" w:cs="Calibri"/>
          <w:bCs/>
          <w:sz w:val="24"/>
        </w:rPr>
      </w:pPr>
      <w:r>
        <w:rPr>
          <w:rFonts w:ascii="Calibri" w:hAnsi="Calibri" w:cs="Calibri"/>
          <w:bCs/>
          <w:sz w:val="24"/>
        </w:rPr>
        <w:t>Dot plots showing the expression of chronic fibrosis signature genes, acute fibrosis signature genes, and fibroblast markers across all cell types and disease conditions. Circle size represents the proportion of expressing cells, and color reflects the average expression level (row z-score).</w:t>
      </w:r>
    </w:p>
    <w:p w14:paraId="2910C214">
      <w:pPr>
        <w:snapToGrid w:val="0"/>
        <w:spacing w:line="480" w:lineRule="auto"/>
        <w:rPr>
          <w:rFonts w:ascii="Calibri" w:hAnsi="Calibri" w:cs="Calibri"/>
          <w:sz w:val="24"/>
        </w:rPr>
      </w:pPr>
    </w:p>
    <w:p w14:paraId="02F23F8D">
      <w:pPr>
        <w:snapToGrid w:val="0"/>
        <w:spacing w:line="480" w:lineRule="auto"/>
        <w:rPr>
          <w:rFonts w:ascii="Calibri" w:hAnsi="Calibri" w:cs="Calibri"/>
          <w:b/>
          <w:sz w:val="24"/>
        </w:rPr>
      </w:pPr>
      <w:r>
        <w:rPr>
          <w:rFonts w:ascii="Calibri" w:hAnsi="Calibri" w:cs="Calibri"/>
        </w:rPr>
        <w:drawing>
          <wp:inline distT="0" distB="0" distL="0" distR="0">
            <wp:extent cx="5274310" cy="6057900"/>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7"/>
                    <a:stretch>
                      <a:fillRect/>
                    </a:stretch>
                  </pic:blipFill>
                  <pic:spPr>
                    <a:xfrm>
                      <a:off x="0" y="0"/>
                      <a:ext cx="5274310" cy="6057900"/>
                    </a:xfrm>
                    <a:prstGeom prst="rect">
                      <a:avLst/>
                    </a:prstGeom>
                  </pic:spPr>
                </pic:pic>
              </a:graphicData>
            </a:graphic>
          </wp:inline>
        </w:drawing>
      </w:r>
    </w:p>
    <w:p w14:paraId="227CC63D">
      <w:pPr>
        <w:snapToGrid w:val="0"/>
        <w:spacing w:line="480" w:lineRule="auto"/>
        <w:rPr>
          <w:rFonts w:ascii="Calibri" w:hAnsi="Calibri" w:cs="Calibri"/>
          <w:bCs/>
          <w:sz w:val="24"/>
        </w:rPr>
      </w:pPr>
      <w:r>
        <w:rPr>
          <w:rFonts w:ascii="Calibri" w:hAnsi="Calibri" w:cs="Calibri"/>
          <w:b/>
          <w:sz w:val="24"/>
        </w:rPr>
        <w:t>Fig. S13. Predominant expression and dynamics of chronic and acute fibrosis gene signatures in lung fibroblasts.</w:t>
      </w:r>
    </w:p>
    <w:p w14:paraId="27CDC69D">
      <w:pPr>
        <w:snapToGrid w:val="0"/>
        <w:spacing w:line="480" w:lineRule="auto"/>
        <w:rPr>
          <w:rFonts w:ascii="Calibri" w:hAnsi="Calibri" w:cs="Calibri"/>
          <w:bCs/>
          <w:sz w:val="24"/>
        </w:rPr>
      </w:pPr>
      <w:r>
        <w:rPr>
          <w:rFonts w:ascii="Calibri" w:hAnsi="Calibri" w:cs="Calibri"/>
          <w:bCs/>
          <w:sz w:val="24"/>
        </w:rPr>
        <w:t>(A) Module scores of chronic and acute fibrosis gene signatures across all major lung cell types from donor, COPD, PF, and COVID-19 samples, corresponding to Figure 4C.</w:t>
      </w:r>
    </w:p>
    <w:p w14:paraId="1C494536">
      <w:pPr>
        <w:snapToGrid w:val="0"/>
        <w:spacing w:line="480" w:lineRule="auto"/>
        <w:rPr>
          <w:rFonts w:ascii="Calibri" w:hAnsi="Calibri" w:cs="Calibri"/>
          <w:sz w:val="24"/>
        </w:rPr>
      </w:pPr>
      <w:r>
        <w:rPr>
          <w:rFonts w:ascii="Calibri" w:hAnsi="Calibri" w:cs="Calibri"/>
          <w:bCs/>
          <w:sz w:val="24"/>
        </w:rPr>
        <w:t>(B) Dynamics of chronic and acute fibrosis signature expression across all cell types during lung adenocarcinoma progression, corresponding to Figure 4D.</w:t>
      </w:r>
    </w:p>
    <w:p w14:paraId="41F0E9BB">
      <w:pPr>
        <w:snapToGrid w:val="0"/>
        <w:spacing w:line="480" w:lineRule="auto"/>
        <w:rPr>
          <w:rFonts w:ascii="Calibri" w:hAnsi="Calibri" w:cs="Calibri"/>
          <w:sz w:val="24"/>
        </w:rPr>
      </w:pPr>
    </w:p>
    <w:p w14:paraId="52437EDA">
      <w:pPr>
        <w:snapToGrid w:val="0"/>
        <w:spacing w:line="480" w:lineRule="auto"/>
        <w:rPr>
          <w:rFonts w:ascii="Calibri" w:hAnsi="Calibri" w:cs="Calibri"/>
        </w:rPr>
      </w:pPr>
      <w:r>
        <w:drawing>
          <wp:inline distT="0" distB="0" distL="0" distR="0">
            <wp:extent cx="5274310" cy="6169660"/>
            <wp:effectExtent l="0" t="0" r="2540" b="2540"/>
            <wp:docPr id="1498182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182779" name="图片 1"/>
                    <pic:cNvPicPr>
                      <a:picLocks noChangeAspect="1"/>
                    </pic:cNvPicPr>
                  </pic:nvPicPr>
                  <pic:blipFill>
                    <a:blip r:embed="rId18"/>
                    <a:srcRect b="15043"/>
                    <a:stretch>
                      <a:fillRect/>
                    </a:stretch>
                  </pic:blipFill>
                  <pic:spPr>
                    <a:xfrm>
                      <a:off x="0" y="0"/>
                      <a:ext cx="5274310" cy="6169981"/>
                    </a:xfrm>
                    <a:prstGeom prst="rect">
                      <a:avLst/>
                    </a:prstGeom>
                    <a:ln>
                      <a:noFill/>
                    </a:ln>
                  </pic:spPr>
                </pic:pic>
              </a:graphicData>
            </a:graphic>
          </wp:inline>
        </w:drawing>
      </w:r>
    </w:p>
    <w:p w14:paraId="02665BD3">
      <w:pPr>
        <w:snapToGrid w:val="0"/>
        <w:spacing w:line="480" w:lineRule="auto"/>
        <w:rPr>
          <w:rFonts w:ascii="Calibri" w:hAnsi="Calibri" w:cs="Calibri"/>
          <w:bCs/>
          <w:sz w:val="24"/>
        </w:rPr>
      </w:pPr>
      <w:r>
        <w:rPr>
          <w:rFonts w:ascii="Calibri" w:hAnsi="Calibri" w:cs="Calibri"/>
          <w:b/>
          <w:sz w:val="24"/>
        </w:rPr>
        <w:t>Fig. S14. Cross-tissue validation of chronic and acute fibrosis gene signatures in cardiac fibroblasts.</w:t>
      </w:r>
      <w:r>
        <w:rPr>
          <w:rFonts w:ascii="Calibri" w:hAnsi="Calibri" w:cs="Calibri"/>
          <w:bCs/>
          <w:sz w:val="24"/>
        </w:rPr>
        <w:t xml:space="preserve"> </w:t>
      </w:r>
    </w:p>
    <w:p w14:paraId="2BDD4CF9">
      <w:pPr>
        <w:snapToGrid w:val="0"/>
        <w:spacing w:line="480" w:lineRule="auto"/>
        <w:rPr>
          <w:rFonts w:ascii="Calibri" w:hAnsi="Calibri" w:eastAsia="宋体" w:cs="Calibri"/>
          <w:sz w:val="24"/>
        </w:rPr>
      </w:pPr>
      <w:r>
        <w:rPr>
          <w:rFonts w:ascii="Calibri" w:hAnsi="Calibri" w:eastAsia="宋体" w:cs="Calibri"/>
          <w:sz w:val="24"/>
        </w:rPr>
        <w:t>(A) UMAP visualization of all cell types from the single-cell RNA-seq dataset GSE217494.</w:t>
      </w:r>
    </w:p>
    <w:p w14:paraId="63DEC373">
      <w:pPr>
        <w:snapToGrid w:val="0"/>
        <w:spacing w:line="480" w:lineRule="auto"/>
        <w:rPr>
          <w:rFonts w:ascii="Calibri" w:hAnsi="Calibri" w:eastAsia="宋体" w:cs="Calibri"/>
          <w:sz w:val="24"/>
        </w:rPr>
      </w:pPr>
      <w:r>
        <w:rPr>
          <w:rFonts w:ascii="Calibri" w:hAnsi="Calibri" w:eastAsia="宋体" w:cs="Calibri"/>
          <w:sz w:val="24"/>
        </w:rPr>
        <w:t>(B) Bubble plot illustrating the expression of canonical marker genes across cell types defined in panel A. Circle size indicates the proportion of expressing cells, and color represents average expression level (column z-score).</w:t>
      </w:r>
    </w:p>
    <w:p w14:paraId="73FCFF32">
      <w:pPr>
        <w:snapToGrid w:val="0"/>
        <w:spacing w:line="480" w:lineRule="auto"/>
        <w:rPr>
          <w:rFonts w:ascii="Calibri" w:hAnsi="Calibri" w:eastAsia="宋体" w:cs="Calibri"/>
          <w:sz w:val="24"/>
        </w:rPr>
      </w:pPr>
      <w:r>
        <w:rPr>
          <w:rFonts w:ascii="Calibri" w:hAnsi="Calibri" w:eastAsia="宋体" w:cs="Calibri"/>
          <w:sz w:val="24"/>
        </w:rPr>
        <w:t>(C) Module scores of chronic and acute fibrosis gene signatures across all cell types from heart samples, corresponding to Figure 4F.</w:t>
      </w:r>
    </w:p>
    <w:p w14:paraId="4BD71AFF">
      <w:pPr>
        <w:snapToGrid w:val="0"/>
        <w:spacing w:line="480" w:lineRule="auto"/>
        <w:rPr>
          <w:rFonts w:ascii="Calibri" w:hAnsi="Calibri" w:cs="Calibri"/>
          <w:sz w:val="24"/>
        </w:rPr>
      </w:pPr>
    </w:p>
    <w:p w14:paraId="16338FF7">
      <w:pPr>
        <w:snapToGrid w:val="0"/>
        <w:spacing w:line="480" w:lineRule="auto"/>
        <w:rPr>
          <w:rFonts w:ascii="Calibri" w:hAnsi="Calibri" w:cs="Calibri"/>
          <w:sz w:val="24"/>
        </w:rPr>
      </w:pPr>
      <w:r>
        <w:drawing>
          <wp:inline distT="0" distB="0" distL="0" distR="0">
            <wp:extent cx="5274310" cy="6861810"/>
            <wp:effectExtent l="0" t="0" r="2540" b="0"/>
            <wp:docPr id="12704214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421469" name="图片 1"/>
                    <pic:cNvPicPr>
                      <a:picLocks noChangeAspect="1"/>
                    </pic:cNvPicPr>
                  </pic:nvPicPr>
                  <pic:blipFill>
                    <a:blip r:embed="rId19"/>
                    <a:srcRect b="5509"/>
                    <a:stretch>
                      <a:fillRect/>
                    </a:stretch>
                  </pic:blipFill>
                  <pic:spPr>
                    <a:xfrm>
                      <a:off x="0" y="0"/>
                      <a:ext cx="5274310" cy="6862439"/>
                    </a:xfrm>
                    <a:prstGeom prst="rect">
                      <a:avLst/>
                    </a:prstGeom>
                    <a:ln>
                      <a:noFill/>
                    </a:ln>
                  </pic:spPr>
                </pic:pic>
              </a:graphicData>
            </a:graphic>
          </wp:inline>
        </w:drawing>
      </w:r>
    </w:p>
    <w:p w14:paraId="5326BCB6">
      <w:pPr>
        <w:snapToGrid w:val="0"/>
        <w:spacing w:line="480" w:lineRule="auto"/>
        <w:rPr>
          <w:rFonts w:ascii="Calibri" w:hAnsi="Calibri" w:cs="Calibri"/>
          <w:bCs/>
          <w:sz w:val="24"/>
        </w:rPr>
      </w:pPr>
      <w:r>
        <w:rPr>
          <w:rFonts w:ascii="Calibri" w:hAnsi="Calibri" w:cs="Calibri"/>
          <w:b/>
          <w:sz w:val="24"/>
        </w:rPr>
        <w:t>Fig. S15. Cross-tissue validation of chronic and acute fibrosis gene signatures in kidney fibroblasts.</w:t>
      </w:r>
      <w:r>
        <w:rPr>
          <w:rFonts w:ascii="Calibri" w:hAnsi="Calibri" w:cs="Calibri"/>
          <w:bCs/>
          <w:sz w:val="24"/>
        </w:rPr>
        <w:t>.</w:t>
      </w:r>
    </w:p>
    <w:p w14:paraId="102284FC">
      <w:pPr>
        <w:snapToGrid w:val="0"/>
        <w:spacing w:line="480" w:lineRule="auto"/>
        <w:rPr>
          <w:rFonts w:ascii="Calibri" w:hAnsi="Calibri" w:eastAsia="宋体" w:cs="Calibri"/>
          <w:sz w:val="24"/>
        </w:rPr>
      </w:pPr>
      <w:r>
        <w:rPr>
          <w:rFonts w:ascii="Calibri" w:hAnsi="Calibri" w:eastAsia="宋体" w:cs="Calibri"/>
          <w:sz w:val="24"/>
        </w:rPr>
        <w:t xml:space="preserve">(A) UMAP visualization of all cell types and </w:t>
      </w:r>
      <w:r>
        <w:rPr>
          <w:rFonts w:ascii="Calibri" w:hAnsi="Calibri" w:cs="Calibri"/>
          <w:sz w:val="24"/>
        </w:rPr>
        <w:t xml:space="preserve">bubble plot of </w:t>
      </w:r>
      <w:r>
        <w:rPr>
          <w:rFonts w:ascii="Calibri" w:hAnsi="Calibri" w:eastAsia="宋体" w:cs="Calibri"/>
          <w:sz w:val="24"/>
        </w:rPr>
        <w:t>canonical marker gene expression in single-cell RNA-seq datasets GSE171668 and GSE211785. Circle size represents the proportion of expressing cells, and color reflects average expression level (column z-score).</w:t>
      </w:r>
    </w:p>
    <w:p w14:paraId="17547C7C">
      <w:pPr>
        <w:snapToGrid w:val="0"/>
        <w:spacing w:line="480" w:lineRule="auto"/>
        <w:rPr>
          <w:rFonts w:ascii="Calibri" w:hAnsi="Calibri" w:eastAsia="宋体" w:cs="Calibri"/>
          <w:sz w:val="24"/>
        </w:rPr>
      </w:pPr>
      <w:r>
        <w:rPr>
          <w:rFonts w:ascii="Calibri" w:hAnsi="Calibri" w:eastAsia="宋体" w:cs="Calibri"/>
          <w:sz w:val="24"/>
        </w:rPr>
        <w:t xml:space="preserve">(B) Re-clustering of stromal cells, with UMAP plots showing subclusters and </w:t>
      </w:r>
      <w:r>
        <w:rPr>
          <w:rFonts w:ascii="Calibri" w:hAnsi="Calibri" w:cs="Calibri"/>
          <w:sz w:val="24"/>
        </w:rPr>
        <w:t xml:space="preserve">bubble plot showing </w:t>
      </w:r>
      <w:r>
        <w:rPr>
          <w:rFonts w:ascii="Calibri" w:hAnsi="Calibri" w:eastAsia="宋体" w:cs="Calibri"/>
          <w:sz w:val="24"/>
        </w:rPr>
        <w:t>corresponding marker gene expression.</w:t>
      </w:r>
    </w:p>
    <w:p w14:paraId="1F3858B9">
      <w:pPr>
        <w:snapToGrid w:val="0"/>
        <w:spacing w:line="480" w:lineRule="auto"/>
        <w:rPr>
          <w:rFonts w:ascii="Calibri" w:hAnsi="Calibri" w:eastAsia="宋体" w:cs="Calibri"/>
          <w:sz w:val="24"/>
        </w:rPr>
      </w:pPr>
      <w:r>
        <w:rPr>
          <w:rFonts w:ascii="Calibri" w:hAnsi="Calibri" w:eastAsia="宋体" w:cs="Calibri"/>
          <w:sz w:val="24"/>
        </w:rPr>
        <w:t>(C) Module scores of chronic and acute fibrosis gene signatures across all cell types from kidney samples, corresponding to Figure 4G.</w:t>
      </w:r>
    </w:p>
    <w:p w14:paraId="4FB0631C">
      <w:pPr>
        <w:snapToGrid w:val="0"/>
        <w:spacing w:line="480" w:lineRule="auto"/>
        <w:rPr>
          <w:rFonts w:ascii="Calibri" w:hAnsi="Calibri" w:cs="Calibri"/>
        </w:rPr>
      </w:pPr>
    </w:p>
    <w:p w14:paraId="3CD701F6">
      <w:pPr>
        <w:snapToGrid w:val="0"/>
        <w:spacing w:line="480" w:lineRule="auto"/>
        <w:rPr>
          <w:rFonts w:ascii="Calibri" w:hAnsi="Calibri" w:cs="Calibri"/>
        </w:rPr>
      </w:pPr>
      <w:r>
        <w:rPr>
          <w:rFonts w:ascii="Calibri" w:hAnsi="Calibri" w:cs="Calibri"/>
        </w:rPr>
        <w:drawing>
          <wp:inline distT="0" distB="0" distL="0" distR="0">
            <wp:extent cx="5274310" cy="7263765"/>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0"/>
                    <a:stretch>
                      <a:fillRect/>
                    </a:stretch>
                  </pic:blipFill>
                  <pic:spPr>
                    <a:xfrm>
                      <a:off x="0" y="0"/>
                      <a:ext cx="5274310" cy="7263765"/>
                    </a:xfrm>
                    <a:prstGeom prst="rect">
                      <a:avLst/>
                    </a:prstGeom>
                  </pic:spPr>
                </pic:pic>
              </a:graphicData>
            </a:graphic>
          </wp:inline>
        </w:drawing>
      </w:r>
    </w:p>
    <w:p w14:paraId="1F731D93">
      <w:pPr>
        <w:snapToGrid w:val="0"/>
        <w:spacing w:line="480" w:lineRule="auto"/>
        <w:rPr>
          <w:rFonts w:ascii="Calibri" w:hAnsi="Calibri" w:cs="Calibri"/>
          <w:sz w:val="24"/>
        </w:rPr>
      </w:pPr>
      <w:r>
        <w:rPr>
          <w:rFonts w:ascii="Calibri" w:hAnsi="Calibri" w:cs="Calibri"/>
          <w:b/>
          <w:bCs/>
          <w:sz w:val="24"/>
        </w:rPr>
        <w:t xml:space="preserve">Fig. S16. Expression of </w:t>
      </w:r>
      <w:r>
        <w:rPr>
          <w:rFonts w:ascii="Calibri" w:hAnsi="Calibri" w:cs="Calibri"/>
          <w:b/>
          <w:bCs/>
          <w:i/>
          <w:iCs/>
          <w:sz w:val="24"/>
        </w:rPr>
        <w:t xml:space="preserve">ANTXR1 </w:t>
      </w:r>
      <w:r>
        <w:rPr>
          <w:rFonts w:ascii="Calibri" w:hAnsi="Calibri" w:cs="Calibri"/>
          <w:b/>
          <w:bCs/>
          <w:sz w:val="24"/>
        </w:rPr>
        <w:t>across all cell types in individual human scRNA-seq datasets.</w:t>
      </w:r>
    </w:p>
    <w:p w14:paraId="1E4256C3">
      <w:pPr>
        <w:snapToGrid w:val="0"/>
        <w:spacing w:line="480" w:lineRule="auto"/>
        <w:rPr>
          <w:rFonts w:ascii="Calibri" w:hAnsi="Calibri" w:cs="Calibri"/>
          <w:sz w:val="24"/>
        </w:rPr>
      </w:pPr>
      <w:r>
        <w:rPr>
          <w:rFonts w:ascii="Calibri" w:hAnsi="Calibri" w:cs="Calibri"/>
          <w:sz w:val="24"/>
        </w:rPr>
        <w:t xml:space="preserve">Violin plots showing </w:t>
      </w:r>
      <w:r>
        <w:rPr>
          <w:rFonts w:ascii="Calibri" w:hAnsi="Calibri" w:cs="Calibri"/>
          <w:i/>
          <w:iCs/>
          <w:sz w:val="24"/>
        </w:rPr>
        <w:t xml:space="preserve">ANTXR1 </w:t>
      </w:r>
      <w:r>
        <w:rPr>
          <w:rFonts w:ascii="Calibri" w:hAnsi="Calibri" w:cs="Calibri"/>
          <w:sz w:val="24"/>
        </w:rPr>
        <w:t>expression across all major cell types in each human scRNA-seq dataset. The upper panel shows eight PF datasets, the middle panel shows five COPD datasets, and the bottom panel shows two COVID-19 datasets, each including both donor and disease groups.</w:t>
      </w:r>
    </w:p>
    <w:p w14:paraId="72073FD1">
      <w:pPr>
        <w:snapToGrid w:val="0"/>
        <w:spacing w:line="480" w:lineRule="auto"/>
        <w:rPr>
          <w:rFonts w:ascii="Calibri" w:hAnsi="Calibri" w:cs="Calibri"/>
        </w:rPr>
      </w:pPr>
    </w:p>
    <w:p w14:paraId="1B2831FC">
      <w:pPr>
        <w:snapToGrid w:val="0"/>
        <w:spacing w:line="480" w:lineRule="auto"/>
        <w:rPr>
          <w:rFonts w:ascii="Calibri" w:hAnsi="Calibri" w:cs="Calibri"/>
        </w:rPr>
      </w:pPr>
      <w:r>
        <w:rPr>
          <w:rFonts w:ascii="Calibri" w:hAnsi="Calibri" w:cs="Calibri"/>
        </w:rPr>
        <w:drawing>
          <wp:inline distT="0" distB="0" distL="0" distR="0">
            <wp:extent cx="5274310" cy="1426845"/>
            <wp:effectExtent l="0" t="0" r="2540" b="190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1"/>
                    <a:stretch>
                      <a:fillRect/>
                    </a:stretch>
                  </pic:blipFill>
                  <pic:spPr>
                    <a:xfrm>
                      <a:off x="0" y="0"/>
                      <a:ext cx="5274310" cy="1426845"/>
                    </a:xfrm>
                    <a:prstGeom prst="rect">
                      <a:avLst/>
                    </a:prstGeom>
                  </pic:spPr>
                </pic:pic>
              </a:graphicData>
            </a:graphic>
          </wp:inline>
        </w:drawing>
      </w:r>
    </w:p>
    <w:p w14:paraId="70124A2A">
      <w:pPr>
        <w:snapToGrid w:val="0"/>
        <w:spacing w:line="480" w:lineRule="auto"/>
        <w:rPr>
          <w:rFonts w:ascii="Calibri" w:hAnsi="Calibri" w:cs="Calibri"/>
          <w:sz w:val="24"/>
        </w:rPr>
      </w:pPr>
      <w:r>
        <w:rPr>
          <w:rFonts w:ascii="Calibri" w:hAnsi="Calibri" w:cs="Calibri"/>
          <w:b/>
          <w:bCs/>
          <w:sz w:val="24"/>
        </w:rPr>
        <w:t xml:space="preserve">Fig. S17. Spatial transcriptomic validation of </w:t>
      </w:r>
      <w:r>
        <w:rPr>
          <w:rFonts w:ascii="Calibri" w:hAnsi="Calibri" w:cs="Calibri"/>
          <w:b/>
          <w:bCs/>
          <w:i/>
          <w:iCs/>
          <w:sz w:val="24"/>
        </w:rPr>
        <w:t xml:space="preserve">ANTXR1 </w:t>
      </w:r>
      <w:r>
        <w:rPr>
          <w:rFonts w:ascii="Calibri" w:hAnsi="Calibri" w:cs="Calibri"/>
          <w:b/>
          <w:bCs/>
          <w:sz w:val="24"/>
        </w:rPr>
        <w:t>in an independent IPF lung section.</w:t>
      </w:r>
    </w:p>
    <w:p w14:paraId="08B42140">
      <w:pPr>
        <w:snapToGrid w:val="0"/>
        <w:spacing w:line="480" w:lineRule="auto"/>
        <w:rPr>
          <w:rFonts w:ascii="Calibri" w:hAnsi="Calibri" w:cs="Calibri"/>
          <w:sz w:val="24"/>
        </w:rPr>
      </w:pPr>
      <w:r>
        <w:rPr>
          <w:rFonts w:ascii="Calibri" w:hAnsi="Calibri" w:cs="Calibri"/>
          <w:sz w:val="24"/>
        </w:rPr>
        <w:t xml:space="preserve">Representative spatial transcriptomics maps from a second IPF lung section showing the spatial distribution of myofibroblast abundance and expression of </w:t>
      </w:r>
      <w:r>
        <w:rPr>
          <w:rFonts w:ascii="Calibri" w:hAnsi="Calibri" w:cs="Calibri"/>
          <w:i/>
          <w:iCs/>
          <w:sz w:val="24"/>
        </w:rPr>
        <w:t>ANTXR1</w:t>
      </w:r>
      <w:r>
        <w:rPr>
          <w:rFonts w:ascii="Calibri" w:hAnsi="Calibri" w:cs="Calibri"/>
          <w:sz w:val="24"/>
        </w:rPr>
        <w:t xml:space="preserve">, </w:t>
      </w:r>
      <w:r>
        <w:rPr>
          <w:rFonts w:ascii="Calibri" w:hAnsi="Calibri" w:cs="Calibri"/>
          <w:i/>
          <w:iCs/>
          <w:sz w:val="24"/>
        </w:rPr>
        <w:t>COL1A1</w:t>
      </w:r>
      <w:r>
        <w:rPr>
          <w:rFonts w:ascii="Calibri" w:hAnsi="Calibri" w:cs="Calibri"/>
          <w:sz w:val="24"/>
        </w:rPr>
        <w:t xml:space="preserve">, and </w:t>
      </w:r>
      <w:r>
        <w:rPr>
          <w:rFonts w:ascii="Calibri" w:hAnsi="Calibri" w:cs="Calibri"/>
          <w:i/>
          <w:iCs/>
          <w:sz w:val="24"/>
        </w:rPr>
        <w:t>FN1</w:t>
      </w:r>
      <w:r>
        <w:rPr>
          <w:rFonts w:ascii="Calibri" w:hAnsi="Calibri" w:cs="Calibri"/>
          <w:sz w:val="24"/>
        </w:rPr>
        <w:t>.</w:t>
      </w:r>
    </w:p>
    <w:p w14:paraId="016C4EA0">
      <w:pPr>
        <w:snapToGrid w:val="0"/>
        <w:spacing w:line="480" w:lineRule="auto"/>
        <w:rPr>
          <w:rFonts w:ascii="Calibri" w:hAnsi="Calibri" w:cs="Calibri"/>
        </w:rPr>
      </w:pPr>
    </w:p>
    <w:p w14:paraId="3310F058">
      <w:pPr>
        <w:snapToGrid w:val="0"/>
        <w:spacing w:line="480" w:lineRule="auto"/>
        <w:rPr>
          <w:rFonts w:ascii="Calibri" w:hAnsi="Calibri" w:cs="Calibri"/>
        </w:rPr>
      </w:pPr>
      <w:r>
        <w:drawing>
          <wp:inline distT="0" distB="0" distL="0" distR="0">
            <wp:extent cx="5274310" cy="6480175"/>
            <wp:effectExtent l="0" t="0" r="2540" b="0"/>
            <wp:docPr id="864540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540419" name="图片 1"/>
                    <pic:cNvPicPr>
                      <a:picLocks noChangeAspect="1"/>
                    </pic:cNvPicPr>
                  </pic:nvPicPr>
                  <pic:blipFill>
                    <a:blip r:embed="rId22"/>
                    <a:srcRect b="10765"/>
                    <a:stretch>
                      <a:fillRect/>
                    </a:stretch>
                  </pic:blipFill>
                  <pic:spPr>
                    <a:xfrm>
                      <a:off x="0" y="0"/>
                      <a:ext cx="5274310" cy="6480699"/>
                    </a:xfrm>
                    <a:prstGeom prst="rect">
                      <a:avLst/>
                    </a:prstGeom>
                    <a:ln>
                      <a:noFill/>
                    </a:ln>
                  </pic:spPr>
                </pic:pic>
              </a:graphicData>
            </a:graphic>
          </wp:inline>
        </w:drawing>
      </w:r>
    </w:p>
    <w:p w14:paraId="2BE13DDB">
      <w:pPr>
        <w:snapToGrid w:val="0"/>
        <w:spacing w:line="480" w:lineRule="auto"/>
        <w:rPr>
          <w:rFonts w:ascii="Calibri" w:hAnsi="Calibri" w:cs="Calibri"/>
          <w:sz w:val="24"/>
        </w:rPr>
      </w:pPr>
      <w:r>
        <w:rPr>
          <w:rFonts w:ascii="Calibri" w:hAnsi="Calibri" w:cs="Calibri"/>
          <w:b/>
          <w:bCs/>
          <w:sz w:val="24"/>
        </w:rPr>
        <w:t xml:space="preserve">Fig. S18. Validation of </w:t>
      </w:r>
      <w:r>
        <w:rPr>
          <w:rFonts w:ascii="Calibri" w:hAnsi="Calibri" w:cs="Calibri"/>
          <w:b/>
          <w:bCs/>
          <w:i/>
          <w:iCs/>
          <w:sz w:val="24"/>
        </w:rPr>
        <w:t>Antxr1</w:t>
      </w:r>
      <w:r>
        <w:rPr>
          <w:rFonts w:ascii="Calibri" w:hAnsi="Calibri" w:cs="Calibri"/>
          <w:b/>
          <w:bCs/>
          <w:sz w:val="24"/>
        </w:rPr>
        <w:t xml:space="preserve"> expression in murine models of pulmonary fibrosis.</w:t>
      </w:r>
    </w:p>
    <w:p w14:paraId="7B0ED063">
      <w:pPr>
        <w:snapToGrid w:val="0"/>
        <w:spacing w:line="480" w:lineRule="auto"/>
        <w:rPr>
          <w:rFonts w:ascii="Calibri" w:hAnsi="Calibri" w:cs="Calibri"/>
          <w:sz w:val="24"/>
        </w:rPr>
      </w:pPr>
      <w:r>
        <w:rPr>
          <w:rFonts w:ascii="Calibri" w:hAnsi="Calibri" w:cs="Calibri"/>
          <w:sz w:val="24"/>
        </w:rPr>
        <w:t xml:space="preserve">(A) Violin plots showing </w:t>
      </w:r>
      <w:r>
        <w:rPr>
          <w:rFonts w:ascii="Calibri" w:hAnsi="Calibri" w:cs="Calibri"/>
          <w:i/>
          <w:iCs/>
          <w:sz w:val="24"/>
        </w:rPr>
        <w:t>Antxr1</w:t>
      </w:r>
      <w:r>
        <w:rPr>
          <w:rFonts w:ascii="Calibri" w:hAnsi="Calibri" w:cs="Calibri"/>
          <w:sz w:val="24"/>
        </w:rPr>
        <w:t xml:space="preserve"> expression across all major cell types in three independent murine scRNA-seq datasets of bleomycin-induced pulmonary fibrosis and one murine dataset of cigarette smoke-exposed lungs.</w:t>
      </w:r>
    </w:p>
    <w:p w14:paraId="025D55A6">
      <w:pPr>
        <w:snapToGrid w:val="0"/>
        <w:spacing w:line="480" w:lineRule="auto"/>
        <w:rPr>
          <w:rFonts w:ascii="Calibri" w:hAnsi="Calibri" w:cs="Calibri"/>
          <w:sz w:val="24"/>
        </w:rPr>
      </w:pPr>
      <w:r>
        <w:rPr>
          <w:rFonts w:ascii="Calibri" w:hAnsi="Calibri" w:cs="Calibri"/>
          <w:sz w:val="24"/>
        </w:rPr>
        <w:t xml:space="preserve">(B) Spatial transcriptomic maps of mouse lungs showing expression of </w:t>
      </w:r>
      <w:r>
        <w:rPr>
          <w:rFonts w:ascii="Calibri" w:hAnsi="Calibri" w:cs="Calibri"/>
          <w:i/>
          <w:iCs/>
          <w:sz w:val="24"/>
        </w:rPr>
        <w:t>Col1a1</w:t>
      </w:r>
      <w:r>
        <w:rPr>
          <w:rFonts w:ascii="Calibri" w:hAnsi="Calibri" w:cs="Calibri"/>
          <w:sz w:val="24"/>
        </w:rPr>
        <w:t xml:space="preserve"> and </w:t>
      </w:r>
      <w:r>
        <w:rPr>
          <w:rFonts w:ascii="Calibri" w:hAnsi="Calibri" w:cs="Calibri"/>
          <w:i/>
          <w:iCs/>
          <w:sz w:val="24"/>
        </w:rPr>
        <w:t xml:space="preserve">Fn1 </w:t>
      </w:r>
      <w:r>
        <w:rPr>
          <w:rFonts w:ascii="Calibri" w:hAnsi="Calibri" w:cs="Calibri"/>
          <w:sz w:val="24"/>
        </w:rPr>
        <w:t>in control, 7-day, and 21-day post-bleomycin treatment samples, corresponding to Figure 5E.</w:t>
      </w:r>
    </w:p>
    <w:p w14:paraId="51AB7DEC">
      <w:pPr>
        <w:widowControl/>
        <w:snapToGrid w:val="0"/>
        <w:spacing w:line="480" w:lineRule="auto"/>
        <w:jc w:val="left"/>
        <w:rPr>
          <w:rFonts w:ascii="Calibri" w:hAnsi="Calibri" w:cs="Calibri"/>
        </w:rPr>
      </w:pPr>
    </w:p>
    <w:sectPr>
      <w:footerReference r:id="rId3" w:type="default"/>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DengXian">
    <w:altName w:val="汉仪中等线KW"/>
    <w:panose1 w:val="00000000000000000000"/>
    <w:charset w:val="00"/>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黑体">
    <w:altName w:val="汉仪中黑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644B2">
    <w:pPr>
      <w:pStyle w:val="4"/>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217AE3">
                          <w:pPr>
                            <w:pStyle w:val="4"/>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45217AE3">
                    <w:pPr>
                      <w:pStyle w:val="4"/>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A93C5"/>
    <w:multiLevelType w:val="singleLevel"/>
    <w:tmpl w:val="BF6A93C5"/>
    <w:lvl w:ilvl="0" w:tentative="0">
      <w:start w:val="1"/>
      <w:numFmt w:val="upperLetter"/>
      <w:suff w:val="space"/>
      <w:lvlText w:val="(%1)"/>
      <w:lvlJc w:val="left"/>
      <w:rPr>
        <w:rFonts w:hint="default"/>
        <w:b w:val="0"/>
        <w:bCs w:val="0"/>
      </w:rPr>
    </w:lvl>
  </w:abstractNum>
  <w:abstractNum w:abstractNumId="1">
    <w:nsid w:val="E9F19578"/>
    <w:multiLevelType w:val="singleLevel"/>
    <w:tmpl w:val="E9F19578"/>
    <w:lvl w:ilvl="0" w:tentative="0">
      <w:start w:val="1"/>
      <w:numFmt w:val="upperLetter"/>
      <w:suff w:val="space"/>
      <w:lvlText w:val="(%1)"/>
      <w:lvlJc w:val="left"/>
    </w:lvl>
  </w:abstractNum>
  <w:abstractNum w:abstractNumId="2">
    <w:nsid w:val="4FE46D84"/>
    <w:multiLevelType w:val="singleLevel"/>
    <w:tmpl w:val="4FE46D84"/>
    <w:lvl w:ilvl="0" w:tentative="0">
      <w:start w:val="2"/>
      <w:numFmt w:val="upperLetter"/>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5"/>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9EB"/>
    <w:rsid w:val="00066405"/>
    <w:rsid w:val="000B4640"/>
    <w:rsid w:val="00126557"/>
    <w:rsid w:val="00161C9F"/>
    <w:rsid w:val="001818D5"/>
    <w:rsid w:val="001B1FD4"/>
    <w:rsid w:val="00241A65"/>
    <w:rsid w:val="002B4242"/>
    <w:rsid w:val="003430B8"/>
    <w:rsid w:val="00352E3E"/>
    <w:rsid w:val="003A0DA5"/>
    <w:rsid w:val="00406317"/>
    <w:rsid w:val="004949D5"/>
    <w:rsid w:val="004F213F"/>
    <w:rsid w:val="004F671E"/>
    <w:rsid w:val="004F7074"/>
    <w:rsid w:val="00516A36"/>
    <w:rsid w:val="005417BB"/>
    <w:rsid w:val="00670FFA"/>
    <w:rsid w:val="006822C8"/>
    <w:rsid w:val="006C456D"/>
    <w:rsid w:val="0070740A"/>
    <w:rsid w:val="00744B15"/>
    <w:rsid w:val="007475F2"/>
    <w:rsid w:val="007D37E5"/>
    <w:rsid w:val="007E6A1B"/>
    <w:rsid w:val="007F666C"/>
    <w:rsid w:val="00831EB0"/>
    <w:rsid w:val="008D14FE"/>
    <w:rsid w:val="00A51AAD"/>
    <w:rsid w:val="00A81436"/>
    <w:rsid w:val="00A84483"/>
    <w:rsid w:val="00B7518B"/>
    <w:rsid w:val="00BD4EE4"/>
    <w:rsid w:val="00C25BE1"/>
    <w:rsid w:val="00C5547A"/>
    <w:rsid w:val="00CA6C8F"/>
    <w:rsid w:val="00CD2829"/>
    <w:rsid w:val="00D24227"/>
    <w:rsid w:val="00D322C3"/>
    <w:rsid w:val="00D63394"/>
    <w:rsid w:val="00D9603A"/>
    <w:rsid w:val="00D9629C"/>
    <w:rsid w:val="00DB79EB"/>
    <w:rsid w:val="00DC5AAD"/>
    <w:rsid w:val="00DE006F"/>
    <w:rsid w:val="00E43082"/>
    <w:rsid w:val="00EE51D2"/>
    <w:rsid w:val="00F97A19"/>
    <w:rsid w:val="00FA2FC9"/>
    <w:rsid w:val="00FE1F38"/>
    <w:rsid w:val="12A86339"/>
    <w:rsid w:val="363BB5AB"/>
    <w:rsid w:val="5D7DFB1D"/>
    <w:rsid w:val="7581258C"/>
    <w:rsid w:val="77797CC8"/>
    <w:rsid w:val="7DFB3AB8"/>
    <w:rsid w:val="7FE31854"/>
    <w:rsid w:val="7FFB325D"/>
    <w:rsid w:val="7FFCC9FD"/>
    <w:rsid w:val="9F7D709A"/>
    <w:rsid w:val="A13FE992"/>
    <w:rsid w:val="BA29EAF1"/>
    <w:rsid w:val="DD9FC46D"/>
    <w:rsid w:val="DED74046"/>
    <w:rsid w:val="EF7C4FB8"/>
    <w:rsid w:val="F5EEE6F8"/>
    <w:rsid w:val="F7D6B52C"/>
    <w:rsid w:val="FB1F9C55"/>
    <w:rsid w:val="FF7B05CD"/>
    <w:rsid w:val="FF7F68FD"/>
    <w:rsid w:val="FFB325D0"/>
    <w:rsid w:val="FFBDDA83"/>
    <w:rsid w:val="FFDF00AA"/>
    <w:rsid w:val="FFEFDF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line number"/>
    <w:basedOn w:val="8"/>
    <w:semiHidden/>
    <w:unhideWhenUsed/>
    <w:uiPriority w:val="99"/>
  </w:style>
  <w:style w:type="character" w:customStyle="1" w:styleId="10">
    <w:name w:val="页眉 字符"/>
    <w:basedOn w:val="8"/>
    <w:link w:val="5"/>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msonormal"/>
    <w:basedOn w:val="1"/>
    <w:uiPriority w:val="0"/>
    <w:pPr>
      <w:widowControl/>
      <w:spacing w:before="100" w:beforeAutospacing="1" w:after="100" w:afterAutospacing="1"/>
      <w:jc w:val="left"/>
    </w:pPr>
    <w:rPr>
      <w:rFonts w:ascii="宋体" w:hAnsi="宋体" w:eastAsia="宋体" w:cs="宋体"/>
      <w:kern w:val="0"/>
      <w:sz w:val="24"/>
    </w:rPr>
  </w:style>
  <w:style w:type="paragraph" w:customStyle="1" w:styleId="13">
    <w:name w:val="font0"/>
    <w:basedOn w:val="1"/>
    <w:qFormat/>
    <w:uiPriority w:val="0"/>
    <w:pPr>
      <w:widowControl/>
      <w:spacing w:before="100" w:beforeAutospacing="1" w:after="100" w:afterAutospacing="1"/>
      <w:jc w:val="left"/>
    </w:pPr>
    <w:rPr>
      <w:rFonts w:ascii="等线" w:hAnsi="等线" w:eastAsia="等线" w:cs="宋体"/>
      <w:color w:val="000000"/>
      <w:kern w:val="0"/>
      <w:sz w:val="22"/>
      <w:szCs w:val="22"/>
    </w:rPr>
  </w:style>
  <w:style w:type="paragraph" w:customStyle="1" w:styleId="14">
    <w:name w:val="font1"/>
    <w:basedOn w:val="1"/>
    <w:qFormat/>
    <w:uiPriority w:val="0"/>
    <w:pPr>
      <w:widowControl/>
      <w:spacing w:before="100" w:beforeAutospacing="1" w:after="100" w:afterAutospacing="1"/>
      <w:jc w:val="left"/>
    </w:pPr>
    <w:rPr>
      <w:rFonts w:ascii="等线" w:hAnsi="等线" w:eastAsia="等线" w:cs="宋体"/>
      <w:color w:val="000000"/>
      <w:kern w:val="0"/>
      <w:sz w:val="22"/>
      <w:szCs w:val="22"/>
    </w:rPr>
  </w:style>
  <w:style w:type="paragraph" w:customStyle="1" w:styleId="15">
    <w:name w:val="font2"/>
    <w:basedOn w:val="1"/>
    <w:qFormat/>
    <w:uiPriority w:val="0"/>
    <w:pPr>
      <w:widowControl/>
      <w:spacing w:before="100" w:beforeAutospacing="1" w:after="100" w:afterAutospacing="1"/>
      <w:jc w:val="left"/>
    </w:pPr>
    <w:rPr>
      <w:rFonts w:ascii="等线" w:hAnsi="等线" w:eastAsia="等线" w:cs="宋体"/>
      <w:b/>
      <w:bCs/>
      <w:color w:val="000000"/>
      <w:kern w:val="0"/>
      <w:sz w:val="22"/>
      <w:szCs w:val="22"/>
    </w:rPr>
  </w:style>
  <w:style w:type="paragraph" w:customStyle="1" w:styleId="16">
    <w:name w:val="font3"/>
    <w:basedOn w:val="1"/>
    <w:qFormat/>
    <w:uiPriority w:val="0"/>
    <w:pPr>
      <w:widowControl/>
      <w:spacing w:before="100" w:beforeAutospacing="1" w:after="100" w:afterAutospacing="1"/>
      <w:jc w:val="left"/>
    </w:pPr>
    <w:rPr>
      <w:rFonts w:ascii="等线" w:hAnsi="等线" w:eastAsia="等线" w:cs="宋体"/>
      <w:b/>
      <w:bCs/>
      <w:color w:val="000000"/>
      <w:kern w:val="0"/>
      <w:sz w:val="22"/>
      <w:szCs w:val="22"/>
    </w:rPr>
  </w:style>
  <w:style w:type="paragraph" w:customStyle="1" w:styleId="17">
    <w:name w:val="et2"/>
    <w:basedOn w:val="1"/>
    <w:qFormat/>
    <w:uiPriority w:val="0"/>
    <w:pPr>
      <w:widowControl/>
      <w:spacing w:before="100" w:beforeAutospacing="1" w:after="100" w:afterAutospacing="1"/>
      <w:jc w:val="left"/>
    </w:pPr>
    <w:rPr>
      <w:rFonts w:ascii="宋体" w:hAnsi="宋体" w:eastAsia="宋体" w:cs="宋体"/>
      <w:color w:val="000000"/>
      <w:kern w:val="0"/>
      <w:sz w:val="24"/>
    </w:rPr>
  </w:style>
  <w:style w:type="paragraph" w:customStyle="1" w:styleId="18">
    <w:name w:val="et4"/>
    <w:basedOn w:val="1"/>
    <w:qFormat/>
    <w:uiPriority w:val="0"/>
    <w:pPr>
      <w:widowControl/>
      <w:spacing w:before="100" w:beforeAutospacing="1" w:after="100" w:afterAutospacing="1"/>
      <w:jc w:val="left"/>
    </w:pPr>
    <w:rPr>
      <w:rFonts w:ascii="宋体" w:hAnsi="宋体" w:eastAsia="宋体" w:cs="宋体"/>
      <w:b/>
      <w:bCs/>
      <w:kern w:val="0"/>
      <w:sz w:val="24"/>
    </w:rPr>
  </w:style>
  <w:style w:type="paragraph" w:customStyle="1" w:styleId="19">
    <w:name w:val="et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b/>
      <w:bCs/>
      <w:color w:val="000000"/>
      <w:kern w:val="0"/>
      <w:sz w:val="24"/>
    </w:rPr>
  </w:style>
  <w:style w:type="paragraph" w:customStyle="1" w:styleId="20">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b/>
      <w:bCs/>
      <w:kern w:val="0"/>
      <w:sz w:val="24"/>
    </w:rPr>
  </w:style>
  <w:style w:type="paragraph" w:customStyle="1" w:styleId="21">
    <w:name w:val="et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4"/>
    </w:rPr>
  </w:style>
  <w:style w:type="paragraph" w:customStyle="1" w:styleId="22">
    <w:name w:val="et10"/>
    <w:basedOn w:val="1"/>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kern w:val="0"/>
      <w:sz w:val="24"/>
    </w:rPr>
  </w:style>
  <w:style w:type="paragraph" w:customStyle="1" w:styleId="2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eastAsia="宋体" w:cs="宋体"/>
      <w:color w:val="000000"/>
      <w:kern w:val="0"/>
      <w:sz w:val="24"/>
    </w:rPr>
  </w:style>
  <w:style w:type="paragraph" w:customStyle="1" w:styleId="24">
    <w:name w:val="书目1"/>
    <w:basedOn w:val="1"/>
    <w:next w:val="1"/>
    <w:unhideWhenUsed/>
    <w:qFormat/>
    <w:uiPriority w:val="37"/>
  </w:style>
  <w:style w:type="paragraph" w:customStyle="1" w:styleId="25">
    <w:name w:val="书目2"/>
    <w:basedOn w:val="1"/>
    <w:next w:val="1"/>
    <w:unhideWhenUsed/>
    <w:uiPriority w:val="37"/>
    <w:pPr>
      <w:spacing w:after="240"/>
    </w:pPr>
  </w:style>
  <w:style w:type="paragraph" w:customStyle="1" w:styleId="26">
    <w:name w:val="Revision"/>
    <w:hidden/>
    <w:unhideWhenUsed/>
    <w:uiPriority w:val="99"/>
    <w:rPr>
      <w:rFonts w:asciiTheme="minorHAnsi" w:hAnsiTheme="minorHAnsi" w:eastAsiaTheme="minorEastAsia" w:cstheme="minorBidi"/>
      <w:kern w:val="2"/>
      <w:sz w:val="21"/>
      <w:szCs w:val="24"/>
      <w:lang w:val="en-US" w:eastAsia="zh-CN" w:bidi="ar-SA"/>
    </w:rPr>
  </w:style>
  <w:style w:type="paragraph" w:customStyle="1" w:styleId="27">
    <w:name w:val="Bibliography"/>
    <w:basedOn w:val="1"/>
    <w:next w:val="1"/>
    <w:unhideWhenUsed/>
    <w:uiPriority w:val="37"/>
  </w:style>
  <w:style w:type="paragraph" w:styleId="28">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24</Pages>
  <Words>1893</Words>
  <Characters>11592</Characters>
  <Lines>289</Lines>
  <Paragraphs>107</Paragraphs>
  <TotalTime>475</TotalTime>
  <ScaleCrop>false</ScaleCrop>
  <LinksUpToDate>false</LinksUpToDate>
  <CharactersWithSpaces>13378</CharactersWithSpaces>
  <Application>WPS Office_12.1.24703.24703_F1E327BC-269C-435d-A152-05C5408002CA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2026-07-09T13:28:00Z</dcterms:created>
  <dc:creator>Administrator</dc:creator>
  <cp:lastModifiedBy>Jia Li</cp:lastModifiedBy>
  <dcterms:modified xsi:type="dcterms:W3CDTF">2026-07-14T20:41:58Z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eyJoZGlkIjoiNjc4OWUxMTE5NjhhMGM2MjY1ZDllYTQ3ZTFhOWJmZDgiLCJ1c2VySWQiOiI0NTIwMzQ0MjEifQ==</vt:lpwstr>
  </property>
  <property fmtid="{D5CDD505-2E9C-101B-9397-08002B2CF9AE}" pid="3" name="KSOProductBuildVer">
    <vt:lpwstr>2052-12.1.24703.24703</vt:lpwstr>
  </property>
  <property fmtid="{D5CDD505-2E9C-101B-9397-08002B2CF9AE}" pid="4" name="ICV">
    <vt:lpwstr>16BC8D0D0D4E417CB059A6DB708CCF2E_12</vt:lpwstr>
  </property>
  <property fmtid="{D5CDD505-2E9C-101B-9397-08002B2CF9AE}" pid="5" name="ZOTERO_PREF_1">
    <vt:lpwstr>&lt;data data-version="3" zotero-version="8.0.4"&gt;&lt;session id="6xCFjeI3"/&gt;&lt;style id="http://www.zotero.org/styles/genome-medicine" hasBibliography="1" bibliographyStyleHasBeenSet="1"/&gt;&lt;prefs&gt;&lt;pref name="fieldType" value="Field"/&gt;&lt;/prefs&gt;&lt;/data&gt;</vt:lpwstr>
  </property>
</Properties>
</file>