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167F8">
      <w:pPr>
        <w:rPr>
          <w:rFonts w:hint="eastAsia"/>
          <w:highlight w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highlight w:val="none"/>
        </w:rPr>
        <w:t>Table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  <w:lang w:val="en-US" w:eastAsia="zh-CN"/>
        </w:rPr>
        <w:t xml:space="preserve"> S</w:t>
      </w:r>
      <w:r>
        <w:rPr>
          <w:rFonts w:ascii="Times New Roman" w:hAnsi="Times New Roman" w:eastAsia="宋体" w:cs="Times New Roman"/>
          <w:b/>
          <w:bCs/>
          <w:kern w:val="0"/>
          <w:sz w:val="24"/>
          <w:highlight w:val="none"/>
        </w:rPr>
        <w:t xml:space="preserve">1. Demographic and clinicopathological characteristics of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</w:rPr>
        <w:t>HC, patients with BAM and patients with OC.</w:t>
      </w:r>
    </w:p>
    <w:tbl>
      <w:tblPr>
        <w:tblStyle w:val="17"/>
        <w:tblW w:w="4797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5"/>
        <w:gridCol w:w="1766"/>
        <w:gridCol w:w="1827"/>
        <w:gridCol w:w="261"/>
        <w:gridCol w:w="1681"/>
        <w:gridCol w:w="1901"/>
      </w:tblGrid>
      <w:tr w14:paraId="5384B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574527C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  <w:t>Characteristics</w:t>
            </w:r>
          </w:p>
        </w:tc>
        <w:tc>
          <w:tcPr>
            <w:tcW w:w="879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1314EB1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  <w:t xml:space="preserve">Xijing Hospital </w:t>
            </w:r>
          </w:p>
        </w:tc>
        <w:tc>
          <w:tcPr>
            <w:tcW w:w="909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219FFBE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  <w:t xml:space="preserve">Tangdu Hospital </w:t>
            </w:r>
          </w:p>
        </w:tc>
        <w:tc>
          <w:tcPr>
            <w:tcW w:w="96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18EDA0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  <w:t>Fudan University Shanghai Cancer Center</w:t>
            </w:r>
          </w:p>
        </w:tc>
        <w:tc>
          <w:tcPr>
            <w:tcW w:w="946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FC8AA9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  <w:t>Tumor Hospital Affiliated to Xinjiang Medical University</w:t>
            </w:r>
          </w:p>
        </w:tc>
      </w:tr>
      <w:tr w14:paraId="16F73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1236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  <w:t>Total, n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91CF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  <w:t>966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9CA3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  <w:t>376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AF4B5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  <w:t>290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BDA0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153</w:t>
            </w:r>
          </w:p>
        </w:tc>
      </w:tr>
      <w:tr w14:paraId="4357E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A6EF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  <w:t>Healthy control (n)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0A85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  <w:t>394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8016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  <w:t>156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BA64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  <w:t>120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FBB9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56</w:t>
            </w:r>
          </w:p>
        </w:tc>
      </w:tr>
      <w:tr w14:paraId="58295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96F9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Age, mean years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range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BAE5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55.1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43 - 71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BB39E">
            <w:pPr>
              <w:widowControl/>
              <w:ind w:right="-94" w:rightChars="-45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5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2.2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26 - 76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68BD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5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1.5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27 - 73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7563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49.1 (24 - 72)</w:t>
            </w:r>
          </w:p>
        </w:tc>
      </w:tr>
      <w:tr w14:paraId="75401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AA44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Men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strual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status</w:t>
            </w:r>
            <w:r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  <w:t>, n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  <w:t>(%)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E0DB0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01278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A17743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3BD3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</w:tr>
      <w:tr w14:paraId="718A9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1DB23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bookmarkStart w:id="0" w:name="OLE_LINK3" w:colFirst="2" w:colLast="2"/>
            <w:bookmarkStart w:id="1" w:name="OLE_LINK1" w:colFirst="1" w:colLast="3"/>
            <w:bookmarkStart w:id="2" w:name="OLE_LINK2" w:colFirst="1" w:colLast="1"/>
            <w:bookmarkStart w:id="3" w:name="OLE_LINK4" w:colFirst="3" w:colLast="3"/>
            <w:r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  <w:t>Premenopausal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0B8D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121 (30.71%)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F0C66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60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(3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8.46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%)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77E1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43.33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3D473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25 (44.64%)</w:t>
            </w:r>
          </w:p>
        </w:tc>
      </w:tr>
      <w:tr w14:paraId="19E5E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DBADC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  <w:t>Postmenopausal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628C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273 (69.29%)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7C74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96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(6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1.54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%)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55B8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8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56.67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DAADF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31 (55.36%)</w:t>
            </w:r>
          </w:p>
        </w:tc>
      </w:tr>
      <w:tr w14:paraId="31D6D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ADA2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Parity, n (%)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0C28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4324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A8BB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1E8F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</w:tr>
      <w:tr w14:paraId="17F45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FC01F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≤1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A24E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106 (26.9%)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E5876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57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(36.54%)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87848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34 (28.33%)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FBD1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22 (39.29%)</w:t>
            </w:r>
          </w:p>
        </w:tc>
      </w:tr>
      <w:tr w14:paraId="619C7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ED5ED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≥2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1BE8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288 (73.1%)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B86F8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99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(63.46%)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A95F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86 (71.67%)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83DA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34 (60.71%)</w:t>
            </w:r>
          </w:p>
        </w:tc>
      </w:tr>
      <w:bookmarkEnd w:id="0"/>
      <w:bookmarkEnd w:id="1"/>
      <w:bookmarkEnd w:id="2"/>
      <w:bookmarkEnd w:id="3"/>
      <w:tr w14:paraId="2D0C9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75C3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Benign adnexal mass (n)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9D4D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188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6352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70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23A9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51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4BF0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34</w:t>
            </w:r>
          </w:p>
        </w:tc>
      </w:tr>
      <w:tr w14:paraId="635D4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5BC4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Age, mean years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range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4EEB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52.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26 - 78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6FD8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5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27 - 66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836F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51.5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32 - 67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D2D8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50.2 (25 - 71)</w:t>
            </w:r>
          </w:p>
        </w:tc>
      </w:tr>
      <w:tr w14:paraId="439BD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4F6A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Men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strual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status, n (%)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7E58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D12A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0993B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4E3F9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</w:tr>
      <w:tr w14:paraId="69CE3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8D9CF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bookmarkStart w:id="4" w:name="OLE_LINK11" w:colFirst="1" w:colLast="3"/>
            <w:bookmarkStart w:id="5" w:name="OLE_LINK7" w:colFirst="3" w:colLast="3"/>
            <w:bookmarkStart w:id="6" w:name="OLE_LINK5" w:colFirst="1" w:colLast="1"/>
            <w:bookmarkStart w:id="7" w:name="OLE_LINK6" w:colFirst="2" w:colLast="2"/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Premenopausal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8DB3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50 (26.60%)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F11D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6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(3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7.14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%)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B5F4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19 (37.25%)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667A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14 (41.18%)</w:t>
            </w:r>
          </w:p>
        </w:tc>
      </w:tr>
      <w:tr w14:paraId="5A9DC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A5912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Postmenopausal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7D3D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138 (73.40%)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95CF5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4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62.86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%)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F40D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32 (62.75%)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63ED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20 (58.82%)</w:t>
            </w:r>
          </w:p>
        </w:tc>
      </w:tr>
      <w:bookmarkEnd w:id="4"/>
      <w:bookmarkEnd w:id="5"/>
      <w:bookmarkEnd w:id="6"/>
      <w:bookmarkEnd w:id="7"/>
      <w:tr w14:paraId="74481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B89B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Parity, n (%)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FFEC4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D5648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3E105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884CA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</w:tr>
      <w:tr w14:paraId="1A840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CCAF1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≤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2791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46 (24.47%)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C0C7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18 (25.71%)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647E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12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.53%)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8803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26.47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%)</w:t>
            </w:r>
          </w:p>
        </w:tc>
      </w:tr>
      <w:tr w14:paraId="73979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D3688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≥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1AA9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142 (75.53%)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9482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52 (74.29%)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0F08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39 (76.47%)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D7F4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 xml:space="preserve">25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73.53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%)</w:t>
            </w:r>
          </w:p>
        </w:tc>
      </w:tr>
      <w:tr w14:paraId="72D96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CE3A3">
            <w:pPr>
              <w:widowControl/>
              <w:textAlignment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Lesion diameter, n (%)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5B80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2FB1A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8049D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513C9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</w:tr>
      <w:tr w14:paraId="1E738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73A8A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≤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5 cm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A76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70 (37.23%)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96AE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29 (41.43%)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F217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22 (43.14%)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65FA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10 (29.41%)</w:t>
            </w:r>
          </w:p>
        </w:tc>
      </w:tr>
      <w:tr w14:paraId="27DC4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78105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&gt;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5 cm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90EA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118 (62.77%)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D9D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41 (58.57%)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9710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29 (56.86%)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7E98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24 (70.59%)</w:t>
            </w:r>
          </w:p>
        </w:tc>
      </w:tr>
      <w:tr w14:paraId="54410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4B15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BAM histology, n (%)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43B8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CC3F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5F85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26BA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</w:tr>
      <w:tr w14:paraId="00993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A4A88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Serous cystadenomas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A2556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62 (32.98%)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73D98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26 (37.14%)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2B288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15 (29.41%)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C9FBC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12 (35.29%)</w:t>
            </w:r>
          </w:p>
        </w:tc>
      </w:tr>
      <w:tr w14:paraId="5A44E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9864D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Mucinous cystadenomas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203F4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43 (22.87%)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E622A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19 (27.14%)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889369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14 (27.45%)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A4122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12 (35.29%)</w:t>
            </w:r>
          </w:p>
        </w:tc>
      </w:tr>
      <w:tr w14:paraId="49456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2C69D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Fibromas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A24D7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28 (14.89%)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42199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10 (14.29%)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9CE17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7 (13.73%)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7683A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2 (5.88%)</w:t>
            </w:r>
          </w:p>
        </w:tc>
      </w:tr>
      <w:tr w14:paraId="5DA73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684BB">
            <w:pPr>
              <w:widowControl/>
              <w:jc w:val="right"/>
              <w:textAlignment w:val="center"/>
              <w:rPr>
                <w:rFonts w:hint="eastAsia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Endometriosi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54563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11 (5.85%)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3972F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3 (4.29%)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A5E81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5 (9.80%)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674B5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3 (8.82%)</w:t>
            </w:r>
          </w:p>
        </w:tc>
      </w:tr>
      <w:tr w14:paraId="2AFA0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7809B">
            <w:pPr>
              <w:widowControl/>
              <w:jc w:val="right"/>
              <w:textAlignment w:val="center"/>
              <w:rPr>
                <w:rFonts w:hint="eastAsia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Hydrosalpinx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14359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10 (5.32%)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B6F101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1 (1.43%)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60B3E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0 (0%)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18A02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1 (2.94%)</w:t>
            </w:r>
          </w:p>
        </w:tc>
      </w:tr>
      <w:tr w14:paraId="4AF4B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6594B">
            <w:pPr>
              <w:widowControl/>
              <w:jc w:val="right"/>
              <w:textAlignment w:val="center"/>
              <w:rPr>
                <w:rFonts w:hint="eastAsia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Other rare benign lesions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F312C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34 (18.09%)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36D65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11 (15.71%)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B619F">
            <w:pPr>
              <w:widowControl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10 (19.61%)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5A943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4 (11.76%)</w:t>
            </w:r>
          </w:p>
        </w:tc>
      </w:tr>
      <w:tr w14:paraId="476ED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CE907">
            <w:pPr>
              <w:widowControl/>
              <w:jc w:val="left"/>
              <w:textAlignment w:val="center"/>
              <w:rPr>
                <w:rFonts w:hint="eastAsia" w:ascii="Times New Roman" w:hAnsi="Times New Roman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Ultrasound O-RADS categories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, n (%)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4802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B3D0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E065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21A6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</w:pPr>
          </w:p>
        </w:tc>
      </w:tr>
      <w:tr w14:paraId="5E819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41DD8">
            <w:pPr>
              <w:widowControl/>
              <w:jc w:val="right"/>
              <w:textAlignment w:val="center"/>
              <w:rPr>
                <w:rFonts w:hint="eastAsia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O-RADS 3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12DA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86 (45.74%)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89D1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29 (41.43%)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0526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23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45.10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74C5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18 (52.94%)</w:t>
            </w:r>
          </w:p>
        </w:tc>
      </w:tr>
      <w:tr w14:paraId="42168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3E5E1">
            <w:pPr>
              <w:widowControl/>
              <w:jc w:val="right"/>
              <w:textAlignment w:val="center"/>
              <w:rPr>
                <w:rFonts w:hint="eastAsia" w:ascii="Times New Roman" w:hAnsi="Times New Roman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O-RADS 4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6F69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91 (48.40%)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4B31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37 (52.86%)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DCDE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49.02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196E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14 (41.18%)</w:t>
            </w:r>
          </w:p>
        </w:tc>
      </w:tr>
      <w:tr w14:paraId="6BC0A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F1635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O-RADS 5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3E4F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11 (5.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86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3BF5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4 (5.71%)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0E7E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3 (5.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88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CD5AA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2 (5.88%)</w:t>
            </w:r>
          </w:p>
        </w:tc>
      </w:tr>
      <w:tr w14:paraId="1A50D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968C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  <w:t>Ovarian cancer (n)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4D0C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384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AA80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150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CFBC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119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3D1E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63</w:t>
            </w:r>
          </w:p>
        </w:tc>
      </w:tr>
      <w:tr w14:paraId="60234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41C4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Age, mean years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range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C87D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5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5.5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30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- 80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2F1C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55.4</w:t>
            </w:r>
            <w:r>
              <w:rPr>
                <w:rFonts w:ascii="Times New Roman" w:hAnsi="Times New Roman" w:cs="Times New Roman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24 - 81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165F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53.1 (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25 - 79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9C5E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54.6 (27 - 78)</w:t>
            </w:r>
          </w:p>
        </w:tc>
      </w:tr>
      <w:tr w14:paraId="63829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5E2A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Men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strual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status, n (%)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60DD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103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EE3A0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F5322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519B2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</w:tr>
      <w:tr w14:paraId="4D0FB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2D9E4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Premenopausal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DD08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120 (31.25%)</w:t>
            </w:r>
          </w:p>
        </w:tc>
        <w:tc>
          <w:tcPr>
            <w:tcW w:w="103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5969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41 (27.33%)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E3C7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51 (42.86%)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AA5D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18 (28.57%)</w:t>
            </w:r>
          </w:p>
        </w:tc>
      </w:tr>
      <w:tr w14:paraId="5EFFE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02D4A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Postmenopausal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629B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264 (68.75%)</w:t>
            </w:r>
          </w:p>
        </w:tc>
        <w:tc>
          <w:tcPr>
            <w:tcW w:w="103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BA71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109 (72.67%)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664D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68 (57.14%)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2E58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45 (71.43%)</w:t>
            </w:r>
          </w:p>
        </w:tc>
      </w:tr>
      <w:tr w14:paraId="6155B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8B33F"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Parity, n (%)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15819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103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D8A4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DAAEB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833A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</w:tr>
      <w:tr w14:paraId="14F57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7B8BF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≤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752E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186 (48.44%)</w:t>
            </w:r>
          </w:p>
        </w:tc>
        <w:tc>
          <w:tcPr>
            <w:tcW w:w="103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32CE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62 (41.33%)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E3F0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51 (42.86%)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4699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24 (38.10%)</w:t>
            </w:r>
          </w:p>
        </w:tc>
      </w:tr>
      <w:tr w14:paraId="72DC5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E7FA4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≥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39A4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198 (51.56%)</w:t>
            </w:r>
          </w:p>
        </w:tc>
        <w:tc>
          <w:tcPr>
            <w:tcW w:w="103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3997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88 (58.67%)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3897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68 (57.14%)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52C0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39 (61.90%)</w:t>
            </w:r>
          </w:p>
        </w:tc>
      </w:tr>
      <w:tr w14:paraId="26927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BBBC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Lesion diameter, n (%)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00707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A7ECC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F1721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FAD96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1CD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FE4C3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8" w:name="OLE_LINK9" w:colFirst="2" w:colLast="2"/>
            <w:bookmarkStart w:id="9" w:name="OLE_LINK10" w:colFirst="3" w:colLast="3"/>
            <w:bookmarkStart w:id="10" w:name="OLE_LINK8" w:colFirst="1" w:colLast="1"/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≤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5 cm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7ACF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167 (43.49%)</w:t>
            </w:r>
          </w:p>
        </w:tc>
        <w:tc>
          <w:tcPr>
            <w:tcW w:w="103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4167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47 (31.33%)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EB8A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49 (41.18%)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0BAA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 (31.75%)</w:t>
            </w:r>
          </w:p>
        </w:tc>
      </w:tr>
      <w:tr w14:paraId="7904D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73C62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&gt; 5 cm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43E9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217 (56.51%)</w:t>
            </w:r>
          </w:p>
        </w:tc>
        <w:tc>
          <w:tcPr>
            <w:tcW w:w="103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1E92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103 (68.67%)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AE6F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70 (58.82%)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1CFC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43 (68.25%)</w:t>
            </w:r>
          </w:p>
        </w:tc>
      </w:tr>
      <w:bookmarkEnd w:id="8"/>
      <w:bookmarkEnd w:id="9"/>
      <w:bookmarkEnd w:id="10"/>
      <w:tr w14:paraId="516D7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F022B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FIGO s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tage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3181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0B5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9121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FD92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234F4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9BBC8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I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A5F7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130 (33.85%)</w:t>
            </w:r>
          </w:p>
        </w:tc>
        <w:tc>
          <w:tcPr>
            <w:tcW w:w="10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0C130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26 (17.33%)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F60C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29 (24.37%)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2B02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11 (17.46%)</w:t>
            </w:r>
          </w:p>
        </w:tc>
      </w:tr>
      <w:tr w14:paraId="75A63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9BE8B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II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FFC4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74 (19.27%)</w:t>
            </w:r>
          </w:p>
        </w:tc>
        <w:tc>
          <w:tcPr>
            <w:tcW w:w="10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11C18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11 (7.33%)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2E54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10 (8.40%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DC83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8 (12.70%)</w:t>
            </w:r>
          </w:p>
        </w:tc>
      </w:tr>
      <w:tr w14:paraId="0230B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83D82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III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C900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114 (29.69%)</w:t>
            </w:r>
          </w:p>
        </w:tc>
        <w:tc>
          <w:tcPr>
            <w:tcW w:w="10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F04C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73 (48.67%)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85AF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52 (43.70%)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5B5D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32 (50.79%)</w:t>
            </w:r>
          </w:p>
        </w:tc>
      </w:tr>
      <w:tr w14:paraId="5AFDB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DE04A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IV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24CF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66 (17.19%)</w:t>
            </w:r>
          </w:p>
        </w:tc>
        <w:tc>
          <w:tcPr>
            <w:tcW w:w="10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FE15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40 (26.67%)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4D49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28 (23.53%)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C51A1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12 (19.05%)</w:t>
            </w:r>
          </w:p>
        </w:tc>
      </w:tr>
      <w:tr w14:paraId="65A2C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D7B0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Histological types, n (%)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5927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0875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40F1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5CA7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3EF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ECC37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High-grade serous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D34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266 (69.27%)</w:t>
            </w:r>
          </w:p>
        </w:tc>
        <w:tc>
          <w:tcPr>
            <w:tcW w:w="10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5507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109 (72.67%)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BEE5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78 (65.55%)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DB9F2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34 (53.97%)</w:t>
            </w:r>
          </w:p>
        </w:tc>
      </w:tr>
      <w:tr w14:paraId="53137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8789F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Endometrioid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8320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40 (10.42%)</w:t>
            </w:r>
          </w:p>
        </w:tc>
        <w:tc>
          <w:tcPr>
            <w:tcW w:w="10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4B85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10 (6.67%)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1EF5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6 (5.04%)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229E3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8 (12.70%)</w:t>
            </w:r>
          </w:p>
        </w:tc>
      </w:tr>
      <w:tr w14:paraId="06448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A841D">
            <w:pPr>
              <w:widowControl/>
              <w:wordWrap w:val="0"/>
              <w:jc w:val="righ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Clear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cell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B45F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31 (8.07%)</w:t>
            </w:r>
          </w:p>
        </w:tc>
        <w:tc>
          <w:tcPr>
            <w:tcW w:w="10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90C0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15 (10.00%)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FFC0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10 (8.40%)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9B74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8 (12.70%)</w:t>
            </w:r>
          </w:p>
        </w:tc>
      </w:tr>
      <w:tr w14:paraId="3F125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502E3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Mucinous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C6DF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29 (7.55%)</w:t>
            </w:r>
          </w:p>
        </w:tc>
        <w:tc>
          <w:tcPr>
            <w:tcW w:w="10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3A31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8 (5.33%)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403E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18 (15.13%)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6293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7 (11.11%)</w:t>
            </w:r>
          </w:p>
        </w:tc>
      </w:tr>
      <w:tr w14:paraId="3AF81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8B4E4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Low-grade serous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0931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18 (4.69%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730A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8 (5.33%)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2F82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7 (5.88%)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4C17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6 (9.52%)</w:t>
            </w:r>
          </w:p>
        </w:tc>
      </w:tr>
      <w:tr w14:paraId="2EFF3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F0A5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Ultrasound O-RADS categories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, n (%)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D33B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10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64B4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129B1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DCF3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</w:tr>
      <w:tr w14:paraId="43728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B42E3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O-RADS 3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202C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16 (4.17%)</w:t>
            </w:r>
          </w:p>
        </w:tc>
        <w:tc>
          <w:tcPr>
            <w:tcW w:w="10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1E7C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7 (4.67%)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4D85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6 (5.04%)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49FF5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5 (7.94%)</w:t>
            </w:r>
          </w:p>
        </w:tc>
      </w:tr>
      <w:tr w14:paraId="43409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9F62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O-RADS 4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4596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82 (21.35%)</w:t>
            </w:r>
          </w:p>
        </w:tc>
        <w:tc>
          <w:tcPr>
            <w:tcW w:w="10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6C9B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26 (17.33%)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550A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23 (19.33%)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E19B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14 (22.22%)</w:t>
            </w:r>
          </w:p>
        </w:tc>
      </w:tr>
      <w:tr w14:paraId="253AD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A508774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O-RADS 5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E69491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286 (74.48%)</w:t>
            </w:r>
          </w:p>
        </w:tc>
        <w:tc>
          <w:tcPr>
            <w:tcW w:w="1039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825593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117 (78.00%)</w:t>
            </w:r>
          </w:p>
        </w:tc>
        <w:tc>
          <w:tcPr>
            <w:tcW w:w="83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BDD2BE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90 (75.63%)</w:t>
            </w: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BD5C41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44 (69.84%)</w:t>
            </w:r>
          </w:p>
        </w:tc>
      </w:tr>
    </w:tbl>
    <w:p w14:paraId="69949B44"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</w:pPr>
      <w:r>
        <w:rPr>
          <w:rFonts w:ascii="Times New Roman" w:hAnsi="Times New Roman" w:eastAsia="宋体" w:cs="Times New Roman"/>
          <w:kern w:val="0"/>
          <w:sz w:val="24"/>
          <w:highlight w:val="none"/>
        </w:rPr>
        <w:t xml:space="preserve">Abbreviation: </w:t>
      </w:r>
      <w:r>
        <w:rPr>
          <w:rFonts w:ascii="Times New Roman" w:hAnsi="Times New Roman" w:cs="Times New Roman"/>
          <w:sz w:val="24"/>
          <w:highlight w:val="none"/>
        </w:rPr>
        <w:t>HC, healthy control; BAM, benign adnexal masses; OC, ovarian cancer;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</w:rPr>
        <w:t>FIGO, International Federation of Gynecology and Obstetrics; O-RADS, Ovarian-Adnexal Reporting and Data System.</w:t>
      </w:r>
      <w:r>
        <w:rPr>
          <w:rFonts w:ascii="Times New Roman" w:hAnsi="Times New Roman" w:eastAsia="宋体" w:cs="Times New Roman"/>
          <w:kern w:val="0"/>
          <w:sz w:val="24"/>
          <w:highlight w:val="none"/>
        </w:rPr>
        <w:br w:type="textWrapping"/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Notes:</w:t>
      </w:r>
      <w:r>
        <w:rPr>
          <w:rFonts w:hint="eastAsia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</w:rPr>
        <w:t>a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The definition of with comorbidities is the presence of at least one of the following conditions: obesity, diabetes, or hypertension.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</w:rPr>
        <w:t>b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 The definition of without comorbidities is the absence of all three conditions: obesity, diabetes, and hypertension.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br w:type="page"/>
      </w:r>
    </w:p>
    <w:p w14:paraId="751C62F6">
      <w:pP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highlight w:val="none"/>
        </w:rPr>
        <w:t>Table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  <w:lang w:val="en-US" w:eastAsia="zh-CN"/>
        </w:rPr>
        <w:t xml:space="preserve"> S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</w:rPr>
        <w:t>2</w:t>
      </w:r>
      <w:r>
        <w:rPr>
          <w:rFonts w:ascii="Times New Roman" w:hAnsi="Times New Roman" w:eastAsia="宋体" w:cs="Times New Roman"/>
          <w:b/>
          <w:bCs/>
          <w:kern w:val="0"/>
          <w:sz w:val="24"/>
          <w:highlight w:val="none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</w:rPr>
        <w:t xml:space="preserve">Ethnic distribution of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  <w:lang w:val="en-US" w:eastAsia="zh-CN"/>
        </w:rPr>
        <w:t xml:space="preserve">the Chinese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</w:rPr>
        <w:t xml:space="preserve">minority participants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  <w:lang w:val="en-US" w:eastAsia="zh-CN"/>
        </w:rPr>
        <w:t>enrolled from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</w:rPr>
        <w:t xml:space="preserve"> Tumor Hospital Affiliated to Xinjiang Medical University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  <w:lang w:val="en-US" w:eastAsia="zh-CN"/>
        </w:rPr>
        <w:t>.</w:t>
      </w: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031"/>
        <w:gridCol w:w="2092"/>
        <w:gridCol w:w="2092"/>
        <w:gridCol w:w="2082"/>
      </w:tblGrid>
      <w:tr w14:paraId="6F9C6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199" w:type="dxa"/>
            <w:tcBorders>
              <w:left w:val="nil"/>
              <w:bottom w:val="single" w:color="auto" w:sz="4" w:space="0"/>
              <w:right w:val="nil"/>
            </w:tcBorders>
          </w:tcPr>
          <w:p w14:paraId="12C62D15"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Ethnicity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highlight w:val="none"/>
                <w:vertAlign w:val="superscript"/>
              </w:rPr>
              <w:t>a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, n (%)</w:t>
            </w:r>
          </w:p>
        </w:tc>
        <w:tc>
          <w:tcPr>
            <w:tcW w:w="2072" w:type="dxa"/>
            <w:tcBorders>
              <w:left w:val="nil"/>
              <w:bottom w:val="single" w:color="auto" w:sz="4" w:space="0"/>
              <w:right w:val="nil"/>
            </w:tcBorders>
          </w:tcPr>
          <w:p w14:paraId="30E45336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  <w:t>HC</w:t>
            </w:r>
          </w:p>
        </w:tc>
        <w:tc>
          <w:tcPr>
            <w:tcW w:w="2136" w:type="dxa"/>
            <w:tcBorders>
              <w:left w:val="nil"/>
              <w:bottom w:val="single" w:color="auto" w:sz="4" w:space="0"/>
              <w:right w:val="nil"/>
            </w:tcBorders>
          </w:tcPr>
          <w:p w14:paraId="42AF27FA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  <w:t>BAM</w:t>
            </w:r>
          </w:p>
        </w:tc>
        <w:tc>
          <w:tcPr>
            <w:tcW w:w="2136" w:type="dxa"/>
            <w:tcBorders>
              <w:left w:val="nil"/>
              <w:bottom w:val="single" w:color="auto" w:sz="4" w:space="0"/>
              <w:right w:val="nil"/>
            </w:tcBorders>
          </w:tcPr>
          <w:p w14:paraId="58D9F55B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  <w:t>OC</w:t>
            </w:r>
          </w:p>
        </w:tc>
        <w:tc>
          <w:tcPr>
            <w:tcW w:w="2136" w:type="dxa"/>
            <w:tcBorders>
              <w:left w:val="nil"/>
              <w:bottom w:val="single" w:color="auto" w:sz="4" w:space="0"/>
              <w:right w:val="nil"/>
            </w:tcBorders>
          </w:tcPr>
          <w:p w14:paraId="764B167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kern w:val="0"/>
                <w:sz w:val="24"/>
                <w:highlight w:val="none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 xml:space="preserve"> value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  <w:tr w14:paraId="4C7C8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9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73753FD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Uyghur</w:t>
            </w:r>
          </w:p>
        </w:tc>
        <w:tc>
          <w:tcPr>
            <w:tcW w:w="207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59A255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29 (51.79%)</w:t>
            </w:r>
          </w:p>
        </w:tc>
        <w:tc>
          <w:tcPr>
            <w:tcW w:w="213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946C27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24 (70.59%)</w:t>
            </w:r>
          </w:p>
        </w:tc>
        <w:tc>
          <w:tcPr>
            <w:tcW w:w="213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22B93D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43 (68.25%)</w:t>
            </w:r>
          </w:p>
        </w:tc>
        <w:tc>
          <w:tcPr>
            <w:tcW w:w="213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6E9F28C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0.7267</w:t>
            </w:r>
          </w:p>
        </w:tc>
      </w:tr>
      <w:tr w14:paraId="27E79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67263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Kazakh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3355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15 (26.79%)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B218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6 (17.65%)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01D9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12 (19.05%)</w:t>
            </w:r>
          </w:p>
        </w:tc>
        <w:tc>
          <w:tcPr>
            <w:tcW w:w="2136" w:type="dxa"/>
            <w:vMerge w:val="continue"/>
            <w:tcBorders>
              <w:left w:val="nil"/>
              <w:right w:val="nil"/>
            </w:tcBorders>
            <w:vAlign w:val="center"/>
          </w:tcPr>
          <w:p w14:paraId="339F656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702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8CF94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Hui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5D87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5 (8.93%)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81FA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2 (5.88%)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0E8A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 (6.35%)</w:t>
            </w:r>
          </w:p>
        </w:tc>
        <w:tc>
          <w:tcPr>
            <w:tcW w:w="2136" w:type="dxa"/>
            <w:vMerge w:val="continue"/>
            <w:tcBorders>
              <w:left w:val="nil"/>
              <w:right w:val="nil"/>
            </w:tcBorders>
            <w:vAlign w:val="center"/>
          </w:tcPr>
          <w:p w14:paraId="5C24357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2F2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4EF5B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Mongol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6818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4 (7.14%)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FF04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1 (2.94%)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DCAB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 (4.76%)</w:t>
            </w:r>
          </w:p>
        </w:tc>
        <w:tc>
          <w:tcPr>
            <w:tcW w:w="2136" w:type="dxa"/>
            <w:vMerge w:val="continue"/>
            <w:tcBorders>
              <w:left w:val="nil"/>
              <w:right w:val="nil"/>
            </w:tcBorders>
            <w:vAlign w:val="center"/>
          </w:tcPr>
          <w:p w14:paraId="54D1300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5EC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tcBorders>
              <w:top w:val="nil"/>
              <w:left w:val="nil"/>
              <w:right w:val="nil"/>
            </w:tcBorders>
            <w:vAlign w:val="center"/>
          </w:tcPr>
          <w:p w14:paraId="10B51AF3">
            <w:pPr>
              <w:widowControl/>
              <w:jc w:val="right"/>
              <w:textAlignment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Tajik</w:t>
            </w:r>
          </w:p>
        </w:tc>
        <w:tc>
          <w:tcPr>
            <w:tcW w:w="2072" w:type="dxa"/>
            <w:tcBorders>
              <w:top w:val="nil"/>
              <w:left w:val="nil"/>
              <w:right w:val="nil"/>
            </w:tcBorders>
            <w:vAlign w:val="center"/>
          </w:tcPr>
          <w:p w14:paraId="193A8F9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3 (5.35%)</w:t>
            </w:r>
          </w:p>
        </w:tc>
        <w:tc>
          <w:tcPr>
            <w:tcW w:w="2136" w:type="dxa"/>
            <w:tcBorders>
              <w:top w:val="nil"/>
              <w:left w:val="nil"/>
              <w:right w:val="nil"/>
            </w:tcBorders>
            <w:vAlign w:val="center"/>
          </w:tcPr>
          <w:p w14:paraId="16A434F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1 (2.94%)</w:t>
            </w:r>
          </w:p>
        </w:tc>
        <w:tc>
          <w:tcPr>
            <w:tcW w:w="2136" w:type="dxa"/>
            <w:tcBorders>
              <w:top w:val="nil"/>
              <w:left w:val="nil"/>
              <w:right w:val="nil"/>
            </w:tcBorders>
            <w:vAlign w:val="center"/>
          </w:tcPr>
          <w:p w14:paraId="2B56394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 (1.59%)</w:t>
            </w:r>
          </w:p>
        </w:tc>
        <w:tc>
          <w:tcPr>
            <w:tcW w:w="2136" w:type="dxa"/>
            <w:vMerge w:val="continue"/>
            <w:tcBorders>
              <w:left w:val="nil"/>
              <w:right w:val="nil"/>
            </w:tcBorders>
            <w:vAlign w:val="center"/>
          </w:tcPr>
          <w:p w14:paraId="205EC791">
            <w:pPr>
              <w:widowControl/>
              <w:jc w:val="right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19D725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kern w:val="0"/>
          <w:sz w:val="24"/>
          <w:highlight w:val="none"/>
        </w:rPr>
        <w:t xml:space="preserve">Abbreviation: </w:t>
      </w:r>
      <w:r>
        <w:rPr>
          <w:rFonts w:ascii="Times New Roman" w:hAnsi="Times New Roman" w:cs="Times New Roman"/>
          <w:sz w:val="24"/>
          <w:highlight w:val="none"/>
        </w:rPr>
        <w:t>HC, healthy control; BAM, benign adnexal masses; OC, ovarian cancer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.</w:t>
      </w:r>
    </w:p>
    <w:p w14:paraId="7C21C1F8">
      <w:pP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Notes:</w:t>
      </w:r>
      <w:r>
        <w:rPr>
          <w:rFonts w:hint="eastAsia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</w:rPr>
        <w:t>a</w:t>
      </w:r>
      <w:bookmarkStart w:id="11" w:name="_Hlk208848491"/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 Ethnicity data are presented as self-identified ethnic groups in China. Uyghur, Kazakh, Hui, Mongol, and Tajik refer to the Chinese ethnic minorities of those names.</w:t>
      </w:r>
      <w:bookmarkEnd w:id="11"/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  <w:lang w:val="en-US" w:eastAsia="zh-CN"/>
        </w:rPr>
        <w:t>b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The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4"/>
          <w:highlight w:val="none"/>
          <w:lang w:val="en-US" w:eastAsia="zh-CN"/>
        </w:rPr>
        <w:t xml:space="preserve"> P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value is calculated using Fisher's exact test.</w:t>
      </w:r>
    </w:p>
    <w:p w14:paraId="33CF20E3">
      <w:pP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br w:type="page"/>
      </w:r>
    </w:p>
    <w:p w14:paraId="18050D4D">
      <w:pPr>
        <w:rPr>
          <w:rFonts w:hint="eastAsia"/>
          <w:highlight w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highlight w:val="none"/>
        </w:rPr>
        <w:t>Table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  <w:lang w:val="en-US" w:eastAsia="zh-CN"/>
        </w:rPr>
        <w:t xml:space="preserve"> S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</w:rPr>
        <w:t>3</w:t>
      </w:r>
      <w:r>
        <w:rPr>
          <w:rFonts w:ascii="Times New Roman" w:hAnsi="Times New Roman" w:eastAsia="宋体" w:cs="Times New Roman"/>
          <w:b/>
          <w:bCs/>
          <w:kern w:val="0"/>
          <w:sz w:val="24"/>
          <w:highlight w:val="none"/>
        </w:rPr>
        <w:t xml:space="preserve">. Demographic and clinicopathological characteristics of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</w:rPr>
        <w:t>patients with BOT.</w:t>
      </w:r>
    </w:p>
    <w:tbl>
      <w:tblPr>
        <w:tblStyle w:val="17"/>
        <w:tblW w:w="510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3"/>
        <w:gridCol w:w="2018"/>
        <w:gridCol w:w="102"/>
      </w:tblGrid>
      <w:tr w14:paraId="73755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7C36EA9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  <w:t>Characteristics</w:t>
            </w:r>
          </w:p>
        </w:tc>
        <w:tc>
          <w:tcPr>
            <w:tcW w:w="21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61D3847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  <w:t>BOT cohort</w:t>
            </w:r>
          </w:p>
        </w:tc>
      </w:tr>
      <w:tr w14:paraId="07401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2" w:type="dxa"/>
          <w:trHeight w:val="397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0EBD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  <w:t>Total, n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4384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</w:rPr>
              <w:t>52</w:t>
            </w:r>
          </w:p>
        </w:tc>
      </w:tr>
      <w:tr w14:paraId="6B425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2" w:type="dxa"/>
          <w:trHeight w:val="397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5335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Age, mean years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range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EFBB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47.9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.0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.0)</w:t>
            </w:r>
          </w:p>
        </w:tc>
      </w:tr>
      <w:tr w14:paraId="2B1CC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2" w:type="dxa"/>
          <w:trHeight w:val="397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5884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Men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strual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status, n (%)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95ADD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D1E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2" w:type="dxa"/>
          <w:trHeight w:val="397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3BA5C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Premenopausal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11DA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57.69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%)</w:t>
            </w:r>
          </w:p>
        </w:tc>
      </w:tr>
      <w:tr w14:paraId="1CAA0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2" w:type="dxa"/>
          <w:trHeight w:val="397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5BE2A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Postmenopausal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D248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42.31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%)</w:t>
            </w:r>
          </w:p>
        </w:tc>
      </w:tr>
      <w:tr w14:paraId="534DF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2" w:type="dxa"/>
          <w:trHeight w:val="397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4648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Parity, n (%)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0A145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737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2" w:type="dxa"/>
          <w:trHeight w:val="397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981FB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≤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C67E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28.85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%)</w:t>
            </w:r>
          </w:p>
        </w:tc>
      </w:tr>
      <w:tr w14:paraId="31BC6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2" w:type="dxa"/>
          <w:trHeight w:val="397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B8C38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≥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F02B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37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71.15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%)</w:t>
            </w:r>
          </w:p>
        </w:tc>
      </w:tr>
      <w:tr w14:paraId="1BF3C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2" w:type="dxa"/>
          <w:trHeight w:val="397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A0DA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Lesion diameter, n (%)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AC040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FC0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2" w:type="dxa"/>
          <w:trHeight w:val="397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7A157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≤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5 cm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57CC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(4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6.15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%)</w:t>
            </w:r>
          </w:p>
        </w:tc>
      </w:tr>
      <w:tr w14:paraId="2F599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2" w:type="dxa"/>
          <w:trHeight w:val="397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03B73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&gt; 5 cm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5988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(5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3.85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%)</w:t>
            </w:r>
          </w:p>
        </w:tc>
      </w:tr>
      <w:tr w14:paraId="460D4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2" w:type="dxa"/>
          <w:trHeight w:val="397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0EDD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FIGO s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tage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1486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</w:tr>
      <w:tr w14:paraId="4F557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2" w:type="dxa"/>
          <w:trHeight w:val="397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A5C5D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I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6052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41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78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.85%)</w:t>
            </w:r>
          </w:p>
        </w:tc>
      </w:tr>
      <w:tr w14:paraId="53BD7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2" w:type="dxa"/>
          <w:trHeight w:val="397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F907A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II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651D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13.46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%)</w:t>
            </w:r>
          </w:p>
        </w:tc>
      </w:tr>
      <w:tr w14:paraId="5C754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2" w:type="dxa"/>
          <w:trHeight w:val="397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B6923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III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D1C4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7.69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%)</w:t>
            </w:r>
          </w:p>
        </w:tc>
      </w:tr>
      <w:tr w14:paraId="4DC18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2" w:type="dxa"/>
          <w:trHeight w:val="397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B79D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Histological types, n (%)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D458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</w:tr>
      <w:tr w14:paraId="74B69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2" w:type="dxa"/>
          <w:trHeight w:val="397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70731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erous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B8C7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65.38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%)</w:t>
            </w:r>
          </w:p>
        </w:tc>
      </w:tr>
      <w:tr w14:paraId="5361B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2" w:type="dxa"/>
          <w:trHeight w:val="397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33E42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Mucinous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82A3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18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34.62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%)</w:t>
            </w:r>
          </w:p>
        </w:tc>
      </w:tr>
      <w:tr w14:paraId="3A4E8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2" w:type="dxa"/>
          <w:trHeight w:val="397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AFF2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Ultrasound O-RADS categories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, n (%)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BAD4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</w:p>
        </w:tc>
      </w:tr>
      <w:tr w14:paraId="06005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2" w:type="dxa"/>
          <w:trHeight w:val="397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78C01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O-RADS 3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2FFA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46.15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%)</w:t>
            </w:r>
          </w:p>
        </w:tc>
      </w:tr>
      <w:tr w14:paraId="02C17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2" w:type="dxa"/>
          <w:trHeight w:val="397" w:hRule="atLeast"/>
        </w:trPr>
        <w:tc>
          <w:tcPr>
            <w:tcW w:w="2983" w:type="dxa"/>
            <w:tcBorders>
              <w:top w:val="nil"/>
              <w:left w:val="nil"/>
              <w:right w:val="nil"/>
            </w:tcBorders>
            <w:vAlign w:val="center"/>
          </w:tcPr>
          <w:p w14:paraId="5650EEAF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O-RADS 4</w:t>
            </w:r>
          </w:p>
        </w:tc>
        <w:tc>
          <w:tcPr>
            <w:tcW w:w="2018" w:type="dxa"/>
            <w:tcBorders>
              <w:top w:val="nil"/>
              <w:left w:val="nil"/>
              <w:right w:val="nil"/>
            </w:tcBorders>
            <w:vAlign w:val="center"/>
          </w:tcPr>
          <w:p w14:paraId="79E19FE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28.85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%)</w:t>
            </w:r>
          </w:p>
        </w:tc>
      </w:tr>
      <w:tr w14:paraId="3E257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2" w:type="dxa"/>
          <w:trHeight w:val="397" w:hRule="atLeast"/>
        </w:trPr>
        <w:tc>
          <w:tcPr>
            <w:tcW w:w="298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3085AB7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      O-RADS 5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28D0C7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25.00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%)</w:t>
            </w:r>
          </w:p>
        </w:tc>
      </w:tr>
    </w:tbl>
    <w:p w14:paraId="734A6FDB">
      <w:pPr>
        <w:rPr>
          <w:rFonts w:ascii="Times New Roman" w:hAnsi="Times New Roman" w:eastAsia="宋体" w:cs="Times New Roman"/>
          <w:kern w:val="0"/>
          <w:sz w:val="24"/>
          <w:highlight w:val="none"/>
        </w:rPr>
      </w:pPr>
      <w:r>
        <w:rPr>
          <w:rFonts w:ascii="Times New Roman" w:hAnsi="Times New Roman" w:eastAsia="宋体" w:cs="Times New Roman"/>
          <w:kern w:val="0"/>
          <w:sz w:val="24"/>
          <w:highlight w:val="none"/>
        </w:rPr>
        <w:t>Abbreviation: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</w:rPr>
        <w:t xml:space="preserve"> BOT, Borderline ovarian tumor;</w:t>
      </w:r>
      <w:r>
        <w:rPr>
          <w:rFonts w:ascii="Times New Roman" w:hAnsi="Times New Roman" w:eastAsia="宋体" w:cs="Times New Roman"/>
          <w:kern w:val="0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</w:rPr>
        <w:t>FIGO, International Federation of Gynecology and Obstetrics; O-RADS, Ovarian-Adnexal Reporting and Data System.</w:t>
      </w:r>
      <w:r>
        <w:rPr>
          <w:rFonts w:ascii="Times New Roman" w:hAnsi="Times New Roman" w:eastAsia="宋体" w:cs="Times New Roman"/>
          <w:kern w:val="0"/>
          <w:sz w:val="24"/>
          <w:highlight w:val="none"/>
        </w:rPr>
        <w:br w:type="textWrapping"/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Notes:</w:t>
      </w:r>
      <w:r>
        <w:rPr>
          <w:rFonts w:hint="eastAsia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</w:rPr>
        <w:t>a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The definition of with comorbidities is the presence of at least one of the following conditions: obesity, diabetes, or hypertension.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</w:rPr>
        <w:t>b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 The definition of without comorbidities is the absence of all three conditions: obesity, diabetes, and hypertension.</w:t>
      </w:r>
    </w:p>
    <w:p w14:paraId="4D07130D">
      <w:pP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</w:pPr>
    </w:p>
    <w:p w14:paraId="32B30109">
      <w:pPr>
        <w:widowControl/>
        <w:jc w:val="left"/>
        <w:rPr>
          <w:rFonts w:ascii="Times New Roman" w:hAnsi="Times New Roman" w:cs="Times New Roman"/>
          <w:color w:val="000000"/>
          <w:sz w:val="24"/>
          <w:highlight w:val="none"/>
        </w:rPr>
      </w:pPr>
      <w:r>
        <w:rPr>
          <w:rFonts w:ascii="Times New Roman" w:hAnsi="Times New Roman" w:cs="Times New Roman"/>
          <w:color w:val="000000"/>
          <w:sz w:val="24"/>
          <w:highlight w:val="none"/>
        </w:rPr>
        <w:br w:type="page"/>
      </w:r>
    </w:p>
    <w:tbl>
      <w:tblPr>
        <w:tblStyle w:val="17"/>
        <w:tblW w:w="0" w:type="auto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7"/>
        <w:gridCol w:w="1619"/>
        <w:gridCol w:w="1863"/>
        <w:gridCol w:w="1478"/>
        <w:gridCol w:w="1457"/>
        <w:gridCol w:w="1599"/>
      </w:tblGrid>
      <w:tr w14:paraId="3EE1B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373" w:type="dxa"/>
            <w:gridSpan w:val="6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4859FA3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highlight w:val="none"/>
              </w:rPr>
              <w:t>Table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 xml:space="preserve"> 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</w:rPr>
              <w:t>4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</w:rPr>
              <w:t xml:space="preserve">. Summary of ccf-mtDNA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</w:rPr>
              <w:t xml:space="preserve">next generation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</w:rPr>
              <w:t xml:space="preserve">sequencing data. </w:t>
            </w:r>
          </w:p>
        </w:tc>
      </w:tr>
      <w:tr w14:paraId="3EB5B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357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73ED701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</w:rPr>
              <w:t>Case type</w:t>
            </w:r>
          </w:p>
        </w:tc>
        <w:tc>
          <w:tcPr>
            <w:tcW w:w="161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76F25E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</w:rPr>
              <w:t xml:space="preserve">Number </w:t>
            </w:r>
          </w:p>
          <w:p w14:paraId="4B11D2F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</w:rPr>
              <w:t>of case</w:t>
            </w:r>
          </w:p>
        </w:tc>
        <w:tc>
          <w:tcPr>
            <w:tcW w:w="186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05D6D90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</w:rPr>
              <w:t xml:space="preserve">Average number of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</w:rPr>
              <w:t>to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</w:rPr>
              <w:t>tal reads</w:t>
            </w:r>
          </w:p>
        </w:tc>
        <w:tc>
          <w:tcPr>
            <w:tcW w:w="147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1E51653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</w:rPr>
              <w:t>Average depth</w:t>
            </w:r>
          </w:p>
        </w:tc>
        <w:tc>
          <w:tcPr>
            <w:tcW w:w="145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33A5EB1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</w:rPr>
              <w:t>Average Q30</w:t>
            </w:r>
          </w:p>
        </w:tc>
        <w:tc>
          <w:tcPr>
            <w:tcW w:w="159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7F38BCF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</w:rPr>
              <w:t xml:space="preserve">Average mtDNA mapping rate </w:t>
            </w:r>
          </w:p>
        </w:tc>
      </w:tr>
      <w:tr w14:paraId="5C981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57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5B34E94B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17E6C381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186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0AE6FCDD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5A7F6B52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145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65451C1A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159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27540031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</w:p>
        </w:tc>
      </w:tr>
      <w:tr w14:paraId="28F6C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195A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Healthy control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8449A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726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C7C3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17,690,354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74E7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4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029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ABD78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95.90%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376F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29.62%</w:t>
            </w:r>
          </w:p>
        </w:tc>
      </w:tr>
      <w:tr w14:paraId="01382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A67F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Benign adnexal mass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3177E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343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90F6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16,457,262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16320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3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842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481A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95.37%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E413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27.45%</w:t>
            </w:r>
          </w:p>
        </w:tc>
      </w:tr>
      <w:tr w14:paraId="4C27E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E196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Ovarian cancer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19E9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716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F1806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17,643,493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964FE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3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976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40A5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95.69%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D699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28.76%</w:t>
            </w:r>
          </w:p>
        </w:tc>
      </w:tr>
      <w:tr w14:paraId="4924C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39E0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Borderline ovarian tumors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35B66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52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6298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18,155,827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2FE5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4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211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4771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96.40%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8C61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30.78%</w:t>
            </w:r>
          </w:p>
        </w:tc>
      </w:tr>
      <w:tr w14:paraId="73EC7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357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231DACF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highlight w:val="none"/>
              </w:rPr>
              <w:t>To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highlight w:val="none"/>
              </w:rPr>
              <w:t>tal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448174E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837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356F388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17,4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026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06D7A49A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3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79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19D2657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95.7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%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378B3E94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28.9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%</w:t>
            </w:r>
          </w:p>
        </w:tc>
      </w:tr>
    </w:tbl>
    <w:p w14:paraId="788E8342">
      <w:pPr>
        <w:rPr>
          <w:rFonts w:hint="eastAsia"/>
          <w:highlight w:val="none"/>
        </w:rPr>
      </w:pPr>
      <w:r>
        <w:rPr>
          <w:rFonts w:ascii="Times New Roman" w:hAnsi="Times New Roman" w:eastAsia="宋体" w:cs="Times New Roman"/>
          <w:kern w:val="0"/>
          <w:sz w:val="24"/>
          <w:highlight w:val="none"/>
        </w:rPr>
        <w:t>Abbreviation: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</w:rPr>
        <w:t xml:space="preserve"> Q30, Proportion of bases with a Phred-scaled quality score </w:t>
      </w:r>
      <w:r>
        <w:rPr>
          <w:rFonts w:hint="default" w:ascii="Times New Roman" w:hAnsi="Times New Roman" w:eastAsia="宋体" w:cs="Times New Roman"/>
          <w:kern w:val="0"/>
          <w:sz w:val="24"/>
          <w:highlight w:val="none"/>
          <w:lang w:val="en-US" w:eastAsia="zh-CN"/>
        </w:rPr>
        <w:t>≥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</w:rPr>
        <w:t xml:space="preserve"> 30 (indicating a base-call accuracy of 99.9%).</w:t>
      </w:r>
    </w:p>
    <w:p w14:paraId="0BD5F941">
      <w:pPr>
        <w:widowControl/>
        <w:jc w:val="left"/>
        <w:rPr>
          <w:rFonts w:hint="eastAsia"/>
          <w:highlight w:val="none"/>
        </w:rPr>
      </w:pPr>
    </w:p>
    <w:p w14:paraId="2D973D33">
      <w:pPr>
        <w:widowControl/>
        <w:jc w:val="left"/>
        <w:rPr>
          <w:rFonts w:hint="eastAsia"/>
          <w:highlight w:val="none"/>
        </w:rPr>
      </w:pPr>
    </w:p>
    <w:p w14:paraId="6E36CB23">
      <w:pPr>
        <w:widowControl/>
        <w:jc w:val="left"/>
        <w:rPr>
          <w:rFonts w:hint="eastAsia"/>
          <w:highlight w:val="none"/>
        </w:rPr>
      </w:pPr>
    </w:p>
    <w:p w14:paraId="223C3A3E">
      <w:pPr>
        <w:widowControl/>
        <w:jc w:val="left"/>
        <w:rPr>
          <w:rFonts w:hint="eastAsia"/>
          <w:highlight w:val="none"/>
        </w:rPr>
      </w:pPr>
    </w:p>
    <w:p w14:paraId="17B846AB">
      <w:pPr>
        <w:widowControl/>
        <w:jc w:val="left"/>
        <w:rPr>
          <w:rFonts w:hint="eastAsia"/>
          <w:highlight w:val="none"/>
        </w:rPr>
      </w:pPr>
    </w:p>
    <w:p w14:paraId="63ACD721">
      <w:pPr>
        <w:widowControl/>
        <w:jc w:val="left"/>
        <w:rPr>
          <w:rFonts w:hint="eastAsia"/>
          <w:highlight w:val="none"/>
        </w:rPr>
      </w:pPr>
    </w:p>
    <w:p w14:paraId="7FE3C4C9">
      <w:pPr>
        <w:widowControl/>
        <w:jc w:val="left"/>
        <w:rPr>
          <w:rFonts w:hint="eastAsia"/>
          <w:highlight w:val="none"/>
        </w:rPr>
      </w:pPr>
    </w:p>
    <w:p w14:paraId="68CDA921">
      <w:pPr>
        <w:widowControl/>
        <w:jc w:val="left"/>
        <w:rPr>
          <w:rFonts w:hint="eastAsia"/>
          <w:highlight w:val="none"/>
        </w:rPr>
      </w:pPr>
    </w:p>
    <w:p w14:paraId="47502CA5">
      <w:pPr>
        <w:widowControl/>
        <w:jc w:val="left"/>
        <w:rPr>
          <w:rFonts w:hint="eastAsia"/>
          <w:highlight w:val="none"/>
        </w:rPr>
      </w:pPr>
    </w:p>
    <w:p w14:paraId="22370661">
      <w:pPr>
        <w:widowControl/>
        <w:jc w:val="left"/>
        <w:rPr>
          <w:rFonts w:hint="eastAsia"/>
          <w:highlight w:val="none"/>
        </w:rPr>
      </w:pPr>
    </w:p>
    <w:p w14:paraId="13697403">
      <w:pPr>
        <w:widowControl/>
        <w:jc w:val="left"/>
        <w:rPr>
          <w:rFonts w:hint="eastAsia"/>
          <w:highlight w:val="none"/>
        </w:rPr>
      </w:pPr>
    </w:p>
    <w:p w14:paraId="3D3C5BC7">
      <w:pPr>
        <w:widowControl/>
        <w:jc w:val="left"/>
        <w:rPr>
          <w:rFonts w:hint="eastAsia"/>
          <w:highlight w:val="none"/>
        </w:rPr>
      </w:pPr>
    </w:p>
    <w:p w14:paraId="3E071703">
      <w:pPr>
        <w:widowControl/>
        <w:jc w:val="left"/>
        <w:rPr>
          <w:rFonts w:hint="eastAsia"/>
          <w:highlight w:val="none"/>
        </w:rPr>
      </w:pPr>
    </w:p>
    <w:p w14:paraId="034BD7BC">
      <w:pPr>
        <w:widowControl/>
        <w:jc w:val="left"/>
        <w:rPr>
          <w:rFonts w:hint="eastAsia"/>
          <w:highlight w:val="none"/>
        </w:rPr>
      </w:pPr>
    </w:p>
    <w:p w14:paraId="7D66A56A">
      <w:pPr>
        <w:widowControl/>
        <w:jc w:val="left"/>
        <w:rPr>
          <w:rFonts w:hint="eastAsia"/>
          <w:highlight w:val="none"/>
        </w:rPr>
      </w:pPr>
    </w:p>
    <w:p w14:paraId="7CBF4E02">
      <w:pPr>
        <w:widowControl/>
        <w:jc w:val="left"/>
        <w:rPr>
          <w:rFonts w:hint="eastAsia"/>
          <w:highlight w:val="none"/>
        </w:rPr>
      </w:pPr>
    </w:p>
    <w:p w14:paraId="0B8170F5">
      <w:pPr>
        <w:widowControl/>
        <w:jc w:val="left"/>
        <w:rPr>
          <w:rFonts w:hint="eastAsia"/>
          <w:highlight w:val="none"/>
        </w:rPr>
      </w:pPr>
    </w:p>
    <w:p w14:paraId="4BAEC433">
      <w:pPr>
        <w:widowControl/>
        <w:jc w:val="left"/>
        <w:rPr>
          <w:rFonts w:hint="eastAsia"/>
          <w:highlight w:val="none"/>
        </w:rPr>
      </w:pPr>
    </w:p>
    <w:p w14:paraId="565B5F5D">
      <w:pPr>
        <w:widowControl/>
        <w:jc w:val="left"/>
        <w:rPr>
          <w:rFonts w:hint="eastAsia"/>
          <w:highlight w:val="none"/>
        </w:rPr>
      </w:pPr>
    </w:p>
    <w:p w14:paraId="13311F5A">
      <w:pPr>
        <w:widowControl/>
        <w:jc w:val="left"/>
        <w:rPr>
          <w:rFonts w:hint="eastAsia"/>
          <w:highlight w:val="none"/>
        </w:rPr>
      </w:pPr>
    </w:p>
    <w:p w14:paraId="48240FE0">
      <w:pPr>
        <w:widowControl/>
        <w:jc w:val="left"/>
        <w:rPr>
          <w:rFonts w:hint="eastAsia"/>
          <w:highlight w:val="none"/>
        </w:rPr>
      </w:pPr>
    </w:p>
    <w:p w14:paraId="75AC5A40">
      <w:pPr>
        <w:widowControl/>
        <w:jc w:val="left"/>
        <w:rPr>
          <w:rFonts w:hint="eastAsia"/>
          <w:highlight w:val="none"/>
        </w:rPr>
      </w:pPr>
    </w:p>
    <w:p w14:paraId="25E3CCB6">
      <w:pPr>
        <w:widowControl/>
        <w:jc w:val="left"/>
        <w:rPr>
          <w:rFonts w:hint="eastAsia"/>
          <w:highlight w:val="none"/>
        </w:rPr>
      </w:pPr>
    </w:p>
    <w:p w14:paraId="2DE303B7">
      <w:pPr>
        <w:widowControl/>
        <w:jc w:val="left"/>
        <w:rPr>
          <w:rFonts w:hint="eastAsia"/>
          <w:highlight w:val="none"/>
        </w:rPr>
      </w:pPr>
    </w:p>
    <w:p w14:paraId="4E87654A">
      <w:pPr>
        <w:widowControl/>
        <w:jc w:val="left"/>
        <w:rPr>
          <w:rFonts w:hint="eastAsia"/>
          <w:highlight w:val="none"/>
        </w:rPr>
      </w:pPr>
    </w:p>
    <w:p w14:paraId="2783D646">
      <w:pPr>
        <w:widowControl/>
        <w:jc w:val="left"/>
        <w:rPr>
          <w:rFonts w:hint="eastAsia"/>
          <w:highlight w:val="none"/>
        </w:rPr>
      </w:pPr>
    </w:p>
    <w:p w14:paraId="59AA5F4E">
      <w:pPr>
        <w:widowControl/>
        <w:jc w:val="left"/>
        <w:rPr>
          <w:rFonts w:hint="eastAsia"/>
          <w:highlight w:val="none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 w14:paraId="2D9DD45B">
      <w:pPr>
        <w:jc w:val="both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highlight w:val="none"/>
        </w:rPr>
        <w:t>Table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  <w:lang w:val="en-US" w:eastAsia="zh-CN"/>
        </w:rPr>
        <w:t xml:space="preserve"> S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.</w:t>
      </w: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>Top 50 features ranked by importance in the OD model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.</w:t>
      </w:r>
    </w:p>
    <w:tbl>
      <w:tblPr>
        <w:tblStyle w:val="17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8"/>
        <w:gridCol w:w="3848"/>
        <w:gridCol w:w="3848"/>
        <w:gridCol w:w="3851"/>
      </w:tblGrid>
      <w:tr w14:paraId="4A994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D6DA3BB">
            <w:pPr>
              <w:ind w:firstLine="240" w:firstLineChars="100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Feature</w:t>
            </w:r>
          </w:p>
        </w:tc>
        <w:tc>
          <w:tcPr>
            <w:tcW w:w="124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21909F1">
            <w:pPr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Gini importance</w:t>
            </w:r>
          </w:p>
        </w:tc>
        <w:tc>
          <w:tcPr>
            <w:tcW w:w="124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A24301">
            <w:pPr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Feature</w:t>
            </w:r>
          </w:p>
        </w:tc>
        <w:tc>
          <w:tcPr>
            <w:tcW w:w="125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D29852">
            <w:pPr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Gini importance</w:t>
            </w:r>
          </w:p>
        </w:tc>
      </w:tr>
      <w:tr w14:paraId="18585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D0053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the number of similar peaks</w:t>
            </w:r>
          </w:p>
        </w:tc>
        <w:tc>
          <w:tcPr>
            <w:tcW w:w="12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56E5D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1.4620238 </w:t>
            </w:r>
          </w:p>
        </w:tc>
        <w:tc>
          <w:tcPr>
            <w:tcW w:w="12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B2756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AUDC_nega_42</w:t>
            </w:r>
          </w:p>
        </w:tc>
        <w:tc>
          <w:tcPr>
            <w:tcW w:w="125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D3AAA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0.6288619 </w:t>
            </w:r>
          </w:p>
        </w:tc>
      </w:tr>
      <w:tr w14:paraId="696C6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9292A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AAAA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36835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1.1911497 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D4CDB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AA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EE144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0.6213554 </w:t>
            </w:r>
          </w:p>
        </w:tc>
      </w:tr>
      <w:tr w14:paraId="70089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C948C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the number of total peaks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DB284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1.1853397 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885D1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AAGT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D59E7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0.6200109 </w:t>
            </w:r>
          </w:p>
        </w:tc>
      </w:tr>
      <w:tr w14:paraId="23723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D20DD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AUDC_nega_189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C2F5D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1.0552029 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BE0B1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ED_51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2F680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0.6172108 </w:t>
            </w:r>
          </w:p>
        </w:tc>
      </w:tr>
      <w:tr w14:paraId="00CEE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DCE27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CAAG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A13AE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0.9824317 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B7BBC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CTTT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311B4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0.6118061 </w:t>
            </w:r>
          </w:p>
        </w:tc>
      </w:tr>
      <w:tr w14:paraId="45221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9CC4B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AUDC_nega_21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B59CF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0.9268901 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F6832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AUDC_posi_41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C53E9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0.6045471 </w:t>
            </w:r>
          </w:p>
        </w:tc>
      </w:tr>
      <w:tr w14:paraId="3C39E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24A48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AAA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ED615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0.9153063 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89984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ED_42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3B19D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0.6014999 </w:t>
            </w:r>
          </w:p>
        </w:tc>
      </w:tr>
      <w:tr w14:paraId="4F209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1B351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AAAG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A0908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0.8952864 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E80D6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AUDC_posi_80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1FA1D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0.5986421 </w:t>
            </w:r>
          </w:p>
        </w:tc>
      </w:tr>
      <w:tr w14:paraId="4A7F8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40B8D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ED_189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DA792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0.8906123 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76D5A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AUDC_nega_74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BE78C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0.5972107 </w:t>
            </w:r>
          </w:p>
        </w:tc>
      </w:tr>
      <w:tr w14:paraId="40160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44C19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the proportion of long fragments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057B6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0.8743605 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4828D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ED_254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AE3C6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0.5934255 </w:t>
            </w:r>
          </w:p>
        </w:tc>
      </w:tr>
      <w:tr w14:paraId="069C1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8944B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AUDC_posi_65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8A8DF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0.8142424 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68471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TCG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BF250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0.5719446 </w:t>
            </w:r>
          </w:p>
        </w:tc>
      </w:tr>
      <w:tr w14:paraId="27A66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765A3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CATT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C60E3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0.8046818 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7B0BF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AUDC_posi_136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F66DE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0.5613761 </w:t>
            </w:r>
          </w:p>
        </w:tc>
      </w:tr>
      <w:tr w14:paraId="0AA9E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102EA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AUDC_nega_171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1A14A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0.7339508 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D9944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AUDC_posi_42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E7AE4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0.5494523 </w:t>
            </w:r>
          </w:p>
        </w:tc>
      </w:tr>
      <w:tr w14:paraId="1D39C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441E6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CAA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0D354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0.6979455 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C8212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AUDC_nega_254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3CF31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0.5479316 </w:t>
            </w:r>
          </w:p>
        </w:tc>
      </w:tr>
      <w:tr w14:paraId="32CE3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85B3A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the proportion of short fragments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4172C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0.6918466 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56C6E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AAGA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2A32C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0.5451874 </w:t>
            </w:r>
          </w:p>
        </w:tc>
      </w:tr>
      <w:tr w14:paraId="0421F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7D5D3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AUDC_nega_190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CB901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0.6901624 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C0915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AUDC_nega_11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52345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0.5389472 </w:t>
            </w:r>
          </w:p>
        </w:tc>
      </w:tr>
      <w:tr w14:paraId="4CED9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9219E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AUDC_nega_202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878EE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0.6803205 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9416F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AUDC_posi_130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40401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0.5364238 </w:t>
            </w:r>
          </w:p>
        </w:tc>
      </w:tr>
      <w:tr w14:paraId="372B1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D21A6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ED_41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6DC35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0.6738904 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53300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AAAT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D376A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0.5302224 </w:t>
            </w:r>
          </w:p>
        </w:tc>
      </w:tr>
      <w:tr w14:paraId="71732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4A755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CAAA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9D49D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0.6697083 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21449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AUDC_posi_70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0C18E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0.5250857 </w:t>
            </w:r>
          </w:p>
        </w:tc>
      </w:tr>
      <w:tr w14:paraId="5866D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82AC6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ED_21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0828D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0.6679821 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17659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AUDC_posi_71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92F18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0.5214027 </w:t>
            </w:r>
          </w:p>
        </w:tc>
      </w:tr>
      <w:tr w14:paraId="33E6D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DC41D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GTGA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67776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0.6669405 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6E05C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GACA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4A492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0.5208612 </w:t>
            </w:r>
          </w:p>
        </w:tc>
      </w:tr>
      <w:tr w14:paraId="69F6D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B9135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AUDC_posi_18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5857C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0.6447307 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02127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AUDC_posi_161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71425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0.5173914 </w:t>
            </w:r>
          </w:p>
        </w:tc>
      </w:tr>
      <w:tr w14:paraId="2C89E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BB807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AUDC_posi_72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0697A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0.6422458 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D0F83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TC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4B568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0.5168705 </w:t>
            </w:r>
          </w:p>
        </w:tc>
      </w:tr>
      <w:tr w14:paraId="04A35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F77FE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TCA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E94EC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0.6350051 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D7E98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TCAT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D4E41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0.5156504 </w:t>
            </w:r>
          </w:p>
        </w:tc>
      </w:tr>
      <w:tr w14:paraId="73DDE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6D767E7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ACGT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CEFC405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0.6292944 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1AF416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ED_18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DAB9970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0.5138840 </w:t>
            </w:r>
          </w:p>
        </w:tc>
      </w:tr>
    </w:tbl>
    <w:p w14:paraId="4A5CC729">
      <w:pPr>
        <w:rPr>
          <w:rFonts w:hint="default" w:ascii="Times New Roman" w:hAnsi="Times New Roman" w:eastAsia="宋体" w:cs="Times New Roman"/>
          <w:kern w:val="0"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kern w:val="0"/>
          <w:sz w:val="24"/>
          <w:highlight w:val="none"/>
        </w:rPr>
        <w:t>Abbreviation: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  <w:lang w:val="en-US" w:eastAsia="zh-CN"/>
        </w:rPr>
        <w:t xml:space="preserve">OD model, </w:t>
      </w:r>
      <w:r>
        <w:rPr>
          <w:rFonts w:ascii="Times New Roman" w:hAnsi="Times New Roman" w:cs="Times New Roman"/>
          <w:sz w:val="24"/>
          <w:highlight w:val="none"/>
        </w:rPr>
        <w:t>OC Detection model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>;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highlight w:val="none"/>
        </w:rPr>
        <w:t>OC, ovarian cancer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.</w:t>
      </w:r>
      <w:r>
        <w:rPr>
          <w:rFonts w:ascii="Times New Roman" w:hAnsi="Times New Roman" w:cs="Times New Roman"/>
          <w:sz w:val="24"/>
          <w:highlight w:val="none"/>
        </w:rPr>
        <w:t xml:space="preserve"> </w:t>
      </w:r>
    </w:p>
    <w:p w14:paraId="01786B33">
      <w:pPr>
        <w:rPr>
          <w:rFonts w:hint="eastAsia" w:ascii="Times New Roman" w:hAnsi="Times New Roman" w:eastAsia="宋体" w:cs="Times New Roman"/>
          <w:kern w:val="0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</w:rPr>
        <w:t>otes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  <w:lang w:val="en-US" w:eastAsia="zh-CN"/>
        </w:rPr>
        <w:t xml:space="preserve">: (i) ED_n: To map local deviations, the mitochondrial genome was divided into 255 windows. For each window, the Euclidean distance between the sample's normalized coverage vector and the median HC vector was computed; (ii) AUDC_nega_n/AUDC_posi_n: area of negative (y &lt; 0) or positive (y &gt; 0) peaks in window n of 255 (baseline FSD=0). </w:t>
      </w:r>
    </w:p>
    <w:p w14:paraId="4F48D135">
      <w:pPr>
        <w:rPr>
          <w:rFonts w:hint="eastAsia" w:ascii="Times New Roman" w:hAnsi="Times New Roman" w:eastAsia="宋体" w:cs="Times New Roman"/>
          <w:kern w:val="0"/>
          <w:sz w:val="24"/>
          <w:highlight w:val="none"/>
          <w:lang w:val="en-US" w:eastAsia="zh-CN"/>
        </w:rPr>
      </w:pPr>
    </w:p>
    <w:p w14:paraId="387336B4">
      <w:pPr>
        <w:rPr>
          <w:rFonts w:hint="eastAsia" w:ascii="Times New Roman" w:hAnsi="Times New Roman" w:eastAsia="宋体" w:cs="Times New Roman"/>
          <w:kern w:val="0"/>
          <w:sz w:val="24"/>
          <w:highlight w:val="none"/>
          <w:lang w:val="en-US" w:eastAsia="zh-CN"/>
        </w:rPr>
      </w:pPr>
    </w:p>
    <w:p w14:paraId="7A302CB5">
      <w:pP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highlight w:val="none"/>
        </w:rPr>
        <w:t>Table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  <w:lang w:val="en-US" w:eastAsia="zh-CN"/>
        </w:rPr>
        <w:t xml:space="preserve"> 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>Performance of the OD model at predefined specificity thresholds (9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9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>%, 95%, 9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0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>%)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.</w:t>
      </w:r>
    </w:p>
    <w:tbl>
      <w:tblPr>
        <w:tblStyle w:val="17"/>
        <w:tblpPr w:leftFromText="180" w:rightFromText="180" w:vertAnchor="text" w:horzAnchor="page" w:tblpX="877" w:tblpY="244"/>
        <w:tblOverlap w:val="never"/>
        <w:tblW w:w="1519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6"/>
        <w:gridCol w:w="5066"/>
        <w:gridCol w:w="5067"/>
      </w:tblGrid>
      <w:tr w14:paraId="5C522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066" w:type="dxa"/>
            <w:vMerge w:val="restart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2E50888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highlight w:val="none"/>
                <w:shd w:val="clear"/>
              </w:rPr>
              <w:t>Target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highlight w:val="none"/>
                <w:shd w:val="clear"/>
              </w:rPr>
              <w:t xml:space="preserve">Specificity </w:t>
            </w:r>
          </w:p>
        </w:tc>
        <w:tc>
          <w:tcPr>
            <w:tcW w:w="506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3E4146E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Specificity (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)</w:t>
            </w:r>
          </w:p>
        </w:tc>
        <w:tc>
          <w:tcPr>
            <w:tcW w:w="506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294F9C6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Sensitivity (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)</w:t>
            </w:r>
          </w:p>
        </w:tc>
      </w:tr>
      <w:tr w14:paraId="72576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66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7A52C0A8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506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526856A9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506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22FF2D46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</w:p>
        </w:tc>
      </w:tr>
      <w:tr w14:paraId="15F51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620EB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99%</w:t>
            </w: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40AD9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99.28% (97.40% - 99.87%)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1A1AB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77.32% (71.96% - 81.92%)</w:t>
            </w:r>
          </w:p>
        </w:tc>
      </w:tr>
      <w:tr w14:paraId="78C05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83A7B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95%</w:t>
            </w: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CC638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95.65% (92.56% - 97.50%)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660A8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90.71% (86.64% - 93.63%)</w:t>
            </w:r>
          </w:p>
        </w:tc>
      </w:tr>
      <w:tr w14:paraId="39E9F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06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51B34D1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90%</w:t>
            </w:r>
          </w:p>
        </w:tc>
        <w:tc>
          <w:tcPr>
            <w:tcW w:w="506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55EC3FE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90.58% (86.56% - 93.49%)</w:t>
            </w:r>
          </w:p>
        </w:tc>
        <w:tc>
          <w:tcPr>
            <w:tcW w:w="506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D4400E8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95.17% (91.91% - 97.15%)</w:t>
            </w:r>
          </w:p>
        </w:tc>
      </w:tr>
    </w:tbl>
    <w:p w14:paraId="4B16022C">
      <w:pPr>
        <w:rPr>
          <w:rFonts w:hint="default" w:ascii="Times New Roman" w:hAnsi="Times New Roman" w:eastAsia="宋体" w:cs="Times New Roman"/>
          <w:kern w:val="0"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Abbreviation: CI, confidence interval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; 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  <w:lang w:val="en-US" w:eastAsia="zh-CN"/>
        </w:rPr>
        <w:t xml:space="preserve">OD model, </w:t>
      </w:r>
      <w:r>
        <w:rPr>
          <w:rFonts w:ascii="Times New Roman" w:hAnsi="Times New Roman" w:cs="Times New Roman"/>
          <w:sz w:val="24"/>
          <w:highlight w:val="none"/>
        </w:rPr>
        <w:t>OC Detection model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>;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highlight w:val="none"/>
        </w:rPr>
        <w:t>OC, ovarian cancer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.</w:t>
      </w:r>
      <w:r>
        <w:rPr>
          <w:rFonts w:ascii="Times New Roman" w:hAnsi="Times New Roman" w:cs="Times New Roman"/>
          <w:sz w:val="24"/>
          <w:highlight w:val="none"/>
        </w:rPr>
        <w:t xml:space="preserve"> </w:t>
      </w:r>
    </w:p>
    <w:p w14:paraId="6D9F8E34">
      <w:pP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</w:pPr>
    </w:p>
    <w:p w14:paraId="69F2EECB">
      <w:pP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</w:pPr>
    </w:p>
    <w:p w14:paraId="6587E57E"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</w:p>
    <w:p w14:paraId="5C633F9F"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</w:p>
    <w:p w14:paraId="2222CF2F"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</w:p>
    <w:p w14:paraId="2CA69DB2"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</w:p>
    <w:p w14:paraId="752FAAF3"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</w:p>
    <w:p w14:paraId="5439458F"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</w:p>
    <w:p w14:paraId="06CB6242"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</w:p>
    <w:p w14:paraId="6ACAD7B2"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</w:p>
    <w:p w14:paraId="747A2283"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</w:p>
    <w:p w14:paraId="388CF3BA"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</w:p>
    <w:p w14:paraId="3B640B0E"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</w:p>
    <w:p w14:paraId="2AE6CF4C"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</w:p>
    <w:p w14:paraId="1CB7AD2C"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</w:p>
    <w:p w14:paraId="20D4BF4A"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</w:p>
    <w:p w14:paraId="0EF1B273"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</w:p>
    <w:p w14:paraId="390AA15D"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</w:p>
    <w:p w14:paraId="084A69C3"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</w:p>
    <w:p w14:paraId="3B7063CD"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</w:p>
    <w:p w14:paraId="21FB6832"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</w:p>
    <w:p w14:paraId="7474D5A1"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</w:p>
    <w:p w14:paraId="32F55FF6"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</w:p>
    <w:p w14:paraId="0014708B"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</w:p>
    <w:p w14:paraId="5EA0F1A5">
      <w:pPr>
        <w:widowControl/>
        <w:jc w:val="left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highlight w:val="none"/>
        </w:rPr>
        <w:t>Table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  <w:lang w:val="en-US" w:eastAsia="zh-CN"/>
        </w:rPr>
        <w:t xml:space="preserve"> 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7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 xml:space="preserve">Performance of OD model in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 xml:space="preserve">four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>validation cohorts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 xml:space="preserve"> at 95% s</w:t>
      </w:r>
      <w:r>
        <w:rPr>
          <w:rFonts w:ascii="Times New Roman" w:hAnsi="Times New Roman" w:cs="Times New Roman"/>
          <w:b/>
          <w:bCs/>
          <w:color w:val="000000"/>
          <w:sz w:val="24"/>
          <w:highlight w:val="none"/>
        </w:rPr>
        <w:t>pecificity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>.</w:t>
      </w:r>
    </w:p>
    <w:tbl>
      <w:tblPr>
        <w:tblStyle w:val="17"/>
        <w:tblW w:w="4835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8"/>
        <w:gridCol w:w="1368"/>
        <w:gridCol w:w="1393"/>
        <w:gridCol w:w="2379"/>
        <w:gridCol w:w="3014"/>
        <w:gridCol w:w="3178"/>
      </w:tblGrid>
      <w:tr w14:paraId="2BAC4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194" w:type="pct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581284F3"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45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560D70F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HC</w:t>
            </w:r>
          </w:p>
        </w:tc>
        <w:tc>
          <w:tcPr>
            <w:tcW w:w="46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0B1414D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OC</w:t>
            </w:r>
          </w:p>
        </w:tc>
        <w:tc>
          <w:tcPr>
            <w:tcW w:w="79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497E62C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AUC 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eastAsia="zh-CN"/>
              </w:rPr>
              <w:t>95% CI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1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6E60E2A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Sensitivity 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eastAsia="zh-CN"/>
              </w:rPr>
              <w:t>95% CI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6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126DBB3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Specificity 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eastAsia="zh-CN"/>
              </w:rPr>
              <w:t>95% CI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)</w:t>
            </w:r>
          </w:p>
        </w:tc>
      </w:tr>
      <w:tr w14:paraId="5FA72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047D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Internal validation cohort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08CF0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6B92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918A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46AE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4769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0C1C0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94E5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HC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highlight w:val="none"/>
              </w:rPr>
              <w:t xml:space="preserve"> vs.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OC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8B0C8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118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682C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115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243B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84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73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, 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95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FABA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2.17%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(8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5.79%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, 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5.83%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FC0DA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94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.07%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8.26%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, 97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.10%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</w:tr>
      <w:tr w14:paraId="75F80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FDD5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 xml:space="preserve">External validation cohort 1 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2783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1CC2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C712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1EAE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BFDC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5FE73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266F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HC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highlight w:val="none"/>
              </w:rPr>
              <w:t>vs.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OC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D30AA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FE550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150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93640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83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72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, 0.99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24205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90.00%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84.16%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, 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3.85%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AB03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4.87%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(9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0.21%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, 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7.38%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</w:tr>
      <w:tr w14:paraId="4EACD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4" w:type="pct"/>
            <w:tcBorders>
              <w:top w:val="nil"/>
              <w:left w:val="nil"/>
              <w:right w:val="nil"/>
            </w:tcBorders>
            <w:vAlign w:val="center"/>
          </w:tcPr>
          <w:p w14:paraId="34147F1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External validation cohort 2</w:t>
            </w:r>
          </w:p>
        </w:tc>
        <w:tc>
          <w:tcPr>
            <w:tcW w:w="459" w:type="pct"/>
            <w:tcBorders>
              <w:top w:val="nil"/>
              <w:left w:val="nil"/>
              <w:right w:val="nil"/>
            </w:tcBorders>
            <w:vAlign w:val="center"/>
          </w:tcPr>
          <w:p w14:paraId="6E3FBDD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vAlign w:val="center"/>
          </w:tcPr>
          <w:p w14:paraId="6514A50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98" w:type="pct"/>
            <w:tcBorders>
              <w:top w:val="nil"/>
              <w:left w:val="nil"/>
              <w:right w:val="nil"/>
            </w:tcBorders>
            <w:vAlign w:val="center"/>
          </w:tcPr>
          <w:p w14:paraId="601A203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11" w:type="pct"/>
            <w:tcBorders>
              <w:top w:val="nil"/>
              <w:left w:val="nil"/>
              <w:right w:val="nil"/>
            </w:tcBorders>
            <w:vAlign w:val="center"/>
          </w:tcPr>
          <w:p w14:paraId="51F9EC5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right w:val="nil"/>
            </w:tcBorders>
            <w:vAlign w:val="center"/>
          </w:tcPr>
          <w:p w14:paraId="508354E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4847F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F785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HC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highlight w:val="none"/>
              </w:rPr>
              <w:t xml:space="preserve">vs.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OC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36D2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120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4D6C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119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19F5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79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66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0.992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BEC1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0%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(8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5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2%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, 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5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.37%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71DD5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1.07%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84.34%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, 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5.08%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</w:tr>
      <w:tr w14:paraId="1C443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3A802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eastAsia="zh-CN"/>
              </w:rPr>
              <w:t>Chinese minority cohort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1FE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AB6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150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2E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5FF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01B64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4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E321C8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HC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highlight w:val="none"/>
              </w:rPr>
              <w:t xml:space="preserve"> vs.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OC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83527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56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E13E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63</w:t>
            </w:r>
          </w:p>
        </w:tc>
        <w:tc>
          <w:tcPr>
            <w:tcW w:w="79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38C52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82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(0.9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65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0.999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08CCE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0.48%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(8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0.74%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, 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5.56%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6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F8B1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1.07%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80.74%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96.13%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</w:tr>
    </w:tbl>
    <w:p w14:paraId="79C2F5E8">
      <w:pPr>
        <w:rPr>
          <w:rFonts w:hint="default" w:ascii="Times New Roman" w:hAnsi="Times New Roman" w:eastAsia="宋体" w:cs="Times New Roman"/>
          <w:kern w:val="0"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Abbreviation: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HC, healthy control;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OC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,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ovarian cancer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; AUC, area under the curve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;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 CI, confidence interval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; 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  <w:lang w:val="en-US" w:eastAsia="zh-CN"/>
        </w:rPr>
        <w:t xml:space="preserve">OD model, </w:t>
      </w:r>
      <w:r>
        <w:rPr>
          <w:rFonts w:ascii="Times New Roman" w:hAnsi="Times New Roman" w:cs="Times New Roman"/>
          <w:sz w:val="24"/>
          <w:highlight w:val="none"/>
        </w:rPr>
        <w:t>OC Detection model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.</w:t>
      </w:r>
      <w:r>
        <w:rPr>
          <w:rFonts w:ascii="Times New Roman" w:hAnsi="Times New Roman" w:cs="Times New Roman"/>
          <w:sz w:val="24"/>
          <w:highlight w:val="none"/>
        </w:rPr>
        <w:t xml:space="preserve"> </w:t>
      </w:r>
    </w:p>
    <w:p w14:paraId="24858E66">
      <w:pP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</w:pPr>
    </w:p>
    <w:p w14:paraId="170433A7">
      <w:pP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</w:pPr>
    </w:p>
    <w:p w14:paraId="01A30CBA"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br w:type="page"/>
      </w:r>
    </w:p>
    <w:p w14:paraId="1FFBECDC">
      <w:pPr>
        <w:widowControl/>
        <w:jc w:val="left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highlight w:val="none"/>
        </w:rPr>
        <w:t>Table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  <w:lang w:val="en-US" w:eastAsia="zh-CN"/>
        </w:rPr>
        <w:t xml:space="preserve"> 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8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 xml:space="preserve">Performance of OD model in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 xml:space="preserve">four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>validation cohorts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 xml:space="preserve"> at the s</w:t>
      </w:r>
      <w:r>
        <w:rPr>
          <w:rFonts w:ascii="Times New Roman" w:hAnsi="Times New Roman" w:cs="Times New Roman"/>
          <w:b/>
          <w:bCs/>
          <w:color w:val="000000"/>
          <w:sz w:val="24"/>
          <w:highlight w:val="none"/>
        </w:rPr>
        <w:t>pecificity</w:t>
      </w:r>
      <w:r>
        <w:rPr>
          <w:rFonts w:hint="eastAsia" w:ascii="Times New Roman" w:hAnsi="Times New Roman" w:cs="Times New Roman"/>
          <w:b/>
          <w:bCs/>
          <w:color w:val="000000"/>
          <w:sz w:val="24"/>
          <w:highlight w:val="none"/>
          <w:lang w:val="en-US" w:eastAsia="zh-CN"/>
        </w:rPr>
        <w:t xml:space="preserve"> of 99%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>.</w:t>
      </w:r>
    </w:p>
    <w:tbl>
      <w:tblPr>
        <w:tblStyle w:val="17"/>
        <w:tblW w:w="4835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8"/>
        <w:gridCol w:w="1368"/>
        <w:gridCol w:w="1393"/>
        <w:gridCol w:w="2379"/>
        <w:gridCol w:w="3014"/>
        <w:gridCol w:w="3178"/>
      </w:tblGrid>
      <w:tr w14:paraId="7646D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194" w:type="pct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4BD0A75A"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45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6EF5F71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HC</w:t>
            </w:r>
          </w:p>
        </w:tc>
        <w:tc>
          <w:tcPr>
            <w:tcW w:w="46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71561FD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OC</w:t>
            </w:r>
          </w:p>
        </w:tc>
        <w:tc>
          <w:tcPr>
            <w:tcW w:w="79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46C368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AUC (95%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CI)</w:t>
            </w:r>
          </w:p>
        </w:tc>
        <w:tc>
          <w:tcPr>
            <w:tcW w:w="101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606EB16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Sensitivity (95%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CI)</w:t>
            </w:r>
          </w:p>
        </w:tc>
        <w:tc>
          <w:tcPr>
            <w:tcW w:w="106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5F8FA81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Specificity (95%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CI)</w:t>
            </w:r>
          </w:p>
        </w:tc>
      </w:tr>
      <w:tr w14:paraId="230B0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8835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Internal validation cohort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2018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DD08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2541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57E10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F638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396E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B18C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HC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highlight w:val="none"/>
              </w:rPr>
              <w:t xml:space="preserve"> vs.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OC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C8AD6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118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D678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115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A700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84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73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, 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95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5379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81.74%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73.69%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87.83%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A57C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7.46%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92.79%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, 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9.31%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</w:tr>
      <w:tr w14:paraId="35433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2D1D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 xml:space="preserve">External validation cohort 1 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CCD3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C944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1268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FD2C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BA3B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1CC9C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AE52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HC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highlight w:val="none"/>
              </w:rPr>
              <w:t>vs.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OC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B4C3A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F388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150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EF5D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83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72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, 0.99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B610A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68.00%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60.17%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74.94%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0F31E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99.36%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(9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6.46%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99.97%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</w:tr>
      <w:tr w14:paraId="597A9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4" w:type="pct"/>
            <w:tcBorders>
              <w:top w:val="nil"/>
              <w:left w:val="nil"/>
              <w:right w:val="nil"/>
            </w:tcBorders>
            <w:vAlign w:val="center"/>
          </w:tcPr>
          <w:p w14:paraId="324925F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External validation cohort 2</w:t>
            </w:r>
          </w:p>
        </w:tc>
        <w:tc>
          <w:tcPr>
            <w:tcW w:w="459" w:type="pct"/>
            <w:tcBorders>
              <w:top w:val="nil"/>
              <w:left w:val="nil"/>
              <w:right w:val="nil"/>
            </w:tcBorders>
            <w:vAlign w:val="center"/>
          </w:tcPr>
          <w:p w14:paraId="1B10BEA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vAlign w:val="center"/>
          </w:tcPr>
          <w:p w14:paraId="7682FFBE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98" w:type="pct"/>
            <w:tcBorders>
              <w:top w:val="nil"/>
              <w:left w:val="nil"/>
              <w:right w:val="nil"/>
            </w:tcBorders>
            <w:vAlign w:val="center"/>
          </w:tcPr>
          <w:p w14:paraId="36DD3DF5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11" w:type="pct"/>
            <w:tcBorders>
              <w:top w:val="nil"/>
              <w:left w:val="nil"/>
              <w:right w:val="nil"/>
            </w:tcBorders>
            <w:vAlign w:val="center"/>
          </w:tcPr>
          <w:p w14:paraId="26B9E1D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right w:val="nil"/>
            </w:tcBorders>
            <w:vAlign w:val="center"/>
          </w:tcPr>
          <w:p w14:paraId="26DA4A7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281F4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19AB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HC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highlight w:val="none"/>
              </w:rPr>
              <w:t xml:space="preserve">vs.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OC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D2C7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120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8984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119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F80D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79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66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0.992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0717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71.43%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62.74%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78.78%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4D40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99.17%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95.43%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99.96%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</w:tr>
      <w:tr w14:paraId="26B0D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B46EB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eastAsia="zh-CN"/>
              </w:rPr>
              <w:t>Chinese minority cohort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2E2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8F1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8F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F56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780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35A27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4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FDE16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HC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highlight w:val="none"/>
              </w:rPr>
              <w:t xml:space="preserve"> vs.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OC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A4AC1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56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CBFFD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63</w:t>
            </w:r>
          </w:p>
        </w:tc>
        <w:tc>
          <w:tcPr>
            <w:tcW w:w="79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6195B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82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(0.9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65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0.999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42B98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53.97%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41.79%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65.69%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6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F2C0E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99.99%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93.58%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99.99%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</w:tr>
    </w:tbl>
    <w:p w14:paraId="6F19B2E3">
      <w:pPr>
        <w:rPr>
          <w:rFonts w:hint="default" w:ascii="Times New Roman" w:hAnsi="Times New Roman" w:eastAsia="宋体" w:cs="Times New Roman"/>
          <w:kern w:val="0"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Abbreviation: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HC, healthy control;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OC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,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ovarian cancer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; AUC, area under the curve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;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 CI, confidence interval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; 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  <w:lang w:val="en-US" w:eastAsia="zh-CN"/>
        </w:rPr>
        <w:t xml:space="preserve">OD model, </w:t>
      </w:r>
      <w:r>
        <w:rPr>
          <w:rFonts w:ascii="Times New Roman" w:hAnsi="Times New Roman" w:cs="Times New Roman"/>
          <w:sz w:val="24"/>
          <w:highlight w:val="none"/>
        </w:rPr>
        <w:t>OC Detection model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.</w:t>
      </w:r>
      <w:r>
        <w:rPr>
          <w:rFonts w:ascii="Times New Roman" w:hAnsi="Times New Roman" w:cs="Times New Roman"/>
          <w:sz w:val="24"/>
          <w:highlight w:val="none"/>
        </w:rPr>
        <w:t xml:space="preserve"> </w:t>
      </w:r>
    </w:p>
    <w:p w14:paraId="4EC462E7">
      <w:pP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</w:pPr>
    </w:p>
    <w:p w14:paraId="20AEDCF1">
      <w:pP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br w:type="page"/>
      </w:r>
    </w:p>
    <w:p w14:paraId="151F60C1">
      <w:pP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</w:pPr>
    </w:p>
    <w:p w14:paraId="145594D9">
      <w:pP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highlight w:val="none"/>
        </w:rPr>
        <w:t>Table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  <w:lang w:val="en-US" w:eastAsia="zh-CN"/>
        </w:rPr>
        <w:t xml:space="preserve"> 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9. P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>erformance of three CA125/HE4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>based models for distinguishing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 xml:space="preserve"> OC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 xml:space="preserve">from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HC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 xml:space="preserve"> in the validation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cohorts.</w:t>
      </w:r>
    </w:p>
    <w:tbl>
      <w:tblPr>
        <w:tblStyle w:val="17"/>
        <w:tblW w:w="1540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2"/>
        <w:gridCol w:w="4832"/>
        <w:gridCol w:w="4575"/>
      </w:tblGrid>
      <w:tr w14:paraId="692CA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600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DA9250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483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BB1C8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Sensitivity (95% CI)</w:t>
            </w:r>
          </w:p>
        </w:tc>
        <w:tc>
          <w:tcPr>
            <w:tcW w:w="457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C5797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Specificity (95% CI)</w:t>
            </w:r>
          </w:p>
        </w:tc>
      </w:tr>
      <w:tr w14:paraId="37748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2" w:type="dxa"/>
            <w:tcBorders>
              <w:top w:val="single" w:color="auto" w:sz="4" w:space="0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4AEF578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Binary rule</w:t>
            </w:r>
          </w:p>
        </w:tc>
        <w:tc>
          <w:tcPr>
            <w:tcW w:w="4832" w:type="dxa"/>
            <w:tcBorders>
              <w:top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B0625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90.2% (87.7%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92.3%)</w:t>
            </w:r>
          </w:p>
        </w:tc>
        <w:tc>
          <w:tcPr>
            <w:tcW w:w="4575" w:type="dxa"/>
            <w:tcBorders>
              <w:top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235568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73.7% (70.3%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76.9%)</w:t>
            </w:r>
          </w:p>
        </w:tc>
      </w:tr>
      <w:tr w14:paraId="040D3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9EE585A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Logistic regression (continuous CA125 &amp; HE4)</w:t>
            </w:r>
          </w:p>
        </w:tc>
        <w:tc>
          <w:tcPr>
            <w:tcW w:w="483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46339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84.3% (80.6%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87.5%)</w:t>
            </w:r>
          </w:p>
        </w:tc>
        <w:tc>
          <w:tcPr>
            <w:tcW w:w="457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B87C0F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94.4% (91.8%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96.3%)</w:t>
            </w:r>
          </w:p>
        </w:tc>
      </w:tr>
      <w:tr w14:paraId="404D3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2" w:type="dxa"/>
            <w:tcBorders>
              <w:bottom w:val="single" w:color="auto" w:sz="4" w:space="0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916023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 xml:space="preserve">ROMA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ndex</w:t>
            </w:r>
          </w:p>
        </w:tc>
        <w:tc>
          <w:tcPr>
            <w:tcW w:w="4832" w:type="dxa"/>
            <w:tcBorders>
              <w:bottom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0371E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89.5% (87.1%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91.5%)</w:t>
            </w:r>
          </w:p>
        </w:tc>
        <w:tc>
          <w:tcPr>
            <w:tcW w:w="4575" w:type="dxa"/>
            <w:tcBorders>
              <w:bottom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F56F9D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76.4% (73.1%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79.5%)</w:t>
            </w:r>
          </w:p>
        </w:tc>
      </w:tr>
    </w:tbl>
    <w:p w14:paraId="723C35A9">
      <w:pP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kern w:val="0"/>
          <w:sz w:val="24"/>
          <w:highlight w:val="none"/>
        </w:rPr>
        <w:t>Abbreviation: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  <w:lang w:val="en-US" w:eastAsia="zh-CN"/>
        </w:rPr>
        <w:t xml:space="preserve">OD model, </w:t>
      </w:r>
      <w:r>
        <w:rPr>
          <w:rFonts w:ascii="Times New Roman" w:hAnsi="Times New Roman" w:cs="Times New Roman"/>
          <w:sz w:val="24"/>
          <w:highlight w:val="none"/>
        </w:rPr>
        <w:t>OC Detection model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CA125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, Cancer Antigen 125; HE4, Human Epididymis Protein 4; OC, ovarian cancer; HC, healthy control; CI, confidence interval; 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ROMA, Risk of Ovarian Malignancy Algorithm.</w:t>
      </w:r>
    </w:p>
    <w:p w14:paraId="737FA934">
      <w:pP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Notes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: Binary rule: positivity defined as CA125 ≥35 U/mL, or HE4 ≥68.5 pmol/L for premenopausal women and ≥114.9 pmol/L for postmenopausal women.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Logistic regression model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was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trained on the training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cohor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t using log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noBreakHyphen/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transformed CA125 and HE4 as continuous predictors; the predicted probability formula is: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logit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(P)=−13.4160+1.6574×ln(CA125)+1.6154×ln(HE4)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a cutoff of 0.433 (corresponding to 95% specificity in the training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>cohort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) was applied.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ROMA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>I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ndex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was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calculated using menopausal status with the recommended cutoffs: premenopausal ≥7.4%, postmenopausal ≥25.3%.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</w:t>
      </w:r>
    </w:p>
    <w:p w14:paraId="6B6177F7">
      <w:pP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br w:type="page"/>
      </w:r>
    </w:p>
    <w:p w14:paraId="4758F4CD">
      <w:pPr>
        <w:widowControl/>
        <w:rPr>
          <w:rFonts w:hint="default" w:ascii="Times New Roman" w:hAnsi="Times New Roman" w:eastAsia="宋体" w:cs="Times New Roman"/>
          <w:b/>
          <w:bCs/>
          <w:color w:val="000000"/>
          <w:kern w:val="0"/>
          <w:sz w:val="22"/>
          <w:szCs w:val="22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highlight w:val="none"/>
        </w:rPr>
        <w:t>Table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  <w:lang w:val="en-US" w:eastAsia="zh-CN"/>
        </w:rPr>
        <w:t xml:space="preserve"> 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10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 xml:space="preserve">. Performance of the OD model across subgroups in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 xml:space="preserve">the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>combined validation cohort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s.</w:t>
      </w:r>
    </w:p>
    <w:tbl>
      <w:tblPr>
        <w:tblStyle w:val="17"/>
        <w:tblW w:w="4665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1"/>
        <w:gridCol w:w="1519"/>
        <w:gridCol w:w="1127"/>
        <w:gridCol w:w="2683"/>
        <w:gridCol w:w="2965"/>
        <w:gridCol w:w="3341"/>
      </w:tblGrid>
      <w:tr w14:paraId="0D939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950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FA50E7E"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28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A29E67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HC</w:t>
            </w:r>
          </w:p>
        </w:tc>
        <w:tc>
          <w:tcPr>
            <w:tcW w:w="392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47A61C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OC</w:t>
            </w:r>
          </w:p>
        </w:tc>
        <w:tc>
          <w:tcPr>
            <w:tcW w:w="933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60507B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AUC 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eastAsia="zh-CN"/>
              </w:rPr>
              <w:t>95% CI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3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6A07140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Sensitivity 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eastAsia="zh-CN"/>
              </w:rPr>
              <w:t>95% CI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16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2C987B7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Specificity 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eastAsia="zh-CN"/>
              </w:rPr>
              <w:t>95% CI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)</w:t>
            </w:r>
          </w:p>
        </w:tc>
      </w:tr>
      <w:tr w14:paraId="4B9FE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50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D471F8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FIGO stage</w:t>
            </w:r>
          </w:p>
        </w:tc>
        <w:tc>
          <w:tcPr>
            <w:tcW w:w="528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C90FE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92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171A5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33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FEED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330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920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3B2D2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057C2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I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38C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450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157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120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A22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82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(0.9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74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, 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90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AD1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1.67%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85.34%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95.41%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AA7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3.33%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(9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0.64%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95.29%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</w:tr>
      <w:tr w14:paraId="5BAA2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96FFB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II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9C8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450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FDB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61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ACF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73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(0.9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59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, 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87A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81.97%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(70.53%, 89.62%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EE06E"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eastAsia="zh-CN"/>
              </w:rPr>
              <w:t>93.33% (90.64%, 95.29%)</w:t>
            </w:r>
          </w:p>
        </w:tc>
      </w:tr>
      <w:tr w14:paraId="13994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9512E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III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C1A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450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8CE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182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9C6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82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(0.9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74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, 0.99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4BF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91.76%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86.85%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94.94%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C4DCA"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eastAsia="zh-CN"/>
              </w:rPr>
              <w:t>93.33% (90.64%, 95.29%)</w:t>
            </w:r>
          </w:p>
        </w:tc>
      </w:tr>
      <w:tr w14:paraId="5BA8C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027A9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IV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E796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450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52E5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F1D5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86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78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0.994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6525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5.24%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88.39%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8.13%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11651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eastAsia="zh-CN"/>
              </w:rPr>
              <w:t>93.33% (90.64%, 95.29%)</w:t>
            </w:r>
          </w:p>
        </w:tc>
      </w:tr>
      <w:tr w14:paraId="542A6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AE78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Histological types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019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5A0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B0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AE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7FA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35971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782A7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HGSOC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C2CB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450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C3F9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290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19A1E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82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(0.9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76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, 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2453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91.72%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7.98%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94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.38%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54FE7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eastAsia="zh-CN"/>
              </w:rPr>
              <w:t>93.33% (90.64%, 95.29%)</w:t>
            </w:r>
          </w:p>
        </w:tc>
      </w:tr>
      <w:tr w14:paraId="1F741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49AE8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MC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75946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450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8A59A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5DBB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980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66,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 xml:space="preserve"> 0.99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ABBFE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87.50%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75.30%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94.14%</w:t>
            </w:r>
            <w:r>
              <w:rPr>
                <w:rFonts w:hint="eastAsia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AE82D"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eastAsia="zh-CN"/>
              </w:rPr>
              <w:t>93.33% (90.64%, 95.29%)</w:t>
            </w:r>
          </w:p>
        </w:tc>
      </w:tr>
      <w:tr w14:paraId="4CA47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3538B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CCC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8C90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450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5AB20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2B55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83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70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0.995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33508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1.67%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0.45%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6.71%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61B65"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eastAsia="zh-CN"/>
              </w:rPr>
              <w:t>93.33% (90.64%, 95.29%)</w:t>
            </w:r>
          </w:p>
        </w:tc>
      </w:tr>
      <w:tr w14:paraId="184AC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C48AA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EC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C91B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450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E681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35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C92C0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80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68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0.992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6996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91.43%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7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7.62%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7.04%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7F377"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eastAsia="zh-CN"/>
              </w:rPr>
              <w:t>93.33% (90.64%, 95.29%)</w:t>
            </w:r>
          </w:p>
        </w:tc>
      </w:tr>
      <w:tr w14:paraId="0CC29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B6603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LGSOC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526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450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7C8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26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FF0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76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(0.9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55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0.996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944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88.46%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7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1.02%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6.00%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E1571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eastAsia="zh-CN"/>
              </w:rPr>
              <w:t>93.33% (90.64%, 95.29%)</w:t>
            </w:r>
          </w:p>
        </w:tc>
      </w:tr>
      <w:tr w14:paraId="3A2B0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5353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As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cites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78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4D2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F8A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954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76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545F4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2A9C2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W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ith ascites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7348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450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793C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222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C5C76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81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(0.9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70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, 0.99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3CC66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2.79%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8.61%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5.52%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51B00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eastAsia="zh-CN"/>
              </w:rPr>
              <w:t>93.33% (90.64%, 95.29%)</w:t>
            </w:r>
          </w:p>
        </w:tc>
      </w:tr>
      <w:tr w14:paraId="6BA36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D90A5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W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ithout ascites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2FE9A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450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E530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225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421C4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82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975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, 0.99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0171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89.33%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4.62%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92.73%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2EB14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eastAsia="zh-CN"/>
              </w:rPr>
              <w:t>93.33% (90.64%, 95.29%)</w:t>
            </w:r>
          </w:p>
        </w:tc>
      </w:tr>
      <w:tr w14:paraId="6B4DE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100B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Men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strual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 xml:space="preserve"> status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4A9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A18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AD9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4AC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A0D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7C35F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2B99A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Premenopause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721E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450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BCC3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145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74B0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84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76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, 0.99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52F1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1.72%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6.09%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5.20%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C7B5F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eastAsia="zh-CN"/>
              </w:rPr>
              <w:t>93.33% (90.64%, 95.29%)</w:t>
            </w:r>
          </w:p>
        </w:tc>
      </w:tr>
      <w:tr w14:paraId="23F9B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77743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Postmenopause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7133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450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80E1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302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0CF7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81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74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, 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88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4A72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7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3%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86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.93%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3.51%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C8A16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eastAsia="zh-CN"/>
              </w:rPr>
              <w:t>93.33% (90.64%, 95.29%)</w:t>
            </w:r>
          </w:p>
        </w:tc>
      </w:tr>
      <w:tr w14:paraId="78520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8D39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Parity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AD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FCA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DF2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B11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960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03E1D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9ADD9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≤ 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F5918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450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9998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109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49A06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85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76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, 0.99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5D64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3.58%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87.33%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6.85%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A7CE6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eastAsia="zh-CN"/>
              </w:rPr>
              <w:t>93.33% (90.64%, 95.29%)</w:t>
            </w:r>
          </w:p>
        </w:tc>
      </w:tr>
      <w:tr w14:paraId="2CAE4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50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09E9EE5B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≥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2</w:t>
            </w:r>
          </w:p>
        </w:tc>
        <w:tc>
          <w:tcPr>
            <w:tcW w:w="528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6E69C57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450</w:t>
            </w:r>
          </w:p>
        </w:tc>
        <w:tc>
          <w:tcPr>
            <w:tcW w:w="392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6ACA419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3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8</w:t>
            </w:r>
          </w:p>
        </w:tc>
        <w:tc>
          <w:tcPr>
            <w:tcW w:w="933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6C4367B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81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74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, 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7)</w:t>
            </w:r>
          </w:p>
        </w:tc>
        <w:tc>
          <w:tcPr>
            <w:tcW w:w="1031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70EECF4A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0.24%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(8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6.61%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, 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2.96%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162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49334CF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eastAsia="zh-CN"/>
              </w:rPr>
              <w:t>93.33% (90.64%, 95.29%)</w:t>
            </w:r>
          </w:p>
        </w:tc>
      </w:tr>
    </w:tbl>
    <w:p w14:paraId="6B7A80DE">
      <w:pPr>
        <w:rPr>
          <w:rFonts w:hint="default" w:ascii="Times New Roman" w:hAnsi="Times New Roman" w:cs="Times New Roman" w:eastAsiaTheme="minorEastAsia"/>
          <w:kern w:val="0"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Abbreviation: HC, healthy control;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OC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,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ovarian cancer;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 AUC, area under the curve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;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 CI, confidence interval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; 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  <w:lang w:val="en-US" w:eastAsia="zh-CN"/>
        </w:rPr>
        <w:t xml:space="preserve">OD model, </w:t>
      </w:r>
      <w:r>
        <w:rPr>
          <w:rFonts w:ascii="Times New Roman" w:hAnsi="Times New Roman" w:cs="Times New Roman"/>
          <w:sz w:val="24"/>
          <w:highlight w:val="none"/>
        </w:rPr>
        <w:t>OC Detection model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; HGSOC, </w:t>
      </w:r>
      <w:r>
        <w:rPr>
          <w:rFonts w:ascii="Times New Roman" w:hAnsi="Times New Roman" w:cs="Times New Roman"/>
          <w:sz w:val="24"/>
          <w:highlight w:val="none"/>
        </w:rPr>
        <w:t>high-grade serous ovarian carcinoma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; MC</w:t>
      </w:r>
      <w:r>
        <w:rPr>
          <w:rFonts w:ascii="Times New Roman" w:hAnsi="Times New Roman" w:cs="Times New Roman"/>
          <w:sz w:val="24"/>
          <w:highlight w:val="none"/>
        </w:rPr>
        <w:t xml:space="preserve"> mucinous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highlight w:val="none"/>
        </w:rPr>
        <w:t>carcinoma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; CCC,</w:t>
      </w:r>
      <w:r>
        <w:rPr>
          <w:rFonts w:ascii="Times New Roman" w:hAnsi="Times New Roman" w:cs="Times New Roman"/>
          <w:sz w:val="24"/>
          <w:highlight w:val="none"/>
        </w:rPr>
        <w:t xml:space="preserve"> clear cell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highlight w:val="none"/>
        </w:rPr>
        <w:t>carcinoma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; EC, </w:t>
      </w:r>
      <w:r>
        <w:rPr>
          <w:rFonts w:ascii="Times New Roman" w:hAnsi="Times New Roman" w:cs="Times New Roman"/>
          <w:sz w:val="24"/>
          <w:highlight w:val="none"/>
        </w:rPr>
        <w:t>endometrioid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highlight w:val="none"/>
        </w:rPr>
        <w:t>carcinoma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;</w:t>
      </w:r>
      <w:r>
        <w:rPr>
          <w:rFonts w:ascii="Times New Roman" w:hAnsi="Times New Roman" w:cs="Times New Roman"/>
          <w:sz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LGSOC, </w:t>
      </w:r>
      <w:r>
        <w:rPr>
          <w:rFonts w:ascii="Times New Roman" w:hAnsi="Times New Roman" w:cs="Times New Roman"/>
          <w:sz w:val="24"/>
          <w:highlight w:val="none"/>
        </w:rPr>
        <w:t xml:space="preserve">low-grade serous ovarian carcinomas, </w:t>
      </w:r>
    </w:p>
    <w:p w14:paraId="4ECC5EB4">
      <w:pPr>
        <w:ind w:firstLine="480" w:firstLineChars="200"/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</w:pPr>
    </w:p>
    <w:p w14:paraId="5DDB0A6E">
      <w:pP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</w:t>
      </w:r>
    </w:p>
    <w:p w14:paraId="58FA3992">
      <w:pPr>
        <w:jc w:val="both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highlight w:val="none"/>
        </w:rPr>
        <w:t>Table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  <w:lang w:val="en-US" w:eastAsia="zh-CN"/>
        </w:rPr>
        <w:t xml:space="preserve"> 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11</w:t>
      </w:r>
      <w:r>
        <w:rPr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.</w:t>
      </w: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 xml:space="preserve">Top 50 features ranked by mean importance in the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BMD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 xml:space="preserve"> model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.</w:t>
      </w:r>
    </w:p>
    <w:tbl>
      <w:tblPr>
        <w:tblStyle w:val="17"/>
        <w:tblW w:w="1529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2"/>
        <w:gridCol w:w="3822"/>
        <w:gridCol w:w="3822"/>
        <w:gridCol w:w="3825"/>
      </w:tblGrid>
      <w:tr w14:paraId="3534B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342DAAE">
            <w:pPr>
              <w:ind w:firstLine="240" w:firstLineChars="100"/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Feature</w:t>
            </w:r>
          </w:p>
        </w:tc>
        <w:tc>
          <w:tcPr>
            <w:tcW w:w="38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AB9FF2"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Gini importance</w:t>
            </w:r>
          </w:p>
        </w:tc>
        <w:tc>
          <w:tcPr>
            <w:tcW w:w="38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FCB1EB"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Feature</w:t>
            </w:r>
          </w:p>
        </w:tc>
        <w:tc>
          <w:tcPr>
            <w:tcW w:w="38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814456B"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Gini importance</w:t>
            </w:r>
          </w:p>
        </w:tc>
      </w:tr>
      <w:tr w14:paraId="6B7B5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F9347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CATT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5A47C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0.9091829 </w:t>
            </w:r>
          </w:p>
        </w:tc>
        <w:tc>
          <w:tcPr>
            <w:tcW w:w="38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424D9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GACT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F6396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0.5204665 </w:t>
            </w:r>
          </w:p>
        </w:tc>
      </w:tr>
      <w:tr w14:paraId="32DE9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FEE96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CAAT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E2FDA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0.7229156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E52CF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CTTC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B2F99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0.5148586 </w:t>
            </w:r>
          </w:p>
        </w:tc>
      </w:tr>
      <w:tr w14:paraId="4D64A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1C38F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TACA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7280A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0.7180901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91106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CCTC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B7255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0.5104876 </w:t>
            </w:r>
          </w:p>
        </w:tc>
      </w:tr>
      <w:tr w14:paraId="3A89B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77CC6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CATC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EDB13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0.7081921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EAA45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GA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A01C4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0.5006550 </w:t>
            </w:r>
          </w:p>
        </w:tc>
      </w:tr>
      <w:tr w14:paraId="15144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40880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CAGT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91AA1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0.6809217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6836D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CGTT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11541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0.4998197 </w:t>
            </w:r>
          </w:p>
        </w:tc>
      </w:tr>
      <w:tr w14:paraId="68FC0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A53C4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CTTT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2618E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0.6788427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F0E58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CAAG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559BF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0.4931898 </w:t>
            </w:r>
          </w:p>
        </w:tc>
      </w:tr>
      <w:tr w14:paraId="3D67A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43259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CAT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636B3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0.6751146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CA0E0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TGTC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4AAB7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0.4906802 </w:t>
            </w:r>
          </w:p>
        </w:tc>
      </w:tr>
      <w:tr w14:paraId="0E257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6D6EC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TACT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ABCD3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0.6506940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377D3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GAGG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47732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0.4819341 </w:t>
            </w:r>
          </w:p>
        </w:tc>
      </w:tr>
      <w:tr w14:paraId="49B1E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6A09C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TGC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AEB90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0.6499281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76606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AAAA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4CD75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0.4781176 </w:t>
            </w:r>
          </w:p>
        </w:tc>
      </w:tr>
      <w:tr w14:paraId="3AF2E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66516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TGCT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E41A6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0.6285840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43BA5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GTTT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BB67E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0.4777093 </w:t>
            </w:r>
          </w:p>
        </w:tc>
      </w:tr>
      <w:tr w14:paraId="5BAC0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0A8B6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CA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6063C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0.6259690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28B2D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TGAT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23885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0.4740138 </w:t>
            </w:r>
          </w:p>
        </w:tc>
      </w:tr>
      <w:tr w14:paraId="578B6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75302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CAA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A0362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0.6239013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1A309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AA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AAA59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0.4725559 </w:t>
            </w:r>
          </w:p>
        </w:tc>
      </w:tr>
      <w:tr w14:paraId="201C4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A4676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GAAA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C1425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0.6137364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334A0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TG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66C7E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0.4707971 </w:t>
            </w:r>
          </w:p>
        </w:tc>
      </w:tr>
      <w:tr w14:paraId="562AA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EA1C9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CAGG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AA405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0.6109516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49D0F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TAAC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90387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0.4618968 </w:t>
            </w:r>
          </w:p>
        </w:tc>
      </w:tr>
      <w:tr w14:paraId="23F97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6549C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AAA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6D25A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0.6058840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1ED69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CAG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CFF57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0.4609181 </w:t>
            </w:r>
          </w:p>
        </w:tc>
      </w:tr>
      <w:tr w14:paraId="0C306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253A0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AATT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65912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0.5913644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AFEA2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TGGA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BADE8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0.4598360 </w:t>
            </w:r>
          </w:p>
        </w:tc>
      </w:tr>
      <w:tr w14:paraId="4C5A9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F9377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TGCC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B71F4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0.5723877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407A1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CAAA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0F392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0.4493610 </w:t>
            </w:r>
          </w:p>
        </w:tc>
      </w:tr>
      <w:tr w14:paraId="0D2A9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40379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AAAG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368BC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0.5646853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9A509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GAC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3892C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0.4392721 </w:t>
            </w:r>
          </w:p>
        </w:tc>
      </w:tr>
      <w:tr w14:paraId="2F0AF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E82C7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AAAT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5F54F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0.5532533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92FCF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AUDC_nega_164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F5038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0.4390803 </w:t>
            </w:r>
          </w:p>
        </w:tc>
      </w:tr>
      <w:tr w14:paraId="2777A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86AEF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CTT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79CE2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0.5383852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D4C2B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AUDC_nega_55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9C957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0.4337806 </w:t>
            </w:r>
          </w:p>
        </w:tc>
      </w:tr>
      <w:tr w14:paraId="5ABB0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7D078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TGCA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57A36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0.5328100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3597A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AATC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2B158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0.4333293 </w:t>
            </w:r>
          </w:p>
        </w:tc>
      </w:tr>
      <w:tr w14:paraId="5B47A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D98A3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GAA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B12D1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0.5282141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FCBAF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GTTC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E568C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0.4277639 </w:t>
            </w:r>
          </w:p>
        </w:tc>
      </w:tr>
      <w:tr w14:paraId="4879D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9683A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GATT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2518A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0.5249664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7811B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TGA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EAEF0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0.4194170 </w:t>
            </w:r>
          </w:p>
        </w:tc>
      </w:tr>
      <w:tr w14:paraId="1211B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A877D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TAC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CA1B8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0.5247837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6E045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TGTA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082B4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0.4161836 </w:t>
            </w:r>
          </w:p>
        </w:tc>
      </w:tr>
      <w:tr w14:paraId="7CE80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2A744E4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TATG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E5539BE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0.5227446 </w:t>
            </w:r>
          </w:p>
        </w:tc>
        <w:tc>
          <w:tcPr>
            <w:tcW w:w="38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75A5DB6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proportion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of CGAG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-end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6DA19A6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0.4159200 </w:t>
            </w:r>
          </w:p>
        </w:tc>
      </w:tr>
    </w:tbl>
    <w:p w14:paraId="3EBB1A90">
      <w:pPr>
        <w:rPr>
          <w:rFonts w:hint="default" w:ascii="Times New Roman" w:hAnsi="Times New Roman" w:eastAsia="宋体" w:cs="Times New Roman"/>
          <w:kern w:val="0"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kern w:val="0"/>
          <w:sz w:val="24"/>
          <w:highlight w:val="none"/>
        </w:rPr>
        <w:t>Abbreviation: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  <w:lang w:val="en-US" w:eastAsia="zh-CN"/>
        </w:rPr>
        <w:t xml:space="preserve">BMD model, </w:t>
      </w:r>
      <w:r>
        <w:rPr>
          <w:rFonts w:ascii="Times New Roman" w:hAnsi="Times New Roman" w:cs="Times New Roman"/>
          <w:sz w:val="24"/>
          <w:highlight w:val="none"/>
        </w:rPr>
        <w:t>Benign</w:t>
      </w:r>
      <w:r>
        <w:rPr>
          <w:rFonts w:ascii="Times New Roman" w:hAnsi="Times New Roman" w:cs="Times New Roman"/>
          <w:i/>
          <w:iCs/>
          <w:sz w:val="24"/>
          <w:highlight w:val="none"/>
        </w:rPr>
        <w:t xml:space="preserve"> vs.</w:t>
      </w:r>
      <w:r>
        <w:rPr>
          <w:rFonts w:ascii="Times New Roman" w:hAnsi="Times New Roman" w:cs="Times New Roman"/>
          <w:sz w:val="24"/>
          <w:highlight w:val="none"/>
        </w:rPr>
        <w:t xml:space="preserve"> Malignant Differential diagnosis model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.</w:t>
      </w:r>
      <w:r>
        <w:rPr>
          <w:rFonts w:ascii="Times New Roman" w:hAnsi="Times New Roman" w:cs="Times New Roman"/>
          <w:sz w:val="24"/>
          <w:highlight w:val="none"/>
        </w:rPr>
        <w:t xml:space="preserve"> </w:t>
      </w:r>
    </w:p>
    <w:p w14:paraId="6A493D0F">
      <w:pPr>
        <w:rPr>
          <w:rFonts w:hint="eastAsia" w:ascii="Times New Roman" w:hAnsi="Times New Roman" w:eastAsia="宋体" w:cs="Times New Roman"/>
          <w:kern w:val="0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</w:rPr>
        <w:t>otes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  <w:lang w:val="en-US" w:eastAsia="zh-CN"/>
        </w:rPr>
        <w:t xml:space="preserve">: (i) the proportion of 5' -end: Frequency distributions of 2-mer, 3-mer, and 4-mer motifs at fragment 5' ends; (ii)AUDC_nega_n/AUDC_posi_n: area of negative (y&lt;0) or positive (y&gt;0) peaks in window n of 255 (baseline FSD=0). </w:t>
      </w:r>
    </w:p>
    <w:p w14:paraId="71898CD0">
      <w:pPr>
        <w:rPr>
          <w:rFonts w:hint="eastAsia" w:ascii="Times New Roman" w:hAnsi="Times New Roman" w:eastAsia="宋体" w:cs="Times New Roman"/>
          <w:kern w:val="0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highlight w:val="none"/>
          <w:lang w:val="en-US" w:eastAsia="zh-CN"/>
        </w:rPr>
        <w:br w:type="page"/>
      </w:r>
    </w:p>
    <w:p w14:paraId="645C27E3">
      <w:pPr>
        <w:rPr>
          <w:rFonts w:hint="eastAsia" w:ascii="Times New Roman" w:hAnsi="Times New Roman" w:eastAsia="宋体" w:cs="Times New Roman"/>
          <w:kern w:val="0"/>
          <w:sz w:val="24"/>
          <w:highlight w:val="none"/>
          <w:lang w:val="en-US" w:eastAsia="zh-CN"/>
        </w:rPr>
      </w:pPr>
    </w:p>
    <w:p w14:paraId="07000EC7">
      <w:pP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highlight w:val="none"/>
        </w:rPr>
        <w:t>Table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  <w:lang w:val="en-US" w:eastAsia="zh-CN"/>
        </w:rPr>
        <w:t xml:space="preserve"> 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12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 xml:space="preserve">Performance of the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BMD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 xml:space="preserve"> model at predefined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>ensitivity thresholds (9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9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>%, 9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>%)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.</w:t>
      </w:r>
    </w:p>
    <w:tbl>
      <w:tblPr>
        <w:tblStyle w:val="17"/>
        <w:tblpPr w:leftFromText="180" w:rightFromText="180" w:vertAnchor="text" w:horzAnchor="page" w:tblpX="865" w:tblpY="163"/>
        <w:tblOverlap w:val="never"/>
        <w:tblW w:w="1523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7"/>
        <w:gridCol w:w="5077"/>
        <w:gridCol w:w="5078"/>
      </w:tblGrid>
      <w:tr w14:paraId="3996D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077" w:type="dxa"/>
            <w:vMerge w:val="restart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37508E05">
            <w:pPr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  <w:t>Target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Sensitivity</w:t>
            </w:r>
          </w:p>
        </w:tc>
        <w:tc>
          <w:tcPr>
            <w:tcW w:w="507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5FC685F7">
            <w:pPr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Specificity 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95% CI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)</w:t>
            </w:r>
          </w:p>
        </w:tc>
        <w:tc>
          <w:tcPr>
            <w:tcW w:w="507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51C8BEA7">
            <w:pPr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Sensitivity 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95% CI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)</w:t>
            </w:r>
          </w:p>
        </w:tc>
      </w:tr>
      <w:tr w14:paraId="1496F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77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51A91723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</w:p>
        </w:tc>
        <w:tc>
          <w:tcPr>
            <w:tcW w:w="507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0256666D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</w:p>
        </w:tc>
        <w:tc>
          <w:tcPr>
            <w:tcW w:w="507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079AF6F9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</w:p>
        </w:tc>
      </w:tr>
      <w:tr w14:paraId="279BB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A4CBE">
            <w:pPr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99%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ACE33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80.45% (72.92% - 86.30%)</w:t>
            </w:r>
          </w:p>
        </w:tc>
        <w:tc>
          <w:tcPr>
            <w:tcW w:w="5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AF29E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99.63% (97.92% - 99.98%)</w:t>
            </w:r>
          </w:p>
        </w:tc>
      </w:tr>
      <w:tr w14:paraId="372F1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507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753F464">
            <w:pPr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95%</w:t>
            </w:r>
          </w:p>
        </w:tc>
        <w:tc>
          <w:tcPr>
            <w:tcW w:w="507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31C5972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84.93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%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77.91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% -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90.05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%)</w:t>
            </w:r>
          </w:p>
        </w:tc>
        <w:tc>
          <w:tcPr>
            <w:tcW w:w="507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94E6AEC">
            <w:pPr>
              <w:jc w:val="center"/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95.17% (91.91% - 97.15%)</w:t>
            </w:r>
          </w:p>
        </w:tc>
      </w:tr>
    </w:tbl>
    <w:p w14:paraId="3F93338C">
      <w:pPr>
        <w:rPr>
          <w:rFonts w:ascii="Times New Roman" w:hAnsi="Times New Roman" w:cs="Times New Roman"/>
          <w:sz w:val="24"/>
          <w:highlight w:val="none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Abbreviation: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CI, confidence interval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; 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  <w:lang w:val="en-US" w:eastAsia="zh-CN"/>
        </w:rPr>
        <w:t xml:space="preserve">BMD model, </w:t>
      </w:r>
      <w:r>
        <w:rPr>
          <w:rFonts w:ascii="Times New Roman" w:hAnsi="Times New Roman" w:cs="Times New Roman"/>
          <w:sz w:val="24"/>
          <w:highlight w:val="none"/>
        </w:rPr>
        <w:t>Benign</w:t>
      </w:r>
      <w:r>
        <w:rPr>
          <w:rFonts w:ascii="Times New Roman" w:hAnsi="Times New Roman" w:cs="Times New Roman"/>
          <w:i/>
          <w:iCs/>
          <w:sz w:val="24"/>
          <w:highlight w:val="none"/>
        </w:rPr>
        <w:t xml:space="preserve"> vs.</w:t>
      </w:r>
      <w:r>
        <w:rPr>
          <w:rFonts w:ascii="Times New Roman" w:hAnsi="Times New Roman" w:cs="Times New Roman"/>
          <w:sz w:val="24"/>
          <w:highlight w:val="none"/>
        </w:rPr>
        <w:t xml:space="preserve"> Malignant Differential diagnosis model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.</w:t>
      </w:r>
      <w:r>
        <w:rPr>
          <w:rFonts w:ascii="Times New Roman" w:hAnsi="Times New Roman" w:cs="Times New Roman"/>
          <w:sz w:val="24"/>
          <w:highlight w:val="none"/>
        </w:rPr>
        <w:t xml:space="preserve"> </w:t>
      </w:r>
    </w:p>
    <w:p w14:paraId="038208E3">
      <w:pPr>
        <w:rPr>
          <w:rFonts w:ascii="Times New Roman" w:hAnsi="Times New Roman" w:cs="Times New Roman"/>
          <w:sz w:val="24"/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br w:type="page"/>
      </w:r>
    </w:p>
    <w:p w14:paraId="370A428D">
      <w:pP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highlight w:val="none"/>
        </w:rPr>
        <w:t>Table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  <w:lang w:val="en-US" w:eastAsia="zh-CN"/>
        </w:rPr>
        <w:t xml:space="preserve"> 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13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 xml:space="preserve">Performance of BMD model in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 xml:space="preserve">four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>validation cohorts.</w:t>
      </w:r>
    </w:p>
    <w:tbl>
      <w:tblPr>
        <w:tblStyle w:val="17"/>
        <w:tblpPr w:leftFromText="180" w:rightFromText="180" w:vertAnchor="text" w:horzAnchor="page" w:tblpX="1002" w:tblpY="188"/>
        <w:tblOverlap w:val="never"/>
        <w:tblW w:w="488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4"/>
        <w:gridCol w:w="1110"/>
        <w:gridCol w:w="1190"/>
        <w:gridCol w:w="2378"/>
        <w:gridCol w:w="3581"/>
        <w:gridCol w:w="3645"/>
      </w:tblGrid>
      <w:tr w14:paraId="766BB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039" w:type="pct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168EA292"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  <w:p w14:paraId="686BBF2D"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6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12064BD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BAM</w:t>
            </w:r>
          </w:p>
        </w:tc>
        <w:tc>
          <w:tcPr>
            <w:tcW w:w="395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713FE2A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OC</w:t>
            </w:r>
          </w:p>
        </w:tc>
        <w:tc>
          <w:tcPr>
            <w:tcW w:w="79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497B387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AUC 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eastAsia="zh-CN"/>
              </w:rPr>
              <w:t>95% CI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19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7FA4B68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Sensitivity 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eastAsia="zh-CN"/>
              </w:rPr>
              <w:t>95% CI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21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74CDBDF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Specificity 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eastAsia="zh-CN"/>
              </w:rPr>
              <w:t>95% CI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)</w:t>
            </w:r>
          </w:p>
        </w:tc>
      </w:tr>
      <w:tr w14:paraId="41670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6A0C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Internal validation cohort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16768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C9560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F542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A179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EB39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4555A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9832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BAM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highlight w:val="none"/>
              </w:rPr>
              <w:t>vs.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OC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3E9D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56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63F90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115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A5A54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0.980 (0.965, 0.995)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A2B8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88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7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0%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2%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, 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3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.27%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0D980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.86%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3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2%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, 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7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.19%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</w:tr>
      <w:tr w14:paraId="235D7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019F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 xml:space="preserve">External validation cohort 1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55F2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16B44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65006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535A0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1637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590D9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5F49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BAM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highlight w:val="none"/>
              </w:rPr>
              <w:t xml:space="preserve"> vs.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OC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B950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70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6CDEE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150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EDD0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0.965 (0.943, 0.986)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C9B34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86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79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5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4%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, 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.66%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56F0A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91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.43%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2.53%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, 96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</w:tr>
      <w:tr w14:paraId="5C403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39" w:type="pct"/>
            <w:tcBorders>
              <w:top w:val="nil"/>
              <w:left w:val="nil"/>
              <w:right w:val="nil"/>
            </w:tcBorders>
            <w:vAlign w:val="center"/>
          </w:tcPr>
          <w:p w14:paraId="3A00FD8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External validation cohort 2</w:t>
            </w:r>
          </w:p>
        </w:tc>
        <w:tc>
          <w:tcPr>
            <w:tcW w:w="369" w:type="pct"/>
            <w:tcBorders>
              <w:top w:val="nil"/>
              <w:left w:val="nil"/>
              <w:right w:val="nil"/>
            </w:tcBorders>
            <w:vAlign w:val="center"/>
          </w:tcPr>
          <w:p w14:paraId="65735A28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95" w:type="pct"/>
            <w:tcBorders>
              <w:top w:val="nil"/>
              <w:left w:val="nil"/>
              <w:right w:val="nil"/>
            </w:tcBorders>
            <w:vAlign w:val="center"/>
          </w:tcPr>
          <w:p w14:paraId="4710C88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right w:val="nil"/>
            </w:tcBorders>
            <w:vAlign w:val="center"/>
          </w:tcPr>
          <w:p w14:paraId="50F3302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91" w:type="pct"/>
            <w:tcBorders>
              <w:top w:val="nil"/>
              <w:left w:val="nil"/>
              <w:right w:val="nil"/>
            </w:tcBorders>
            <w:vAlign w:val="center"/>
          </w:tcPr>
          <w:p w14:paraId="08FA0F5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212" w:type="pct"/>
            <w:tcBorders>
              <w:top w:val="nil"/>
              <w:left w:val="nil"/>
              <w:right w:val="nil"/>
            </w:tcBorders>
            <w:vAlign w:val="center"/>
          </w:tcPr>
          <w:p w14:paraId="0513156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6CEB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3CC3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BAM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highlight w:val="none"/>
              </w:rPr>
              <w:t>vs.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OC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85C8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51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E422A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119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38670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0.961 (0.935, 0.987)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3B95A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89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2%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3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0%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, 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4%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C13D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90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0%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(7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2%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, 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5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7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4%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</w:tr>
      <w:tr w14:paraId="3E4B7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33B1F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eastAsia="zh-CN"/>
              </w:rPr>
              <w:t>Chinese minority cohort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498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B2E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386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A51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DF1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3E906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3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6D3F70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BAM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highlight w:val="none"/>
              </w:rPr>
              <w:t xml:space="preserve"> vs.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OC</w:t>
            </w:r>
          </w:p>
        </w:tc>
        <w:tc>
          <w:tcPr>
            <w:tcW w:w="36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3A7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34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AB9E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63</w:t>
            </w:r>
          </w:p>
        </w:tc>
        <w:tc>
          <w:tcPr>
            <w:tcW w:w="79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7988F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0.963 (0.925, 1.000)</w:t>
            </w:r>
          </w:p>
        </w:tc>
        <w:tc>
          <w:tcPr>
            <w:tcW w:w="119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7875D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96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3%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4%,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4%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212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390FE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88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4%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7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3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.38%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, 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5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3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3%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</w:tr>
    </w:tbl>
    <w:p w14:paraId="67E9112B">
      <w:pPr>
        <w:ind w:left="239" w:leftChars="114" w:firstLine="0" w:firstLineChars="0"/>
        <w:rPr>
          <w:rFonts w:hint="default" w:ascii="Times New Roman" w:hAnsi="Times New Roman" w:eastAsia="宋体" w:cs="Times New Roman"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Abbreviation: B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AM, Benign adnexal mass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;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OC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,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ovarian cancer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;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AUC, area under the curve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>;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 CI, confidence interval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; 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  <w:lang w:val="en-US" w:eastAsia="zh-CN"/>
        </w:rPr>
        <w:t xml:space="preserve">BMD model, </w:t>
      </w:r>
      <w:r>
        <w:rPr>
          <w:rFonts w:ascii="Times New Roman" w:hAnsi="Times New Roman" w:cs="Times New Roman"/>
          <w:sz w:val="24"/>
          <w:highlight w:val="none"/>
        </w:rPr>
        <w:t>Benign</w:t>
      </w:r>
      <w:r>
        <w:rPr>
          <w:rFonts w:ascii="Times New Roman" w:hAnsi="Times New Roman" w:cs="Times New Roman"/>
          <w:i/>
          <w:iCs/>
          <w:sz w:val="24"/>
          <w:highlight w:val="none"/>
        </w:rPr>
        <w:t xml:space="preserve"> vs.</w:t>
      </w:r>
      <w:r>
        <w:rPr>
          <w:rFonts w:ascii="Times New Roman" w:hAnsi="Times New Roman" w:cs="Times New Roman"/>
          <w:sz w:val="24"/>
          <w:highlight w:val="none"/>
        </w:rPr>
        <w:t xml:space="preserve"> Malignant Differential diagnosis model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.</w:t>
      </w:r>
    </w:p>
    <w:p w14:paraId="7328E332">
      <w:pP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</w:pPr>
      <w:r>
        <w:rPr>
          <w:rFonts w:hint="eastAsia"/>
          <w:highlight w:val="none"/>
        </w:rPr>
        <w:br w:type="page"/>
      </w:r>
    </w:p>
    <w:p w14:paraId="36EAC8F1">
      <w:pPr>
        <w:widowControl/>
        <w:jc w:val="left"/>
        <w:rPr>
          <w:rFonts w:hint="eastAsia" w:eastAsia="宋体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highlight w:val="none"/>
        </w:rPr>
        <w:t>Table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  <w:lang w:val="en-US" w:eastAsia="zh-CN"/>
        </w:rPr>
        <w:t xml:space="preserve"> 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14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shd w:val="clear" w:color="auto" w:fill="auto"/>
        </w:rPr>
        <w:t xml:space="preserve">Subgroup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shd w:val="clear" w:color="auto" w:fill="auto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shd w:val="clear" w:color="auto" w:fill="auto"/>
        </w:rPr>
        <w:t xml:space="preserve">nalysis of the BMD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shd w:val="clear" w:color="auto" w:fill="auto"/>
          <w:lang w:val="en-US" w:eastAsia="zh-CN"/>
        </w:rPr>
        <w:t>m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shd w:val="clear" w:color="auto" w:fill="auto"/>
        </w:rPr>
        <w:t xml:space="preserve">odel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shd w:val="clear" w:color="auto" w:fill="auto"/>
          <w:lang w:val="en-US" w:eastAsia="zh-CN"/>
        </w:rPr>
        <w:t>p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shd w:val="clear" w:color="auto" w:fill="auto"/>
        </w:rPr>
        <w:t xml:space="preserve">erformance in the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shd w:val="clear" w:color="auto" w:fill="auto"/>
          <w:lang w:val="en-US" w:eastAsia="zh-CN"/>
        </w:rPr>
        <w:t>c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shd w:val="clear" w:color="auto" w:fill="auto"/>
        </w:rPr>
        <w:t xml:space="preserve">ombined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shd w:val="clear" w:color="auto" w:fill="auto"/>
          <w:lang w:val="en-US" w:eastAsia="zh-CN"/>
        </w:rPr>
        <w:t>v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shd w:val="clear" w:color="auto" w:fill="auto"/>
        </w:rPr>
        <w:t xml:space="preserve">alidation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shd w:val="clear" w:color="auto" w:fill="auto"/>
          <w:lang w:val="en-US" w:eastAsia="zh-CN"/>
        </w:rPr>
        <w:t>c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shd w:val="clear" w:color="auto" w:fill="auto"/>
        </w:rPr>
        <w:t>ohorts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shd w:val="clear" w:color="auto" w:fill="auto"/>
          <w:lang w:val="en-US" w:eastAsia="zh-CN"/>
        </w:rPr>
        <w:t>.</w:t>
      </w:r>
    </w:p>
    <w:tbl>
      <w:tblPr>
        <w:tblStyle w:val="17"/>
        <w:tblW w:w="4748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4"/>
        <w:gridCol w:w="1467"/>
        <w:gridCol w:w="986"/>
        <w:gridCol w:w="2181"/>
        <w:gridCol w:w="2803"/>
        <w:gridCol w:w="2960"/>
      </w:tblGrid>
      <w:tr w14:paraId="185FA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444" w:type="pct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1784CE8A"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35B416E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BAM</w:t>
            </w:r>
          </w:p>
        </w:tc>
        <w:tc>
          <w:tcPr>
            <w:tcW w:w="33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58DF73E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OC</w:t>
            </w:r>
          </w:p>
        </w:tc>
        <w:tc>
          <w:tcPr>
            <w:tcW w:w="745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0F6D886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AUC 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eastAsia="zh-CN"/>
              </w:rPr>
              <w:t>95% CI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95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7815E4E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Sensitivity 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eastAsia="zh-CN"/>
              </w:rPr>
              <w:t>95% CI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1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7AFC435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Specificity 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eastAsia="zh-CN"/>
              </w:rPr>
              <w:t>95% CI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)</w:t>
            </w:r>
          </w:p>
        </w:tc>
      </w:tr>
      <w:tr w14:paraId="7DD56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347DB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Ultrasound O-RADS categories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87E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AA9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7F8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4F2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FE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405AF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D4A02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O-RADS 3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D0B9A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91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2DF1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25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4A45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43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888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, 0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.998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229B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60.87%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91.14%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68E6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3.41%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86.35%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96.94%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</w:tr>
      <w:tr w14:paraId="17E81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2BC9B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O-RADS 4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A7E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101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AEF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114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540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65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(0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.942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, 0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.987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D2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88.60%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81.46%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93.21%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A9A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90.10%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2.73%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94.53%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</w:tr>
      <w:tr w14:paraId="0CDC2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DA60A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O-RADS 5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7A0CE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19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0CA2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308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78F9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36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(0.8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79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, 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92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D26EA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90.26%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86.44%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93.09%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AD7A5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84.21%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62.43%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94.48%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</w:tr>
      <w:tr w14:paraId="26E66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2AE3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vertAlign w:val="superscript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 xml:space="preserve"> BAM histology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2D0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B21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3E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5D2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237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65BB2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E4B96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Benign tumo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r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6BC5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34EF5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447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8FD8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NA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3B71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89.26%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86.05%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91.80%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45915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89.57%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82.64%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93.93%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</w:tr>
      <w:tr w14:paraId="730D2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507F4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Endometriosis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EF12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588D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447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01BC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NA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6F33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89.26%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86.05%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91.80%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E69D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91.84%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80.81%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96.78%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</w:tr>
      <w:tr w14:paraId="3CCF5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0A69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Other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2E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8B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447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EEE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NA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71A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89.26%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86.05%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91.80%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ED7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93.62%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82.84%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7.81%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</w:tr>
      <w:tr w14:paraId="41199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7DD7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vertAlign w:val="superscript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Men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strual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 xml:space="preserve"> status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74358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F5426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BECBA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57AE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7E55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63655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6AB2B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Postmenopause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13B2E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152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83426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447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54084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NA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8CFF6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89.26%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86.05%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91.80%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EF03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91.53%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81.65%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96.33%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</w:tr>
      <w:tr w14:paraId="48EE1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24B5C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Premenopause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1ED5A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59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B62DE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447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CE24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NA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25CFF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89.26%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86.05%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91.80%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65EE0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90.79%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85.13%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94.43%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</w:tr>
      <w:tr w14:paraId="6FC71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444" w:type="pct"/>
            <w:tcBorders>
              <w:top w:val="nil"/>
              <w:left w:val="nil"/>
              <w:right w:val="nil"/>
            </w:tcBorders>
            <w:vAlign w:val="center"/>
          </w:tcPr>
          <w:p w14:paraId="135C146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vertAlign w:val="superscript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 xml:space="preserve"> Parity</w:t>
            </w:r>
          </w:p>
        </w:tc>
        <w:tc>
          <w:tcPr>
            <w:tcW w:w="501" w:type="pct"/>
            <w:tcBorders>
              <w:top w:val="nil"/>
              <w:left w:val="nil"/>
              <w:right w:val="nil"/>
            </w:tcBorders>
            <w:vAlign w:val="center"/>
          </w:tcPr>
          <w:p w14:paraId="4E888B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vAlign w:val="center"/>
          </w:tcPr>
          <w:p w14:paraId="676D57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45" w:type="pct"/>
            <w:tcBorders>
              <w:top w:val="nil"/>
              <w:left w:val="nil"/>
              <w:right w:val="nil"/>
            </w:tcBorders>
            <w:vAlign w:val="center"/>
          </w:tcPr>
          <w:p w14:paraId="68B222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58" w:type="pct"/>
            <w:tcBorders>
              <w:top w:val="nil"/>
              <w:left w:val="nil"/>
              <w:right w:val="nil"/>
            </w:tcBorders>
            <w:vAlign w:val="center"/>
          </w:tcPr>
          <w:p w14:paraId="14D16F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12" w:type="pct"/>
            <w:tcBorders>
              <w:top w:val="nil"/>
              <w:left w:val="nil"/>
              <w:right w:val="nil"/>
            </w:tcBorders>
            <w:vAlign w:val="center"/>
          </w:tcPr>
          <w:p w14:paraId="419FB6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46A19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4" w:type="pct"/>
            <w:tcBorders>
              <w:top w:val="nil"/>
              <w:left w:val="nil"/>
              <w:right w:val="nil"/>
            </w:tcBorders>
            <w:vAlign w:val="center"/>
          </w:tcPr>
          <w:p w14:paraId="1B7125D8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Parity ≤ 1</w:t>
            </w:r>
          </w:p>
        </w:tc>
        <w:tc>
          <w:tcPr>
            <w:tcW w:w="501" w:type="pct"/>
            <w:tcBorders>
              <w:top w:val="nil"/>
              <w:left w:val="nil"/>
              <w:right w:val="nil"/>
            </w:tcBorders>
            <w:vAlign w:val="center"/>
          </w:tcPr>
          <w:p w14:paraId="5EC58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70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vAlign w:val="center"/>
          </w:tcPr>
          <w:p w14:paraId="5A9F0B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447</w:t>
            </w:r>
          </w:p>
        </w:tc>
        <w:tc>
          <w:tcPr>
            <w:tcW w:w="745" w:type="pct"/>
            <w:tcBorders>
              <w:top w:val="nil"/>
              <w:left w:val="nil"/>
              <w:right w:val="nil"/>
            </w:tcBorders>
            <w:vAlign w:val="center"/>
          </w:tcPr>
          <w:p w14:paraId="227D17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NA</w:t>
            </w:r>
          </w:p>
        </w:tc>
        <w:tc>
          <w:tcPr>
            <w:tcW w:w="9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3EE8139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89.26%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86.05%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91.80%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12" w:type="pct"/>
            <w:tcBorders>
              <w:top w:val="nil"/>
              <w:left w:val="nil"/>
              <w:right w:val="nil"/>
            </w:tcBorders>
            <w:vAlign w:val="center"/>
          </w:tcPr>
          <w:p w14:paraId="5FE02E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89.86%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80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.51%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95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.00%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</w:tr>
      <w:tr w14:paraId="3AD67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428AF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Parity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≥ 2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9A275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141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A370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447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DB6D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NA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B87BC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89.26%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86.05%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91.80%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2EAE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92.20%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86.57%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95.59%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</w:tr>
      <w:tr w14:paraId="6EA8C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688C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vertAlign w:val="superscript"/>
                <w:lang w:val="en-US" w:eastAsia="zh-CN"/>
              </w:rPr>
              <w:t>b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 xml:space="preserve"> 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  <w:t>erum biomarker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AC6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B3B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36E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FF1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88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45DE4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4B968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ositive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9BA94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211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7738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397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862A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67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(0.9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54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, 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E761D">
            <w:pPr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88.92%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85.45%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91.64%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62CB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91.00%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86.37%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94.16%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</w:tr>
      <w:tr w14:paraId="41659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4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ADF08A5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egative</w:t>
            </w:r>
          </w:p>
        </w:tc>
        <w:tc>
          <w:tcPr>
            <w:tcW w:w="50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95B9016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211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8B3766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50</w:t>
            </w:r>
          </w:p>
        </w:tc>
        <w:tc>
          <w:tcPr>
            <w:tcW w:w="74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7D33D05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67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 xml:space="preserve"> (0.9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41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, 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94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95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DD8A13D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92.00%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81.86%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96.85%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AAE726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91.00%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86.37%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94.16%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>)</w:t>
            </w:r>
          </w:p>
        </w:tc>
      </w:tr>
    </w:tbl>
    <w:p w14:paraId="38EC63C4">
      <w:pPr>
        <w:ind w:leftChars="100"/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Abbreviation: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B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AM, Benign adnexal mass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;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OC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,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ovarian cancer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; AUC, area under the curve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;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CI, confidence interval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;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O-RADS, Ovarian-Adnexal Reporting and Data System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; NA, not Applicable; 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  <w:lang w:val="en-US" w:eastAsia="zh-CN"/>
        </w:rPr>
        <w:t xml:space="preserve">BMD model, </w:t>
      </w:r>
      <w:r>
        <w:rPr>
          <w:rFonts w:ascii="Times New Roman" w:hAnsi="Times New Roman" w:cs="Times New Roman"/>
          <w:sz w:val="24"/>
          <w:highlight w:val="none"/>
        </w:rPr>
        <w:t>Benign</w:t>
      </w:r>
      <w:r>
        <w:rPr>
          <w:rFonts w:ascii="Times New Roman" w:hAnsi="Times New Roman" w:cs="Times New Roman"/>
          <w:i/>
          <w:iCs/>
          <w:sz w:val="24"/>
          <w:highlight w:val="none"/>
        </w:rPr>
        <w:t xml:space="preserve"> vs.</w:t>
      </w:r>
      <w:r>
        <w:rPr>
          <w:rFonts w:ascii="Times New Roman" w:hAnsi="Times New Roman" w:cs="Times New Roman"/>
          <w:sz w:val="24"/>
          <w:highlight w:val="none"/>
        </w:rPr>
        <w:t xml:space="preserve"> Malignant Differential diagnosis model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.</w:t>
      </w:r>
    </w:p>
    <w:p w14:paraId="4F19FACC">
      <w:pPr>
        <w:ind w:leftChars="100"/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Notes:</w:t>
      </w:r>
      <w:r>
        <w:rPr>
          <w:rFonts w:hint="eastAsia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</w:rPr>
        <w:t>a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Subgroup of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>BAM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; </w:t>
      </w:r>
      <w:r>
        <w:rPr>
          <w:rFonts w:ascii="Times New Roman" w:hAnsi="Times New Roman" w:cs="Times New Roman"/>
          <w:color w:val="000000"/>
          <w:sz w:val="24"/>
          <w:szCs w:val="32"/>
          <w:highlight w:val="none"/>
          <w:vertAlign w:val="superscript"/>
        </w:rPr>
        <w:t>b</w:t>
      </w:r>
      <w:r>
        <w:rPr>
          <w:rFonts w:hint="eastAsia" w:ascii="Times New Roman" w:hAnsi="Times New Roman" w:cs="Times New Roman"/>
          <w:b/>
          <w:bCs/>
          <w:color w:val="000000"/>
          <w:sz w:val="18"/>
          <w:szCs w:val="2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Subgroup of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>OC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.</w:t>
      </w:r>
    </w:p>
    <w:p w14:paraId="2622C973">
      <w:pP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br w:type="page"/>
      </w:r>
    </w:p>
    <w:p w14:paraId="66401190">
      <w:pP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highlight w:val="none"/>
        </w:rPr>
        <w:t>Table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  <w:lang w:val="en-US" w:eastAsia="zh-CN"/>
        </w:rPr>
        <w:t xml:space="preserve"> 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15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>.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 xml:space="preserve"> P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>erformance of three CA125/HE4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>based models for distinguishing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 xml:space="preserve"> OC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 xml:space="preserve">from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BAM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 xml:space="preserve"> in the validation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cohorts.</w:t>
      </w:r>
    </w:p>
    <w:tbl>
      <w:tblPr>
        <w:tblStyle w:val="17"/>
        <w:tblW w:w="149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2"/>
        <w:gridCol w:w="4617"/>
        <w:gridCol w:w="4340"/>
      </w:tblGrid>
      <w:tr w14:paraId="26C3D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600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7F5D1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461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41E22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Sensitivity (95% CI)</w:t>
            </w:r>
          </w:p>
        </w:tc>
        <w:tc>
          <w:tcPr>
            <w:tcW w:w="434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802A0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Specificity (95% CI)</w:t>
            </w:r>
          </w:p>
        </w:tc>
      </w:tr>
      <w:tr w14:paraId="6AEA9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2" w:type="dxa"/>
            <w:tcBorders>
              <w:top w:val="single" w:color="auto" w:sz="4" w:space="0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1E2C04B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Binary rule</w:t>
            </w:r>
          </w:p>
        </w:tc>
        <w:tc>
          <w:tcPr>
            <w:tcW w:w="4617" w:type="dxa"/>
            <w:tcBorders>
              <w:top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40BCE7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(8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%)</w:t>
            </w:r>
          </w:p>
        </w:tc>
        <w:tc>
          <w:tcPr>
            <w:tcW w:w="4340" w:type="dxa"/>
            <w:tcBorders>
              <w:top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EC03A01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59.7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(5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2.7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6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6.4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%)</w:t>
            </w:r>
          </w:p>
        </w:tc>
      </w:tr>
      <w:tr w14:paraId="62814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54E2FAE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bookmarkStart w:id="12" w:name="OLE_LINK12" w:colFirst="1" w:colLast="2"/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Logistic regress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on (continuous CA125 &amp; HE4)</w:t>
            </w:r>
          </w:p>
        </w:tc>
        <w:tc>
          <w:tcPr>
            <w:tcW w:w="4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98F4B3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7.7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(95.9%, 98.9%)</w:t>
            </w:r>
          </w:p>
        </w:tc>
        <w:tc>
          <w:tcPr>
            <w:tcW w:w="4340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3535BC4"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37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4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% (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30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.9%,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44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.4%)</w:t>
            </w:r>
          </w:p>
        </w:tc>
      </w:tr>
      <w:bookmarkEnd w:id="12"/>
      <w:tr w14:paraId="7167B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2" w:type="dxa"/>
            <w:tcBorders>
              <w:bottom w:val="single" w:color="auto" w:sz="4" w:space="0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D456B1A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 xml:space="preserve">ROMA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ndex</w:t>
            </w:r>
          </w:p>
        </w:tc>
        <w:tc>
          <w:tcPr>
            <w:tcW w:w="4617" w:type="dxa"/>
            <w:tcBorders>
              <w:bottom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2EA964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6.8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(83.3%, 89.8%)</w:t>
            </w:r>
          </w:p>
        </w:tc>
        <w:tc>
          <w:tcPr>
            <w:tcW w:w="4340" w:type="dxa"/>
            <w:tcBorders>
              <w:bottom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FAD8DE1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69.7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63.0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75.8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%)</w:t>
            </w:r>
          </w:p>
        </w:tc>
      </w:tr>
    </w:tbl>
    <w:p w14:paraId="4BFD3739">
      <w:pPr>
        <w:rPr>
          <w:rFonts w:hint="default" w:ascii="Times New Roman" w:hAnsi="Times New Roman" w:cs="Times New Roman" w:eastAsiaTheme="minorEastAsia"/>
          <w:kern w:val="0"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kern w:val="0"/>
          <w:sz w:val="24"/>
          <w:highlight w:val="none"/>
        </w:rPr>
        <w:t>Abbreviation: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  <w:lang w:val="en-US" w:eastAsia="zh-CN"/>
        </w:rPr>
        <w:t xml:space="preserve">BMD model, </w:t>
      </w:r>
      <w:r>
        <w:rPr>
          <w:rFonts w:ascii="Times New Roman" w:hAnsi="Times New Roman" w:cs="Times New Roman"/>
          <w:sz w:val="24"/>
          <w:highlight w:val="none"/>
        </w:rPr>
        <w:t>Benign</w:t>
      </w:r>
      <w:r>
        <w:rPr>
          <w:rFonts w:ascii="Times New Roman" w:hAnsi="Times New Roman" w:cs="Times New Roman"/>
          <w:i/>
          <w:iCs/>
          <w:sz w:val="24"/>
          <w:highlight w:val="none"/>
        </w:rPr>
        <w:t xml:space="preserve"> vs.</w:t>
      </w:r>
      <w:r>
        <w:rPr>
          <w:rFonts w:ascii="Times New Roman" w:hAnsi="Times New Roman" w:cs="Times New Roman"/>
          <w:sz w:val="24"/>
          <w:highlight w:val="none"/>
        </w:rPr>
        <w:t xml:space="preserve"> Malignant Differential diagnosis model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; OC, ovarian cancer; BAM, benign adnexal mass; CI, confidence interval; CA125, cancer antigen 125; HE4, human epididymis protein 4; ROMA, Risk of Ovarian Malignancy Algorithm. </w:t>
      </w:r>
    </w:p>
    <w:p w14:paraId="22E99A37">
      <w:pP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Notes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: Binary rule: positivity defined as CA125 ≥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35 U/mL, or HE4 ≥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68.5 pmol/L for premenopausal women and ≥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114.9 pmol/L for postmenopausal women 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Logistic regression model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was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trained on the training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cohor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t using log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noBreakHyphen/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transformed CA125 and HE4 as continuous predictors; the predicted probability formula is:logit(P) = –9.6820 + 0.7496 × ln(CA125) + 1.6103 × ln(HE4)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a cutoff of 0.2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>30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 (corresponding to 95% specificity in the training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>cohort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) was applied.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ROMA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>I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ndex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was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calculated using menopausal status with the recommended cutoffs: premenopausal ≥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7.4%, postmenopausal ≥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25.3%.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br w:type="page"/>
      </w:r>
    </w:p>
    <w:p w14:paraId="5FA094A5">
      <w:pP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highlight w:val="none"/>
        </w:rPr>
        <w:t>Table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highlight w:val="none"/>
          <w:lang w:val="en-US" w:eastAsia="zh-CN"/>
        </w:rPr>
        <w:t xml:space="preserve"> 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>16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>.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>Performance of the combined model at 95% fixed sensitivity for differentiating OC from BAM in the training cohort.</w:t>
      </w:r>
    </w:p>
    <w:tbl>
      <w:tblPr>
        <w:tblStyle w:val="17"/>
        <w:tblW w:w="149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2"/>
        <w:gridCol w:w="4617"/>
        <w:gridCol w:w="4340"/>
      </w:tblGrid>
      <w:tr w14:paraId="741E5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600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27FCD1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461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458DF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Sensitivity (95% CI)</w:t>
            </w:r>
          </w:p>
        </w:tc>
        <w:tc>
          <w:tcPr>
            <w:tcW w:w="434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67921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Specificity (95% CI)</w:t>
            </w:r>
          </w:p>
        </w:tc>
      </w:tr>
      <w:tr w14:paraId="64C4A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2" w:type="dxa"/>
            <w:tcBorders>
              <w:bottom w:val="single" w:color="auto" w:sz="4" w:space="0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AB12708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Combined model</w:t>
            </w:r>
          </w:p>
        </w:tc>
        <w:tc>
          <w:tcPr>
            <w:tcW w:w="4617" w:type="dxa"/>
            <w:tcBorders>
              <w:bottom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03EC28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95.16% (91.87%, 97.40%)</w:t>
            </w:r>
          </w:p>
        </w:tc>
        <w:tc>
          <w:tcPr>
            <w:tcW w:w="4340" w:type="dxa"/>
            <w:tcBorders>
              <w:bottom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40417DB"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97.72% (93.50%, 99.52%)</w:t>
            </w:r>
          </w:p>
        </w:tc>
      </w:tr>
    </w:tbl>
    <w:p w14:paraId="6709159C">
      <w:pPr>
        <w:rPr>
          <w:rFonts w:hint="default" w:ascii="Times New Roman" w:hAnsi="Times New Roman" w:cs="Times New Roman" w:eastAsiaTheme="minorEastAsia"/>
          <w:kern w:val="0"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kern w:val="0"/>
          <w:sz w:val="24"/>
          <w:highlight w:val="none"/>
        </w:rPr>
        <w:t>Abbreviation: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4"/>
          <w:highlight w:val="none"/>
          <w:lang w:val="en-US" w:eastAsia="zh-CN"/>
        </w:rPr>
        <w:t xml:space="preserve">BMD model, </w:t>
      </w:r>
      <w:r>
        <w:rPr>
          <w:rFonts w:ascii="Times New Roman" w:hAnsi="Times New Roman" w:cs="Times New Roman"/>
          <w:sz w:val="24"/>
          <w:highlight w:val="none"/>
        </w:rPr>
        <w:t>Benign</w:t>
      </w:r>
      <w:r>
        <w:rPr>
          <w:rFonts w:ascii="Times New Roman" w:hAnsi="Times New Roman" w:cs="Times New Roman"/>
          <w:i/>
          <w:iCs/>
          <w:sz w:val="24"/>
          <w:highlight w:val="none"/>
        </w:rPr>
        <w:t xml:space="preserve"> vs.</w:t>
      </w:r>
      <w:r>
        <w:rPr>
          <w:rFonts w:ascii="Times New Roman" w:hAnsi="Times New Roman" w:cs="Times New Roman"/>
          <w:sz w:val="24"/>
          <w:highlight w:val="none"/>
        </w:rPr>
        <w:t xml:space="preserve"> Malignant Differential diagnosis model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; OC, ovarian cancer; BAM, benign adnexal mass; CI, confidence interval; CA125, cancer antigen 125; HE4, human epididymis protein 4.</w:t>
      </w:r>
    </w:p>
    <w:p w14:paraId="3FA4D8BF">
      <w:pP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Notes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: Logistic regression model was trained on the training cohort using log‑transformed CA125 and HE4 as well as raw BMD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>score as continuous predictors; the predicted probability formula is: logit(P)=−23.3090+0.7446ln(CA125)+1.7096ln(HE4)+21.5132×BMDscore, and a cutoff of 0.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>752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highlight w:val="none"/>
        </w:rPr>
        <w:t xml:space="preserve"> (corresponding to 95% sensitivity in the training cohort) was applied.</w:t>
      </w:r>
      <w:bookmarkStart w:id="13" w:name="_GoBack"/>
      <w:bookmarkEnd w:id="13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93"/>
    <w:rsid w:val="000150A8"/>
    <w:rsid w:val="0001517B"/>
    <w:rsid w:val="000158FE"/>
    <w:rsid w:val="00053C2E"/>
    <w:rsid w:val="000666B2"/>
    <w:rsid w:val="0007763D"/>
    <w:rsid w:val="000902DA"/>
    <w:rsid w:val="00090D3A"/>
    <w:rsid w:val="000C2B41"/>
    <w:rsid w:val="00103835"/>
    <w:rsid w:val="00106691"/>
    <w:rsid w:val="00130152"/>
    <w:rsid w:val="00164CD6"/>
    <w:rsid w:val="00165ED4"/>
    <w:rsid w:val="00174863"/>
    <w:rsid w:val="00182A7A"/>
    <w:rsid w:val="001835D6"/>
    <w:rsid w:val="001836EA"/>
    <w:rsid w:val="001841FB"/>
    <w:rsid w:val="001B3B34"/>
    <w:rsid w:val="00203093"/>
    <w:rsid w:val="002349B8"/>
    <w:rsid w:val="00236C90"/>
    <w:rsid w:val="00274B1C"/>
    <w:rsid w:val="00277BAE"/>
    <w:rsid w:val="002B0D93"/>
    <w:rsid w:val="002C09BB"/>
    <w:rsid w:val="002D2B65"/>
    <w:rsid w:val="002E2D18"/>
    <w:rsid w:val="002E7892"/>
    <w:rsid w:val="003044D8"/>
    <w:rsid w:val="00306561"/>
    <w:rsid w:val="003456F8"/>
    <w:rsid w:val="0035690D"/>
    <w:rsid w:val="00357E3A"/>
    <w:rsid w:val="00365142"/>
    <w:rsid w:val="0038233E"/>
    <w:rsid w:val="003972B0"/>
    <w:rsid w:val="003A7FF5"/>
    <w:rsid w:val="003B4862"/>
    <w:rsid w:val="003C5D71"/>
    <w:rsid w:val="003D5D24"/>
    <w:rsid w:val="003F5490"/>
    <w:rsid w:val="00417E63"/>
    <w:rsid w:val="00432824"/>
    <w:rsid w:val="0047603B"/>
    <w:rsid w:val="00476874"/>
    <w:rsid w:val="0047693F"/>
    <w:rsid w:val="004A528E"/>
    <w:rsid w:val="004A5E18"/>
    <w:rsid w:val="004C10CB"/>
    <w:rsid w:val="004C7225"/>
    <w:rsid w:val="004D1B01"/>
    <w:rsid w:val="004D43D6"/>
    <w:rsid w:val="005030BA"/>
    <w:rsid w:val="0052734B"/>
    <w:rsid w:val="00550AD5"/>
    <w:rsid w:val="0055113B"/>
    <w:rsid w:val="005711C1"/>
    <w:rsid w:val="005744BF"/>
    <w:rsid w:val="005A3CEF"/>
    <w:rsid w:val="00616CBE"/>
    <w:rsid w:val="0062709A"/>
    <w:rsid w:val="00632B1B"/>
    <w:rsid w:val="00636C3B"/>
    <w:rsid w:val="00643EB6"/>
    <w:rsid w:val="00672DF5"/>
    <w:rsid w:val="00686BD6"/>
    <w:rsid w:val="006952F3"/>
    <w:rsid w:val="006A7B70"/>
    <w:rsid w:val="006F2614"/>
    <w:rsid w:val="006F2D2B"/>
    <w:rsid w:val="006F6474"/>
    <w:rsid w:val="00706F91"/>
    <w:rsid w:val="00715761"/>
    <w:rsid w:val="00717ED2"/>
    <w:rsid w:val="00747980"/>
    <w:rsid w:val="00754A4F"/>
    <w:rsid w:val="007552A7"/>
    <w:rsid w:val="00762359"/>
    <w:rsid w:val="00794AD8"/>
    <w:rsid w:val="007B52FE"/>
    <w:rsid w:val="007C2FBC"/>
    <w:rsid w:val="00804B05"/>
    <w:rsid w:val="008128B6"/>
    <w:rsid w:val="008135CB"/>
    <w:rsid w:val="00817F43"/>
    <w:rsid w:val="00821C81"/>
    <w:rsid w:val="00837A07"/>
    <w:rsid w:val="008539F7"/>
    <w:rsid w:val="00875B34"/>
    <w:rsid w:val="00877332"/>
    <w:rsid w:val="0088197C"/>
    <w:rsid w:val="00885098"/>
    <w:rsid w:val="008857DD"/>
    <w:rsid w:val="00893D4F"/>
    <w:rsid w:val="008A1D2C"/>
    <w:rsid w:val="008A44C6"/>
    <w:rsid w:val="008A7144"/>
    <w:rsid w:val="008B27F4"/>
    <w:rsid w:val="008B7F6E"/>
    <w:rsid w:val="009054A3"/>
    <w:rsid w:val="009244E2"/>
    <w:rsid w:val="00974721"/>
    <w:rsid w:val="00974FF2"/>
    <w:rsid w:val="009778AF"/>
    <w:rsid w:val="009C3CEC"/>
    <w:rsid w:val="009D1747"/>
    <w:rsid w:val="009D3E9E"/>
    <w:rsid w:val="009F5E2C"/>
    <w:rsid w:val="00A06843"/>
    <w:rsid w:val="00A11A51"/>
    <w:rsid w:val="00A136B5"/>
    <w:rsid w:val="00A16231"/>
    <w:rsid w:val="00A6420F"/>
    <w:rsid w:val="00A7353A"/>
    <w:rsid w:val="00AA3575"/>
    <w:rsid w:val="00AC3DE4"/>
    <w:rsid w:val="00AC522A"/>
    <w:rsid w:val="00AC5813"/>
    <w:rsid w:val="00AE2F4B"/>
    <w:rsid w:val="00AF5445"/>
    <w:rsid w:val="00B0634C"/>
    <w:rsid w:val="00B237FA"/>
    <w:rsid w:val="00B245CF"/>
    <w:rsid w:val="00B411FE"/>
    <w:rsid w:val="00B517B7"/>
    <w:rsid w:val="00B543B0"/>
    <w:rsid w:val="00B60FE7"/>
    <w:rsid w:val="00B66A26"/>
    <w:rsid w:val="00B74E7F"/>
    <w:rsid w:val="00B75BA2"/>
    <w:rsid w:val="00B806EA"/>
    <w:rsid w:val="00B90D1C"/>
    <w:rsid w:val="00BC3202"/>
    <w:rsid w:val="00BC387C"/>
    <w:rsid w:val="00BD4163"/>
    <w:rsid w:val="00BE3B59"/>
    <w:rsid w:val="00BF427D"/>
    <w:rsid w:val="00C025FF"/>
    <w:rsid w:val="00C43765"/>
    <w:rsid w:val="00C6109E"/>
    <w:rsid w:val="00CA44F6"/>
    <w:rsid w:val="00CB501F"/>
    <w:rsid w:val="00CC7357"/>
    <w:rsid w:val="00CE4C30"/>
    <w:rsid w:val="00CE63AF"/>
    <w:rsid w:val="00CE750D"/>
    <w:rsid w:val="00D523F5"/>
    <w:rsid w:val="00D6791B"/>
    <w:rsid w:val="00D81ADF"/>
    <w:rsid w:val="00D84541"/>
    <w:rsid w:val="00DB5394"/>
    <w:rsid w:val="00DD1C28"/>
    <w:rsid w:val="00DD3D0C"/>
    <w:rsid w:val="00DD5346"/>
    <w:rsid w:val="00DF150C"/>
    <w:rsid w:val="00E036F2"/>
    <w:rsid w:val="00E050D5"/>
    <w:rsid w:val="00E3685A"/>
    <w:rsid w:val="00E37533"/>
    <w:rsid w:val="00E37652"/>
    <w:rsid w:val="00E52D68"/>
    <w:rsid w:val="00E911A0"/>
    <w:rsid w:val="00E970DE"/>
    <w:rsid w:val="00EE2317"/>
    <w:rsid w:val="00F13B35"/>
    <w:rsid w:val="00F17071"/>
    <w:rsid w:val="00F21C82"/>
    <w:rsid w:val="00FA0A40"/>
    <w:rsid w:val="00FD707E"/>
    <w:rsid w:val="00FE7937"/>
    <w:rsid w:val="02775E4F"/>
    <w:rsid w:val="02EE56BA"/>
    <w:rsid w:val="04A468D8"/>
    <w:rsid w:val="099353C2"/>
    <w:rsid w:val="0A7C46BA"/>
    <w:rsid w:val="0AA63E97"/>
    <w:rsid w:val="0BFA477F"/>
    <w:rsid w:val="0D9A7887"/>
    <w:rsid w:val="0F4339DE"/>
    <w:rsid w:val="12762D4B"/>
    <w:rsid w:val="12CB5D5F"/>
    <w:rsid w:val="1370424A"/>
    <w:rsid w:val="14DF3E9A"/>
    <w:rsid w:val="16816E45"/>
    <w:rsid w:val="189855C2"/>
    <w:rsid w:val="1EA75710"/>
    <w:rsid w:val="20A669FF"/>
    <w:rsid w:val="23277575"/>
    <w:rsid w:val="2419630E"/>
    <w:rsid w:val="2C5019A6"/>
    <w:rsid w:val="2D1831F8"/>
    <w:rsid w:val="2F2F6A0F"/>
    <w:rsid w:val="31174E16"/>
    <w:rsid w:val="36DC53F2"/>
    <w:rsid w:val="38AC5171"/>
    <w:rsid w:val="3DFA447E"/>
    <w:rsid w:val="3F4D13D2"/>
    <w:rsid w:val="43326C4D"/>
    <w:rsid w:val="44D63159"/>
    <w:rsid w:val="48E853FB"/>
    <w:rsid w:val="4D260F02"/>
    <w:rsid w:val="4D550108"/>
    <w:rsid w:val="4EDF37DF"/>
    <w:rsid w:val="4FC12114"/>
    <w:rsid w:val="509B1EA8"/>
    <w:rsid w:val="53892194"/>
    <w:rsid w:val="54095938"/>
    <w:rsid w:val="57585E3A"/>
    <w:rsid w:val="5B555529"/>
    <w:rsid w:val="5C175FC3"/>
    <w:rsid w:val="5CA75F2B"/>
    <w:rsid w:val="5F766210"/>
    <w:rsid w:val="5FA8496C"/>
    <w:rsid w:val="60A1716B"/>
    <w:rsid w:val="61B9257A"/>
    <w:rsid w:val="684D7F02"/>
    <w:rsid w:val="689975CC"/>
    <w:rsid w:val="69404F41"/>
    <w:rsid w:val="6A2E3D63"/>
    <w:rsid w:val="6BFE47C4"/>
    <w:rsid w:val="6F4F65FD"/>
    <w:rsid w:val="733857C5"/>
    <w:rsid w:val="74A7679A"/>
    <w:rsid w:val="74C90910"/>
    <w:rsid w:val="76F77A30"/>
    <w:rsid w:val="79A22DE7"/>
    <w:rsid w:val="7A0D63E1"/>
    <w:rsid w:val="7A4A24F3"/>
    <w:rsid w:val="7A53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semiHidden/>
    <w:unhideWhenUsed/>
    <w:qFormat/>
    <w:uiPriority w:val="99"/>
    <w:pPr>
      <w:jc w:val="left"/>
    </w:pPr>
  </w:style>
  <w:style w:type="paragraph" w:styleId="12">
    <w:name w:val="footer"/>
    <w:basedOn w:val="1"/>
    <w:link w:val="4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6">
    <w:name w:val="Title"/>
    <w:basedOn w:val="1"/>
    <w:next w:val="1"/>
    <w:link w:val="3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22"/>
    <w:rPr>
      <w:b/>
    </w:rPr>
  </w:style>
  <w:style w:type="character" w:styleId="21">
    <w:name w:val="Emphasis"/>
    <w:basedOn w:val="19"/>
    <w:qFormat/>
    <w:uiPriority w:val="20"/>
    <w:rPr>
      <w:i/>
    </w:rPr>
  </w:style>
  <w:style w:type="character" w:styleId="22">
    <w:name w:val="Hyperlink"/>
    <w:basedOn w:val="19"/>
    <w:semiHidden/>
    <w:unhideWhenUsed/>
    <w:qFormat/>
    <w:uiPriority w:val="99"/>
    <w:rPr>
      <w:color w:val="0000FF"/>
      <w:u w:val="single"/>
    </w:rPr>
  </w:style>
  <w:style w:type="character" w:styleId="23">
    <w:name w:val="HTML Code"/>
    <w:basedOn w:val="19"/>
    <w:semiHidden/>
    <w:unhideWhenUsed/>
    <w:qFormat/>
    <w:uiPriority w:val="99"/>
    <w:rPr>
      <w:rFonts w:ascii="Courier New" w:hAnsi="Courier New"/>
      <w:sz w:val="20"/>
    </w:rPr>
  </w:style>
  <w:style w:type="character" w:styleId="24">
    <w:name w:val="annotation reference"/>
    <w:basedOn w:val="19"/>
    <w:semiHidden/>
    <w:unhideWhenUsed/>
    <w:qFormat/>
    <w:uiPriority w:val="99"/>
    <w:rPr>
      <w:sz w:val="21"/>
      <w:szCs w:val="21"/>
    </w:rPr>
  </w:style>
  <w:style w:type="character" w:customStyle="1" w:styleId="25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6">
    <w:name w:val="标题 2 字符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7">
    <w:name w:val="标题 3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8">
    <w:name w:val="标题 4 字符"/>
    <w:basedOn w:val="19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9">
    <w:name w:val="标题 5 字符"/>
    <w:basedOn w:val="19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30">
    <w:name w:val="标题 6 字符"/>
    <w:basedOn w:val="19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1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5">
    <w:name w:val="副标题 字符"/>
    <w:basedOn w:val="19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6">
    <w:name w:val="Quote"/>
    <w:basedOn w:val="1"/>
    <w:next w:val="1"/>
    <w:link w:val="3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引用 字符"/>
    <w:basedOn w:val="19"/>
    <w:link w:val="3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8">
    <w:name w:val="List Paragraph"/>
    <w:basedOn w:val="1"/>
    <w:qFormat/>
    <w:uiPriority w:val="34"/>
    <w:pPr>
      <w:ind w:left="720"/>
      <w:contextualSpacing/>
    </w:pPr>
  </w:style>
  <w:style w:type="character" w:customStyle="1" w:styleId="39">
    <w:name w:val="明显强调1"/>
    <w:basedOn w:val="19"/>
    <w:qFormat/>
    <w:uiPriority w:val="21"/>
    <w:rPr>
      <w:i/>
      <w:iCs/>
      <w:color w:val="104862" w:themeColor="accent1" w:themeShade="BF"/>
    </w:rPr>
  </w:style>
  <w:style w:type="paragraph" w:styleId="40">
    <w:name w:val="Intense Quote"/>
    <w:basedOn w:val="1"/>
    <w:next w:val="1"/>
    <w:link w:val="4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1">
    <w:name w:val="明显引用 字符"/>
    <w:basedOn w:val="19"/>
    <w:link w:val="40"/>
    <w:qFormat/>
    <w:uiPriority w:val="30"/>
    <w:rPr>
      <w:i/>
      <w:iCs/>
      <w:color w:val="104862" w:themeColor="accent1" w:themeShade="BF"/>
    </w:rPr>
  </w:style>
  <w:style w:type="character" w:customStyle="1" w:styleId="42">
    <w:name w:val="明显参考1"/>
    <w:basedOn w:val="19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3">
    <w:name w:val="页眉 字符"/>
    <w:basedOn w:val="19"/>
    <w:link w:val="13"/>
    <w:qFormat/>
    <w:uiPriority w:val="99"/>
    <w:rPr>
      <w:kern w:val="2"/>
      <w:sz w:val="18"/>
      <w:szCs w:val="18"/>
    </w:rPr>
  </w:style>
  <w:style w:type="character" w:customStyle="1" w:styleId="44">
    <w:name w:val="页脚 字符"/>
    <w:basedOn w:val="19"/>
    <w:link w:val="1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09792-E89F-4347-B241-7B4CFC4566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745</Words>
  <Characters>3752</Characters>
  <Lines>232</Lines>
  <Paragraphs>19</Paragraphs>
  <TotalTime>10</TotalTime>
  <ScaleCrop>false</ScaleCrop>
  <LinksUpToDate>false</LinksUpToDate>
  <CharactersWithSpaces>4408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2025-07-29T16:13:00Z</dcterms:created>
  <dc:creator>玥 付</dc:creator>
  <cp:lastModifiedBy>分界</cp:lastModifiedBy>
  <dcterms:modified xsi:type="dcterms:W3CDTF">2026-07-10T08:13:45Z</dcterms:modified>
  <cp:revision>107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eyJoZGlkIjoiMjAzOTFhNmU3MTg2ODU0YmYxZjNhODI1NDNhZGE5Y2YiLCJ1c2VySWQiOiI2MjcyNTkxNDYifQ==</vt:lpwstr>
  </property>
  <property fmtid="{D5CDD505-2E9C-101B-9397-08002B2CF9AE}" pid="3" name="KSOProductBuildVer">
    <vt:lpwstr>2052-12.1.0.26375</vt:lpwstr>
  </property>
  <property fmtid="{D5CDD505-2E9C-101B-9397-08002B2CF9AE}" pid="4" name="ICV">
    <vt:lpwstr>66FCDFEE2E3146068BC08CAE2D332CA5_13</vt:lpwstr>
  </property>
</Properties>
</file>