
<file path=[Content_Types].xml><?xml version="1.0" encoding="utf-8"?>
<Types xmlns="http://schemas.openxmlformats.org/package/2006/content-types">
  <Default Extension="tiff" ContentType="image/tif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6D479">
      <w:pPr>
        <w:snapToGrid w:val="0"/>
        <w:spacing w:before="120" w:after="120" w:line="360" w:lineRule="auto"/>
        <w:jc w:val="left"/>
        <w:rPr>
          <w:rFonts w:ascii="Times New Roman" w:hAnsi="Times New Roman" w:cs="Times New Roman"/>
          <w:b/>
          <w:bCs/>
          <w:sz w:val="28"/>
          <w:szCs w:val="28"/>
        </w:rPr>
      </w:pPr>
      <w:r>
        <w:rPr>
          <w:rFonts w:ascii="Times New Roman" w:hAnsi="Times New Roman" w:eastAsia="DengXian" w:cs="Times New Roman"/>
          <w:b/>
          <w:bCs/>
          <w:sz w:val="28"/>
          <w:szCs w:val="28"/>
          <w:lang w:bidi="ar"/>
        </w:rPr>
        <w:t xml:space="preserve">Emergence of locally transmitting and drug-resistant clones shapes global expansion of </w:t>
      </w:r>
      <w:r>
        <w:rPr>
          <w:rFonts w:ascii="Times New Roman Bold Italic" w:hAnsi="Times New Roman Bold Italic" w:eastAsia="DengXian" w:cs="Times New Roman Bold Italic"/>
          <w:b/>
          <w:bCs/>
          <w:i/>
          <w:iCs/>
          <w:sz w:val="28"/>
          <w:szCs w:val="28"/>
          <w:lang w:bidi="ar"/>
        </w:rPr>
        <w:t>Mycobacterium tuberculosis</w:t>
      </w:r>
      <w:r>
        <w:rPr>
          <w:rFonts w:ascii="Times New Roman" w:hAnsi="Times New Roman" w:eastAsia="DengXian" w:cs="Times New Roman"/>
          <w:b/>
          <w:bCs/>
          <w:sz w:val="28"/>
          <w:szCs w:val="28"/>
          <w:lang w:bidi="ar"/>
        </w:rPr>
        <w:t xml:space="preserve"> Lineage 3</w:t>
      </w:r>
    </w:p>
    <w:p w14:paraId="32F22842">
      <w:pPr>
        <w:rPr>
          <w:rFonts w:ascii="Times New Roman Regular" w:hAnsi="Times New Roman Regular" w:cs="Times New Roman Regular"/>
        </w:rPr>
      </w:pPr>
    </w:p>
    <w:p w14:paraId="0EFF4106">
      <w:pPr>
        <w:rPr>
          <w:rFonts w:ascii="Times New Roman Regular" w:hAnsi="Times New Roman Regular" w:cs="Times New Roman Regular"/>
        </w:rPr>
      </w:pPr>
      <w:r>
        <w:rPr>
          <w:rFonts w:ascii="Times New Roman Regular" w:hAnsi="Times New Roman Regular" w:cs="Times New Roman Regular"/>
        </w:rPr>
        <w:drawing>
          <wp:inline distT="0" distB="0" distL="114300" distR="114300">
            <wp:extent cx="5266690" cy="2962910"/>
            <wp:effectExtent l="0" t="0" r="16510" b="8890"/>
            <wp:docPr id="6" name="图片 6" descr="fig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_01"/>
                    <pic:cNvPicPr>
                      <a:picLocks noChangeAspect="1"/>
                    </pic:cNvPicPr>
                  </pic:nvPicPr>
                  <pic:blipFill>
                    <a:blip r:embed="rId4"/>
                    <a:stretch>
                      <a:fillRect/>
                    </a:stretch>
                  </pic:blipFill>
                  <pic:spPr>
                    <a:xfrm>
                      <a:off x="0" y="0"/>
                      <a:ext cx="5266690" cy="2962910"/>
                    </a:xfrm>
                    <a:prstGeom prst="rect">
                      <a:avLst/>
                    </a:prstGeom>
                  </pic:spPr>
                </pic:pic>
              </a:graphicData>
            </a:graphic>
          </wp:inline>
        </w:drawing>
      </w:r>
    </w:p>
    <w:p w14:paraId="716E3CDF">
      <w:pPr>
        <w:pStyle w:val="3"/>
        <w:widowControl/>
        <w:rPr>
          <w:rFonts w:ascii="Times New Roman Regular" w:hAnsi="Times New Roman Regular" w:cs="Times New Roman Regular"/>
          <w:sz w:val="22"/>
          <w:szCs w:val="22"/>
        </w:rPr>
      </w:pPr>
      <w:r>
        <w:rPr>
          <w:rStyle w:val="7"/>
          <w:rFonts w:ascii="Times New Roman Regular" w:hAnsi="Times New Roman Regular" w:cs="Times New Roman Regular"/>
          <w:bCs/>
          <w:sz w:val="22"/>
          <w:szCs w:val="22"/>
        </w:rPr>
        <w:t xml:space="preserve">Fig. </w:t>
      </w:r>
      <w:r>
        <w:rPr>
          <w:rStyle w:val="7"/>
          <w:rFonts w:hint="default" w:ascii="Times New Roman Regular" w:hAnsi="Times New Roman Regular" w:cs="Times New Roman Regular"/>
          <w:bCs/>
          <w:sz w:val="22"/>
          <w:szCs w:val="22"/>
          <w:lang w:val="en-US"/>
        </w:rPr>
        <w:t>S</w:t>
      </w:r>
      <w:r>
        <w:rPr>
          <w:rStyle w:val="7"/>
          <w:rFonts w:ascii="Times New Roman Regular" w:hAnsi="Times New Roman Regular" w:cs="Times New Roman Regular"/>
          <w:bCs/>
          <w:sz w:val="22"/>
          <w:szCs w:val="22"/>
        </w:rPr>
        <w:t xml:space="preserve">1. Terminal branch length (TBL) analysis across </w:t>
      </w:r>
      <w:r>
        <w:rPr>
          <w:rStyle w:val="8"/>
          <w:rFonts w:ascii="Times New Roman Bold Italic" w:hAnsi="Times New Roman Bold Italic" w:cs="Times New Roman Bold Italic"/>
          <w:b/>
          <w:bCs/>
          <w:iCs/>
          <w:sz w:val="22"/>
          <w:szCs w:val="22"/>
        </w:rPr>
        <w:t>M. tuberculosis</w:t>
      </w:r>
      <w:r>
        <w:rPr>
          <w:rStyle w:val="7"/>
          <w:rFonts w:ascii="Times New Roman Regular" w:hAnsi="Times New Roman Regular" w:cs="Times New Roman Regular"/>
          <w:bCs/>
          <w:sz w:val="22"/>
          <w:szCs w:val="22"/>
        </w:rPr>
        <w:t xml:space="preserve"> Lineages 2, 3, and 4 sublineages. </w:t>
      </w:r>
      <w:r>
        <w:rPr>
          <w:rFonts w:ascii="Times New Roman Bold" w:hAnsi="Times New Roman Bold" w:cs="Times New Roman Bold"/>
          <w:b/>
          <w:bCs/>
          <w:sz w:val="22"/>
          <w:szCs w:val="22"/>
        </w:rPr>
        <w:t>(a)</w:t>
      </w:r>
      <w:r>
        <w:rPr>
          <w:rFonts w:ascii="Times New Roman Regular" w:hAnsi="Times New Roman Regular" w:cs="Times New Roman Regular"/>
          <w:sz w:val="22"/>
          <w:szCs w:val="22"/>
        </w:rPr>
        <w:t xml:space="preserve"> Raincloud plot showing the distribution of TBLs for all sublineages of L2, L3, and L4. Each point represents a single isolate, with overlaid density and boxplot. L3.1 exhibited a median TBL of 25.0. Among L2 sublineages, the median TBLs were 11.4 for L2.3, 14.1 for L2.2, and 49.3 for L2.1. Among L4 sublineages, the median TBLs were 11.7 for L4.6, 14.5 for L4.3, 19.2 for L4.1, 19.4 for L4.2, 21.8 for L4.8, 25.0 for L4.7, 26.5 for L4.9, 30.7 for L4.4, 84.8 for L4.11, and 105.0 for L4.5. </w:t>
      </w:r>
      <w:r>
        <w:rPr>
          <w:rFonts w:ascii="Times New Roman Bold" w:hAnsi="Times New Roman Bold" w:cs="Times New Roman Bold"/>
          <w:b/>
          <w:bCs/>
          <w:sz w:val="22"/>
          <w:szCs w:val="22"/>
        </w:rPr>
        <w:t>(b)</w:t>
      </w:r>
      <w:r>
        <w:rPr>
          <w:rFonts w:hint="eastAsia" w:ascii="Times New Roman Bold" w:hAnsi="Times New Roman Bold" w:cs="Times New Roman Bold"/>
          <w:b/>
          <w:bCs/>
          <w:sz w:val="22"/>
          <w:szCs w:val="22"/>
          <w:lang w:val="en-US" w:eastAsia="zh-CN"/>
        </w:rPr>
        <w:t xml:space="preserve"> </w:t>
      </w:r>
      <w:r>
        <w:rPr>
          <w:rFonts w:ascii="Times New Roman Regular" w:hAnsi="Times New Roman Regular" w:cs="Times New Roman Regular"/>
          <w:sz w:val="22"/>
          <w:szCs w:val="22"/>
        </w:rPr>
        <w:t xml:space="preserve">Heatmap comparing median TBLs of L3.1 sublineages against other L2 and L4 sublineages. L3.1 exhibits significantly shorter TBLs than geographically restricted sublineages (L2.1, L4.5, and L4.11), and is comparable to several widely disseminated L4 sublineages. </w:t>
      </w:r>
      <w:r>
        <w:rPr>
          <w:rFonts w:ascii="Times New Roman Bold" w:hAnsi="Times New Roman Bold" w:cs="Times New Roman Bold"/>
          <w:b/>
          <w:bCs/>
          <w:sz w:val="22"/>
          <w:szCs w:val="22"/>
        </w:rPr>
        <w:t>(c)</w:t>
      </w:r>
      <w:r>
        <w:rPr>
          <w:rFonts w:hint="eastAsia" w:ascii="Times New Roman Bold" w:hAnsi="Times New Roman Bold" w:cs="Times New Roman Bold"/>
          <w:b/>
          <w:bCs/>
          <w:sz w:val="22"/>
          <w:szCs w:val="22"/>
        </w:rPr>
        <w:t xml:space="preserve"> </w:t>
      </w:r>
      <w:r>
        <w:rPr>
          <w:rFonts w:ascii="Times New Roman Regular" w:hAnsi="Times New Roman Regular" w:cs="Times New Roman Regular"/>
          <w:sz w:val="22"/>
          <w:szCs w:val="22"/>
        </w:rPr>
        <w:t>Comparison of TBLs across L2, L3, and L4 in the top five countries with the highest L3 burden, highlighting the relative branch lengths within each lineage by country.</w:t>
      </w:r>
    </w:p>
    <w:p w14:paraId="2D2231F8">
      <w:pPr>
        <w:rPr>
          <w:rFonts w:ascii="Times New Roman Regular" w:hAnsi="Times New Roman Regular" w:cs="Times New Roman Regular"/>
        </w:rPr>
      </w:pPr>
    </w:p>
    <w:p w14:paraId="13E3D3C8">
      <w:pPr>
        <w:rPr>
          <w:rFonts w:ascii="Times New Roman Regular" w:hAnsi="Times New Roman Regular" w:cs="Times New Roman Regular"/>
        </w:rPr>
      </w:pPr>
    </w:p>
    <w:p w14:paraId="26406D95">
      <w:pPr>
        <w:rPr>
          <w:rFonts w:ascii="Times New Roman Regular" w:hAnsi="Times New Roman Regular" w:cs="Times New Roman Regular"/>
        </w:rPr>
      </w:pPr>
    </w:p>
    <w:p w14:paraId="10B8C360">
      <w:pPr>
        <w:rPr>
          <w:rFonts w:ascii="Times New Roman Regular" w:hAnsi="Times New Roman Regular" w:cs="Times New Roman Regular"/>
        </w:rPr>
      </w:pPr>
      <w:r>
        <w:rPr>
          <w:rFonts w:ascii="Times New Roman Regular" w:hAnsi="Times New Roman Regular" w:cs="Times New Roman Regular"/>
        </w:rPr>
        <w:drawing>
          <wp:inline distT="0" distB="0" distL="114300" distR="114300">
            <wp:extent cx="5266690" cy="2962910"/>
            <wp:effectExtent l="0" t="0" r="16510" b="8890"/>
            <wp:docPr id="5" name="图片 5" descr="fig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_02"/>
                    <pic:cNvPicPr>
                      <a:picLocks noChangeAspect="1"/>
                    </pic:cNvPicPr>
                  </pic:nvPicPr>
                  <pic:blipFill>
                    <a:blip r:embed="rId5"/>
                    <a:stretch>
                      <a:fillRect/>
                    </a:stretch>
                  </pic:blipFill>
                  <pic:spPr>
                    <a:xfrm>
                      <a:off x="0" y="0"/>
                      <a:ext cx="5266690" cy="2962910"/>
                    </a:xfrm>
                    <a:prstGeom prst="rect">
                      <a:avLst/>
                    </a:prstGeom>
                  </pic:spPr>
                </pic:pic>
              </a:graphicData>
            </a:graphic>
          </wp:inline>
        </w:drawing>
      </w:r>
    </w:p>
    <w:p w14:paraId="1B2BEFFA">
      <w:pPr>
        <w:rPr>
          <w:rStyle w:val="7"/>
          <w:rFonts w:ascii="Times New Roman Regular" w:hAnsi="Times New Roman Regular" w:eastAsia="宋体" w:cs="Times New Roman Regular"/>
          <w:b w:val="0"/>
          <w:kern w:val="0"/>
          <w:sz w:val="22"/>
          <w:szCs w:val="22"/>
          <w:lang w:bidi="ar"/>
        </w:rPr>
      </w:pPr>
      <w:r>
        <w:rPr>
          <w:rStyle w:val="7"/>
          <w:rFonts w:ascii="Times New Roman Regular" w:hAnsi="Times New Roman Regular" w:eastAsia="宋体" w:cs="Times New Roman Regular"/>
          <w:bCs/>
          <w:kern w:val="0"/>
          <w:sz w:val="22"/>
          <w:szCs w:val="22"/>
          <w:lang w:bidi="ar"/>
        </w:rPr>
        <w:t xml:space="preserve">Fig. </w:t>
      </w:r>
      <w:r>
        <w:rPr>
          <w:rStyle w:val="7"/>
          <w:rFonts w:hint="default" w:ascii="Times New Roman Regular" w:hAnsi="Times New Roman Regular" w:eastAsia="宋体" w:cs="Times New Roman Regular"/>
          <w:bCs/>
          <w:kern w:val="0"/>
          <w:sz w:val="22"/>
          <w:szCs w:val="22"/>
          <w:lang w:val="en-US" w:bidi="ar"/>
        </w:rPr>
        <w:t>S</w:t>
      </w:r>
      <w:r>
        <w:rPr>
          <w:rStyle w:val="7"/>
          <w:rFonts w:ascii="Times New Roman Regular" w:hAnsi="Times New Roman Regular" w:eastAsia="宋体" w:cs="Times New Roman Regular"/>
          <w:bCs/>
          <w:kern w:val="0"/>
          <w:sz w:val="22"/>
          <w:szCs w:val="22"/>
          <w:lang w:bidi="ar"/>
        </w:rPr>
        <w:t xml:space="preserve">2. Global prevalence maps of all </w:t>
      </w:r>
      <w:r>
        <w:rPr>
          <w:rStyle w:val="7"/>
          <w:rFonts w:ascii="Times New Roman Bold Italic" w:hAnsi="Times New Roman Bold Italic" w:eastAsia="宋体" w:cs="Times New Roman Bold Italic"/>
          <w:bCs/>
          <w:i/>
          <w:iCs/>
          <w:kern w:val="0"/>
          <w:sz w:val="22"/>
          <w:szCs w:val="22"/>
          <w:lang w:bidi="ar"/>
        </w:rPr>
        <w:t>M. tuberculosis</w:t>
      </w:r>
      <w:r>
        <w:rPr>
          <w:rStyle w:val="7"/>
          <w:rFonts w:ascii="Times New Roman Regular" w:hAnsi="Times New Roman Regular" w:eastAsia="宋体" w:cs="Times New Roman Regular"/>
          <w:bCs/>
          <w:kern w:val="0"/>
          <w:sz w:val="22"/>
          <w:szCs w:val="22"/>
          <w:lang w:bidi="ar"/>
        </w:rPr>
        <w:t xml:space="preserve"> Lineages 2, 3, and 4 sublineages.</w:t>
      </w:r>
      <w:r>
        <w:rPr>
          <w:rStyle w:val="7"/>
          <w:rFonts w:hint="eastAsia" w:ascii="Times New Roman Regular" w:hAnsi="Times New Roman Regular" w:eastAsia="宋体" w:cs="Times New Roman Regular"/>
          <w:bCs/>
          <w:kern w:val="0"/>
          <w:sz w:val="22"/>
          <w:szCs w:val="22"/>
          <w:lang w:bidi="ar"/>
        </w:rPr>
        <w:t xml:space="preserve"> </w:t>
      </w:r>
      <w:r>
        <w:rPr>
          <w:rStyle w:val="7"/>
          <w:rFonts w:ascii="Times New Roman Regular" w:hAnsi="Times New Roman Regular" w:eastAsia="宋体" w:cs="Times New Roman Regular"/>
          <w:b w:val="0"/>
          <w:kern w:val="0"/>
          <w:sz w:val="22"/>
          <w:szCs w:val="22"/>
          <w:lang w:bidi="ar"/>
        </w:rPr>
        <w:t xml:space="preserve">Each map displays the geographic distribution of sublineages within L2, L3, and L4. Colors indicate relative prevalence of each sublineage in individual countries. </w:t>
      </w:r>
    </w:p>
    <w:p w14:paraId="7FA202D6">
      <w:pPr>
        <w:rPr>
          <w:rStyle w:val="7"/>
          <w:rFonts w:ascii="Times New Roman Regular" w:hAnsi="Times New Roman Regular" w:eastAsia="宋体" w:cs="Times New Roman Regular"/>
          <w:b w:val="0"/>
          <w:kern w:val="0"/>
          <w:sz w:val="22"/>
          <w:szCs w:val="22"/>
          <w:lang w:bidi="ar"/>
        </w:rPr>
      </w:pPr>
      <w:r>
        <w:rPr>
          <w:rStyle w:val="7"/>
          <w:rFonts w:ascii="Times New Roman Regular" w:hAnsi="Times New Roman Regular" w:eastAsia="宋体" w:cs="Times New Roman Regular"/>
          <w:b w:val="0"/>
          <w:kern w:val="0"/>
          <w:sz w:val="22"/>
          <w:szCs w:val="22"/>
          <w:lang w:bidi="ar"/>
        </w:rPr>
        <w:br w:type="page"/>
      </w:r>
    </w:p>
    <w:p w14:paraId="0553D4B7">
      <w:pPr>
        <w:jc w:val="left"/>
        <w:rPr>
          <w:rFonts w:ascii="Times New Roman Regular" w:hAnsi="Times New Roman Regular" w:cs="Times New Roman Regular"/>
        </w:rPr>
      </w:pPr>
      <w:r>
        <w:drawing>
          <wp:inline distT="0" distB="0" distL="114300" distR="114300">
            <wp:extent cx="5266690" cy="4348480"/>
            <wp:effectExtent l="0" t="0" r="16510" b="2032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6"/>
                    <a:stretch>
                      <a:fillRect/>
                    </a:stretch>
                  </pic:blipFill>
                  <pic:spPr>
                    <a:xfrm>
                      <a:off x="0" y="0"/>
                      <a:ext cx="5266690" cy="4348480"/>
                    </a:xfrm>
                    <a:prstGeom prst="rect">
                      <a:avLst/>
                    </a:prstGeom>
                    <a:noFill/>
                    <a:ln>
                      <a:noFill/>
                    </a:ln>
                  </pic:spPr>
                </pic:pic>
              </a:graphicData>
            </a:graphic>
          </wp:inline>
        </w:drawing>
      </w:r>
      <w:r>
        <w:rPr>
          <w:rStyle w:val="7"/>
          <w:rFonts w:ascii="Times New Roman Bold" w:hAnsi="Times New Roman Bold" w:cs="Times New Roman Bold"/>
          <w:bCs/>
          <w:sz w:val="22"/>
          <w:szCs w:val="22"/>
        </w:rPr>
        <w:t>Fi</w:t>
      </w:r>
      <w:r>
        <w:rPr>
          <w:rStyle w:val="7"/>
          <w:rFonts w:hint="eastAsia" w:ascii="Times New Roman Bold" w:hAnsi="Times New Roman Bold" w:cs="Times New Roman Bold"/>
          <w:bCs/>
          <w:sz w:val="22"/>
          <w:szCs w:val="22"/>
        </w:rPr>
        <w:t>g</w:t>
      </w:r>
      <w:r>
        <w:rPr>
          <w:rStyle w:val="7"/>
          <w:rFonts w:ascii="Times New Roman Bold" w:hAnsi="Times New Roman Bold" w:cs="Times New Roman Bold"/>
          <w:bCs/>
          <w:sz w:val="22"/>
          <w:szCs w:val="22"/>
        </w:rPr>
        <w:t xml:space="preserve">. </w:t>
      </w:r>
      <w:r>
        <w:rPr>
          <w:rStyle w:val="7"/>
          <w:rFonts w:hint="default" w:ascii="Times New Roman Bold" w:hAnsi="Times New Roman Bold" w:cs="Times New Roman Bold"/>
          <w:bCs/>
          <w:sz w:val="22"/>
          <w:szCs w:val="22"/>
          <w:lang w:val="en-US"/>
        </w:rPr>
        <w:t>S</w:t>
      </w:r>
      <w:r>
        <w:rPr>
          <w:rStyle w:val="7"/>
          <w:rFonts w:hint="eastAsia" w:ascii="Times New Roman Bold" w:hAnsi="Times New Roman Bold" w:cs="Times New Roman Bold"/>
          <w:bCs/>
          <w:sz w:val="22"/>
          <w:szCs w:val="22"/>
        </w:rPr>
        <w:t>3</w:t>
      </w:r>
      <w:r>
        <w:rPr>
          <w:rStyle w:val="7"/>
          <w:rFonts w:ascii="Times New Roman Bold" w:hAnsi="Times New Roman Bold" w:cs="Times New Roman Bold"/>
          <w:bCs/>
          <w:sz w:val="22"/>
          <w:szCs w:val="22"/>
        </w:rPr>
        <w:t xml:space="preserve">. Sublineage delineation of L3.1.1. </w:t>
      </w:r>
      <w:r>
        <w:rPr>
          <w:rFonts w:ascii="Times New Roman Regular" w:hAnsi="Times New Roman Regular" w:cs="Times New Roman Regular"/>
          <w:sz w:val="22"/>
          <w:szCs w:val="22"/>
        </w:rPr>
        <w:t xml:space="preserve">Sublineage classification of L3.1.1 based on FastBAPS clustering. Single, discrete clusters are labeled </w:t>
      </w:r>
      <w:r>
        <w:rPr>
          <w:rFonts w:hint="eastAsia" w:ascii="Times New Roman Regular" w:hAnsi="Times New Roman Regular" w:cs="Times New Roman Regular"/>
          <w:sz w:val="22"/>
          <w:szCs w:val="22"/>
        </w:rPr>
        <w:t>L3.1.1.</w:t>
      </w:r>
      <w:r>
        <w:rPr>
          <w:rFonts w:ascii="Times New Roman Regular" w:hAnsi="Times New Roman Regular" w:cs="Times New Roman Regular"/>
          <w:sz w:val="22"/>
          <w:szCs w:val="22"/>
        </w:rPr>
        <w:t>1–6; the remaining non-contiguous composite cluster is designated as the legacy group, representing historical, non-expanding lineages.</w:t>
      </w:r>
    </w:p>
    <w:p w14:paraId="7C142574">
      <w:pPr>
        <w:rPr>
          <w:rStyle w:val="7"/>
          <w:rFonts w:ascii="Times New Roman Regular" w:hAnsi="Times New Roman Regular" w:eastAsia="宋体" w:cs="Times New Roman Regular"/>
          <w:b w:val="0"/>
          <w:kern w:val="0"/>
          <w:sz w:val="22"/>
          <w:szCs w:val="22"/>
          <w:lang w:bidi="ar"/>
        </w:rPr>
      </w:pPr>
    </w:p>
    <w:p w14:paraId="2BEDBD17">
      <w:r>
        <w:drawing>
          <wp:inline distT="0" distB="0" distL="114300" distR="114300">
            <wp:extent cx="5270500" cy="3439795"/>
            <wp:effectExtent l="0" t="0" r="12700" b="146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5270500" cy="3439795"/>
                    </a:xfrm>
                    <a:prstGeom prst="rect">
                      <a:avLst/>
                    </a:prstGeom>
                    <a:noFill/>
                    <a:ln>
                      <a:noFill/>
                    </a:ln>
                  </pic:spPr>
                </pic:pic>
              </a:graphicData>
            </a:graphic>
          </wp:inline>
        </w:drawing>
      </w:r>
    </w:p>
    <w:p w14:paraId="5A7BEF0D"/>
    <w:p w14:paraId="5F8E9B70">
      <w:pPr>
        <w:rPr>
          <w:rFonts w:ascii="Times New Roman Bold" w:hAnsi="Times New Roman Bold" w:cs="Times New Roman Bold"/>
          <w:b/>
          <w:bCs/>
          <w:sz w:val="22"/>
          <w:szCs w:val="22"/>
        </w:rPr>
      </w:pPr>
      <w:r>
        <w:rPr>
          <w:rFonts w:ascii="Times New Roman Bold" w:hAnsi="Times New Roman Bold" w:cs="Times New Roman Bold"/>
          <w:b/>
          <w:bCs/>
          <w:sz w:val="22"/>
          <w:szCs w:val="22"/>
        </w:rPr>
        <w:t xml:space="preserve">Fig. </w:t>
      </w:r>
      <w:r>
        <w:rPr>
          <w:rFonts w:hint="default" w:ascii="Times New Roman Bold" w:hAnsi="Times New Roman Bold" w:cs="Times New Roman Bold"/>
          <w:b/>
          <w:bCs/>
          <w:sz w:val="22"/>
          <w:szCs w:val="22"/>
          <w:lang w:val="en-US"/>
        </w:rPr>
        <w:t>S</w:t>
      </w:r>
      <w:r>
        <w:rPr>
          <w:rFonts w:hint="eastAsia" w:ascii="Times New Roman Bold" w:hAnsi="Times New Roman Bold" w:cs="Times New Roman Bold"/>
          <w:b/>
          <w:bCs/>
          <w:sz w:val="22"/>
          <w:szCs w:val="22"/>
        </w:rPr>
        <w:t>4</w:t>
      </w:r>
      <w:r>
        <w:rPr>
          <w:rFonts w:ascii="Times New Roman Bold" w:hAnsi="Times New Roman Bold" w:cs="Times New Roman Bold"/>
          <w:b/>
          <w:bCs/>
          <w:sz w:val="22"/>
          <w:szCs w:val="22"/>
        </w:rPr>
        <w:t>. Inferred country of origin for L3.1.1 sublineages (L3.1.1.</w:t>
      </w:r>
      <w:r>
        <w:rPr>
          <w:rFonts w:hint="eastAsia" w:ascii="Times New Roman Bold" w:hAnsi="Times New Roman Bold" w:cs="Times New Roman Bold"/>
          <w:b/>
          <w:bCs/>
          <w:sz w:val="22"/>
          <w:szCs w:val="22"/>
        </w:rPr>
        <w:t>2</w:t>
      </w:r>
      <w:r>
        <w:rPr>
          <w:rFonts w:ascii="Times New Roman Bold" w:hAnsi="Times New Roman Bold" w:cs="Times New Roman Bold"/>
          <w:b/>
          <w:bCs/>
          <w:sz w:val="22"/>
          <w:szCs w:val="22"/>
        </w:rPr>
        <w:t>–6).</w:t>
      </w:r>
    </w:p>
    <w:p w14:paraId="7CEE1018">
      <w:pPr>
        <w:rPr>
          <w:rFonts w:ascii="Times New Roman" w:hAnsi="Times New Roman" w:cs="Times New Roman"/>
          <w:sz w:val="22"/>
          <w:szCs w:val="22"/>
        </w:rPr>
      </w:pPr>
      <w:r>
        <w:rPr>
          <w:rFonts w:ascii="Times New Roman" w:hAnsi="Times New Roman" w:cs="Times New Roman"/>
          <w:sz w:val="22"/>
          <w:szCs w:val="22"/>
        </w:rPr>
        <w:t xml:space="preserve">PastML was used to infer the most likely country of origin for each of the </w:t>
      </w:r>
      <w:r>
        <w:rPr>
          <w:rFonts w:hint="eastAsia" w:ascii="Times New Roman" w:hAnsi="Times New Roman" w:cs="Times New Roman"/>
          <w:sz w:val="22"/>
          <w:szCs w:val="22"/>
        </w:rPr>
        <w:t>other five</w:t>
      </w:r>
      <w:r>
        <w:rPr>
          <w:rFonts w:ascii="Times New Roman" w:hAnsi="Times New Roman" w:cs="Times New Roman"/>
          <w:sz w:val="22"/>
          <w:szCs w:val="22"/>
        </w:rPr>
        <w:t xml:space="preserve"> L3.1.1 sublineages.</w:t>
      </w:r>
    </w:p>
    <w:p w14:paraId="53EC64F3">
      <w:pPr>
        <w:rPr>
          <w:rFonts w:ascii="Times New Roman Regular" w:hAnsi="Times New Roman Regular" w:cs="Times New Roman Regular"/>
        </w:rPr>
      </w:pPr>
      <w:r>
        <w:rPr>
          <w:rFonts w:ascii="Times New Roman Regular" w:hAnsi="Times New Roman Regular" w:cs="Times New Roman Regular"/>
        </w:rPr>
        <w:br w:type="page"/>
      </w:r>
    </w:p>
    <w:p w14:paraId="2EE99E43">
      <w:pPr>
        <w:rPr>
          <w:rFonts w:ascii="Times New Roman Regular" w:hAnsi="Times New Roman Regular" w:cs="Times New Roman Regular"/>
        </w:rPr>
      </w:pPr>
    </w:p>
    <w:p w14:paraId="53693DF7">
      <w:pPr>
        <w:rPr>
          <w:rFonts w:ascii="Times New Roman Regular" w:hAnsi="Times New Roman Regular" w:cs="Times New Roman Regular"/>
        </w:rPr>
      </w:pPr>
      <w:r>
        <w:drawing>
          <wp:inline distT="0" distB="0" distL="114300" distR="114300">
            <wp:extent cx="5266690" cy="2870835"/>
            <wp:effectExtent l="0" t="0" r="16510" b="2476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8"/>
                    <a:stretch>
                      <a:fillRect/>
                    </a:stretch>
                  </pic:blipFill>
                  <pic:spPr>
                    <a:xfrm>
                      <a:off x="0" y="0"/>
                      <a:ext cx="5266690" cy="2870835"/>
                    </a:xfrm>
                    <a:prstGeom prst="rect">
                      <a:avLst/>
                    </a:prstGeom>
                    <a:noFill/>
                    <a:ln>
                      <a:noFill/>
                    </a:ln>
                  </pic:spPr>
                </pic:pic>
              </a:graphicData>
            </a:graphic>
          </wp:inline>
        </w:drawing>
      </w:r>
    </w:p>
    <w:p w14:paraId="077B0D77">
      <w:pPr>
        <w:rPr>
          <w:rFonts w:ascii="Times New Roman Regular" w:hAnsi="Times New Roman Regular" w:cs="Times New Roman Regular"/>
          <w:sz w:val="22"/>
          <w:szCs w:val="22"/>
        </w:rPr>
      </w:pPr>
      <w:r>
        <w:rPr>
          <w:rFonts w:ascii="Times New Roman Bold" w:hAnsi="Times New Roman Bold" w:cs="Times New Roman Bold"/>
          <w:b/>
          <w:bCs/>
          <w:sz w:val="22"/>
          <w:szCs w:val="22"/>
        </w:rPr>
        <w:t xml:space="preserve">Fig. </w:t>
      </w:r>
      <w:r>
        <w:rPr>
          <w:rFonts w:hint="default" w:ascii="Times New Roman Bold" w:hAnsi="Times New Roman Bold" w:cs="Times New Roman Bold"/>
          <w:b/>
          <w:bCs/>
          <w:sz w:val="22"/>
          <w:szCs w:val="22"/>
          <w:lang w:val="en-US"/>
        </w:rPr>
        <w:t>S</w:t>
      </w:r>
      <w:r>
        <w:rPr>
          <w:rFonts w:hint="eastAsia" w:ascii="Times New Roman Bold" w:hAnsi="Times New Roman Bold" w:cs="Times New Roman Bold"/>
          <w:b/>
          <w:bCs/>
          <w:sz w:val="22"/>
          <w:szCs w:val="22"/>
        </w:rPr>
        <w:t>5</w:t>
      </w:r>
      <w:r>
        <w:rPr>
          <w:rFonts w:ascii="Times New Roman Bold" w:hAnsi="Times New Roman Bold" w:cs="Times New Roman Bold"/>
          <w:b/>
          <w:bCs/>
          <w:sz w:val="22"/>
          <w:szCs w:val="22"/>
        </w:rPr>
        <w:t xml:space="preserve">. Analysis of ancestral node mutations across </w:t>
      </w:r>
      <w:r>
        <w:rPr>
          <w:rFonts w:ascii="Times New Roman Bold Italic" w:hAnsi="Times New Roman Bold Italic" w:cs="Times New Roman Bold Italic"/>
          <w:b/>
          <w:bCs/>
          <w:i/>
          <w:iCs/>
          <w:sz w:val="22"/>
          <w:szCs w:val="22"/>
        </w:rPr>
        <w:t>M. tuberculosis</w:t>
      </w:r>
      <w:r>
        <w:rPr>
          <w:rFonts w:ascii="Times New Roman Bold" w:hAnsi="Times New Roman Bold" w:cs="Times New Roman Bold"/>
          <w:b/>
          <w:bCs/>
          <w:sz w:val="22"/>
          <w:szCs w:val="22"/>
        </w:rPr>
        <w:t xml:space="preserve"> Lineages 2, 3, and 4. (a)</w:t>
      </w:r>
      <w:r>
        <w:rPr>
          <w:rFonts w:hint="eastAsia" w:ascii="Times New Roman Bold" w:hAnsi="Times New Roman Bold" w:cs="Times New Roman Bold"/>
          <w:b/>
          <w:bCs/>
          <w:sz w:val="22"/>
          <w:szCs w:val="22"/>
        </w:rPr>
        <w:t xml:space="preserve"> </w:t>
      </w:r>
      <w:r>
        <w:rPr>
          <w:rFonts w:ascii="Times New Roman Regular" w:hAnsi="Times New Roman Regular" w:cs="Times New Roman Regular"/>
          <w:sz w:val="22"/>
          <w:szCs w:val="22"/>
        </w:rPr>
        <w:t xml:space="preserve">Phylogenetic tree showing the number of nonsynonymous and synonymous mutations accumulated at ancestral nodes, with corresponding </w:t>
      </w:r>
      <w:bookmarkStart w:id="0" w:name="_Hlk232688143"/>
      <w:r>
        <w:rPr>
          <w:rFonts w:ascii="Times New Roman Regular" w:hAnsi="Times New Roman Regular" w:cs="Times New Roman Regular"/>
          <w:i/>
          <w:iCs/>
          <w:sz w:val="22"/>
          <w:szCs w:val="22"/>
        </w:rPr>
        <w:t>pN/pS</w:t>
      </w:r>
      <w:r>
        <w:rPr>
          <w:rFonts w:ascii="Times New Roman Regular" w:hAnsi="Times New Roman Regular" w:cs="Times New Roman Regular"/>
          <w:sz w:val="22"/>
          <w:szCs w:val="22"/>
        </w:rPr>
        <w:t xml:space="preserve"> </w:t>
      </w:r>
      <w:bookmarkEnd w:id="0"/>
      <w:r>
        <w:rPr>
          <w:rFonts w:ascii="Times New Roman Regular" w:hAnsi="Times New Roman Regular" w:cs="Times New Roman Regular"/>
          <w:sz w:val="22"/>
          <w:szCs w:val="22"/>
        </w:rPr>
        <w:t xml:space="preserve">ratios annotated for each major lineage. </w:t>
      </w:r>
      <w:r>
        <w:rPr>
          <w:rFonts w:ascii="Times New Roman Bold" w:hAnsi="Times New Roman Bold" w:cs="Times New Roman Bold"/>
          <w:b/>
          <w:bCs/>
          <w:sz w:val="22"/>
          <w:szCs w:val="22"/>
        </w:rPr>
        <w:t xml:space="preserve">(b) </w:t>
      </w:r>
      <w:r>
        <w:rPr>
          <w:rFonts w:ascii="Times New Roman Regular" w:hAnsi="Times New Roman Regular" w:cs="Times New Roman Regular"/>
          <w:sz w:val="22"/>
          <w:szCs w:val="22"/>
        </w:rPr>
        <w:t xml:space="preserve">Venn diagram illustrating shared and lineage-specific genes carrying ancestral mutations among L2, L3, and L4. </w:t>
      </w:r>
      <w:r>
        <w:rPr>
          <w:rFonts w:ascii="Times New Roman Bold" w:hAnsi="Times New Roman Bold" w:cs="Times New Roman Bold"/>
          <w:b/>
          <w:bCs/>
          <w:sz w:val="22"/>
          <w:szCs w:val="22"/>
        </w:rPr>
        <w:t>(c)</w:t>
      </w:r>
      <w:r>
        <w:rPr>
          <w:rFonts w:ascii="Times New Roman Regular" w:hAnsi="Times New Roman Regular" w:cs="Times New Roman Regular"/>
          <w:sz w:val="22"/>
          <w:szCs w:val="22"/>
        </w:rPr>
        <w:t xml:space="preserve"> Comparative analysis of convergent ancestral mutations observed in L2 and L4 and their selection status within L3, highlighting potential lineage-intrinsic adaptive constraints.</w:t>
      </w:r>
    </w:p>
    <w:p w14:paraId="16C054D1">
      <w:pPr>
        <w:rPr>
          <w:rFonts w:ascii="Times New Roman Regular" w:hAnsi="Times New Roman Regular" w:cs="Times New Roman Regular"/>
        </w:rPr>
      </w:pPr>
      <w:r>
        <w:rPr>
          <w:rFonts w:ascii="Times New Roman Regular" w:hAnsi="Times New Roman Regular" w:cs="Times New Roman Regular"/>
        </w:rPr>
        <w:br w:type="page"/>
      </w:r>
    </w:p>
    <w:p w14:paraId="6B828D72">
      <w:pPr>
        <w:rPr>
          <w:rStyle w:val="7"/>
          <w:rFonts w:ascii="Times New Roman Bold" w:hAnsi="Times New Roman Bold" w:cs="Times New Roman Bold"/>
          <w:bCs/>
          <w:sz w:val="22"/>
          <w:szCs w:val="22"/>
        </w:rPr>
      </w:pPr>
      <w:r>
        <w:drawing>
          <wp:inline distT="0" distB="0" distL="114300" distR="114300">
            <wp:extent cx="5267325" cy="2733040"/>
            <wp:effectExtent l="0" t="0" r="15875" b="1016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9"/>
                    <a:stretch>
                      <a:fillRect/>
                    </a:stretch>
                  </pic:blipFill>
                  <pic:spPr>
                    <a:xfrm>
                      <a:off x="0" y="0"/>
                      <a:ext cx="5267325" cy="2733040"/>
                    </a:xfrm>
                    <a:prstGeom prst="rect">
                      <a:avLst/>
                    </a:prstGeom>
                    <a:noFill/>
                    <a:ln>
                      <a:noFill/>
                    </a:ln>
                  </pic:spPr>
                </pic:pic>
              </a:graphicData>
            </a:graphic>
          </wp:inline>
        </w:drawing>
      </w:r>
    </w:p>
    <w:p w14:paraId="0A793F1C">
      <w:pPr>
        <w:widowControl/>
        <w:jc w:val="left"/>
      </w:pPr>
      <w:r>
        <w:rPr>
          <w:rStyle w:val="7"/>
          <w:rFonts w:ascii="Times New Roman Bold" w:hAnsi="Times New Roman Bold" w:cs="Times New Roman Bold"/>
          <w:bCs/>
          <w:sz w:val="22"/>
          <w:szCs w:val="22"/>
        </w:rPr>
        <w:t xml:space="preserve">Fig. </w:t>
      </w:r>
      <w:r>
        <w:rPr>
          <w:rStyle w:val="7"/>
          <w:rFonts w:hint="default" w:ascii="Times New Roman Bold" w:hAnsi="Times New Roman Bold" w:cs="Times New Roman Bold"/>
          <w:bCs/>
          <w:sz w:val="22"/>
          <w:szCs w:val="22"/>
          <w:lang w:val="en-US"/>
        </w:rPr>
        <w:t>S</w:t>
      </w:r>
      <w:r>
        <w:rPr>
          <w:rStyle w:val="7"/>
          <w:rFonts w:ascii="Times New Roman Bold" w:hAnsi="Times New Roman Bold" w:cs="Times New Roman Bold"/>
          <w:bCs/>
          <w:sz w:val="22"/>
          <w:szCs w:val="22"/>
        </w:rPr>
        <w:t xml:space="preserve">6. </w:t>
      </w:r>
      <w:r>
        <w:rPr>
          <w:rFonts w:hint="default" w:ascii="Times New Roman Bold" w:hAnsi="Times New Roman Bold" w:eastAsia="宋体" w:cs="Times New Roman Bold"/>
          <w:b/>
          <w:bCs/>
          <w:i w:val="0"/>
          <w:iCs w:val="0"/>
          <w:sz w:val="22"/>
          <w:szCs w:val="22"/>
          <w:lang w:bidi="ar"/>
        </w:rPr>
        <w:t xml:space="preserve">pN/pS </w:t>
      </w:r>
      <w:r>
        <w:rPr>
          <w:rFonts w:ascii="Times New Roman" w:hAnsi="Times New Roman" w:eastAsia="宋体" w:cs="Times New Roman"/>
          <w:b/>
          <w:bCs/>
          <w:sz w:val="22"/>
          <w:szCs w:val="22"/>
          <w:lang w:bidi="ar"/>
        </w:rPr>
        <w:t>across the</w:t>
      </w:r>
      <w:r>
        <w:rPr>
          <w:rFonts w:hint="eastAsia" w:ascii="Times New Roman" w:hAnsi="Times New Roman" w:eastAsia="宋体" w:cs="Times New Roman"/>
          <w:b/>
          <w:bCs/>
          <w:sz w:val="22"/>
          <w:szCs w:val="22"/>
          <w:lang w:bidi="ar"/>
        </w:rPr>
        <w:t xml:space="preserve"> L2 and L4 </w:t>
      </w:r>
      <w:r>
        <w:rPr>
          <w:rFonts w:ascii="Times New Roman" w:hAnsi="Times New Roman" w:eastAsia="宋体" w:cs="Times New Roman"/>
          <w:b/>
          <w:bCs/>
          <w:sz w:val="22"/>
          <w:szCs w:val="22"/>
          <w:lang w:bidi="ar"/>
        </w:rPr>
        <w:t>sub</w:t>
      </w:r>
      <w:r>
        <w:rPr>
          <w:rFonts w:hint="default" w:ascii="Times New Roman" w:hAnsi="Times New Roman" w:eastAsia="宋体" w:cs="Times New Roman"/>
          <w:b/>
          <w:bCs/>
          <w:sz w:val="22"/>
          <w:szCs w:val="22"/>
          <w:lang w:val="en-US" w:bidi="ar"/>
        </w:rPr>
        <w:t>l</w:t>
      </w:r>
      <w:r>
        <w:rPr>
          <w:rFonts w:ascii="Times New Roman" w:hAnsi="Times New Roman" w:eastAsia="宋体" w:cs="Times New Roman"/>
          <w:b/>
          <w:bCs/>
          <w:sz w:val="22"/>
          <w:szCs w:val="22"/>
          <w:lang w:bidi="ar"/>
        </w:rPr>
        <w:t>ineages.</w:t>
      </w:r>
    </w:p>
    <w:p w14:paraId="6876CFD7">
      <w:pPr>
        <w:rPr>
          <w:rFonts w:ascii="Times New Roman Regular" w:hAnsi="Times New Roman Regular" w:cs="Times New Roman Regular"/>
          <w:sz w:val="22"/>
          <w:szCs w:val="22"/>
        </w:rPr>
      </w:pPr>
      <w:r>
        <w:rPr>
          <w:rFonts w:ascii="Times New Roman Regular" w:hAnsi="Times New Roman Regular" w:cs="Times New Roman Regular"/>
          <w:sz w:val="22"/>
          <w:szCs w:val="22"/>
        </w:rPr>
        <w:br w:type="page"/>
      </w:r>
    </w:p>
    <w:p w14:paraId="31104D90">
      <w:pPr>
        <w:rPr>
          <w:rFonts w:ascii="Times New Roman Regular" w:hAnsi="Times New Roman Regular" w:cs="Times New Roman Regular"/>
        </w:rPr>
      </w:pPr>
      <w:r>
        <w:drawing>
          <wp:inline distT="0" distB="0" distL="114300" distR="114300">
            <wp:extent cx="5264785" cy="3042920"/>
            <wp:effectExtent l="0" t="0" r="18415" b="50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264785" cy="3042920"/>
                    </a:xfrm>
                    <a:prstGeom prst="rect">
                      <a:avLst/>
                    </a:prstGeom>
                    <a:noFill/>
                    <a:ln>
                      <a:noFill/>
                    </a:ln>
                  </pic:spPr>
                </pic:pic>
              </a:graphicData>
            </a:graphic>
          </wp:inline>
        </w:drawing>
      </w:r>
    </w:p>
    <w:p w14:paraId="597C5AB6">
      <w:pPr>
        <w:rPr>
          <w:rFonts w:ascii="Times New Roman Regular" w:hAnsi="Times New Roman Regular" w:cs="Times New Roman Regular"/>
          <w:sz w:val="22"/>
          <w:szCs w:val="22"/>
        </w:rPr>
      </w:pPr>
      <w:r>
        <w:rPr>
          <w:rFonts w:ascii="Times New Roman Bold" w:hAnsi="Times New Roman Bold" w:cs="Times New Roman Bold"/>
          <w:b/>
          <w:bCs/>
          <w:sz w:val="22"/>
          <w:szCs w:val="22"/>
        </w:rPr>
        <w:t xml:space="preserve">Fig. </w:t>
      </w:r>
      <w:r>
        <w:rPr>
          <w:rFonts w:hint="default" w:ascii="Times New Roman Bold" w:hAnsi="Times New Roman Bold" w:cs="Times New Roman Bold"/>
          <w:b/>
          <w:bCs/>
          <w:sz w:val="22"/>
          <w:szCs w:val="22"/>
          <w:lang w:val="en-US"/>
        </w:rPr>
        <w:t>S</w:t>
      </w:r>
      <w:r>
        <w:rPr>
          <w:rFonts w:ascii="Times New Roman Bold" w:hAnsi="Times New Roman Bold" w:cs="Times New Roman Bold"/>
          <w:b/>
          <w:bCs/>
          <w:sz w:val="22"/>
          <w:szCs w:val="22"/>
        </w:rPr>
        <w:t>7. Country-specific distribution of selected genes within L3.1.1 sublineages.</w:t>
      </w:r>
      <w:r>
        <w:rPr>
          <w:rFonts w:hint="eastAsia" w:ascii="Times New Roman Bold" w:hAnsi="Times New Roman Bold" w:cs="Times New Roman Bold"/>
          <w:b/>
          <w:bCs/>
          <w:sz w:val="22"/>
          <w:szCs w:val="22"/>
        </w:rPr>
        <w:t xml:space="preserve"> </w:t>
      </w:r>
      <w:r>
        <w:rPr>
          <w:rFonts w:ascii="Times New Roman Regular" w:hAnsi="Times New Roman Regular" w:cs="Times New Roman Regular"/>
          <w:sz w:val="22"/>
          <w:szCs w:val="22"/>
        </w:rPr>
        <w:t>Bar plots indicate the proportion of isolates carrying positively selected mutations in each sublineage relative to the proportion of isolates from the corresponding country. Values of zero indicate perfect concordance between the gene-specific and country-specific proportions; positive values indicate over</w:t>
      </w:r>
      <w:r>
        <w:rPr>
          <w:rFonts w:hint="default" w:ascii="Times New Roman Regular" w:hAnsi="Times New Roman Regular" w:cs="Times New Roman Regular"/>
          <w:sz w:val="22"/>
          <w:szCs w:val="22"/>
          <w:lang w:val="en-US"/>
        </w:rPr>
        <w:t>-</w:t>
      </w:r>
      <w:r>
        <w:rPr>
          <w:rFonts w:ascii="Times New Roman Regular" w:hAnsi="Times New Roman Regular" w:cs="Times New Roman Regular"/>
          <w:sz w:val="22"/>
          <w:szCs w:val="22"/>
        </w:rPr>
        <w:t>representation, and negative values indicate under</w:t>
      </w:r>
      <w:r>
        <w:rPr>
          <w:rFonts w:hint="default" w:ascii="Times New Roman Regular" w:hAnsi="Times New Roman Regular" w:cs="Times New Roman Regular"/>
          <w:sz w:val="22"/>
          <w:szCs w:val="22"/>
          <w:lang w:val="en-US"/>
        </w:rPr>
        <w:t>-</w:t>
      </w:r>
      <w:r>
        <w:rPr>
          <w:rFonts w:ascii="Times New Roman Regular" w:hAnsi="Times New Roman Regular" w:cs="Times New Roman Regular"/>
          <w:sz w:val="22"/>
          <w:szCs w:val="22"/>
        </w:rPr>
        <w:t xml:space="preserve">representation. Numbers above each bar show the percentage of all isolates from that country carrying the mutation. Only genes where ≥90% of mutated isolates are confined to a single country and account for ≥30% of that country’s isolates are considered to show country-specific selection. Panels show data for </w:t>
      </w:r>
      <w:r>
        <w:rPr>
          <w:rFonts w:ascii="Times New Roman Bold" w:hAnsi="Times New Roman Bold" w:cs="Times New Roman Bold"/>
          <w:b/>
          <w:bCs/>
          <w:sz w:val="22"/>
          <w:szCs w:val="22"/>
        </w:rPr>
        <w:t>(a)</w:t>
      </w:r>
      <w:r>
        <w:rPr>
          <w:rFonts w:ascii="Times New Roman Regular" w:hAnsi="Times New Roman Regular" w:cs="Times New Roman Regular"/>
          <w:sz w:val="22"/>
          <w:szCs w:val="22"/>
        </w:rPr>
        <w:t xml:space="preserve"> Tanzania,</w:t>
      </w:r>
      <w:r>
        <w:rPr>
          <w:rFonts w:ascii="Times New Roman Bold" w:hAnsi="Times New Roman Bold" w:cs="Times New Roman Bold"/>
          <w:b/>
          <w:bCs/>
          <w:sz w:val="22"/>
          <w:szCs w:val="22"/>
        </w:rPr>
        <w:t xml:space="preserve"> (b)</w:t>
      </w:r>
      <w:r>
        <w:rPr>
          <w:rFonts w:hint="default" w:ascii="Times New Roman Bold" w:hAnsi="Times New Roman Bold" w:cs="Times New Roman Bold"/>
          <w:b/>
          <w:bCs/>
          <w:sz w:val="22"/>
          <w:szCs w:val="22"/>
          <w:lang w:val="en-US"/>
        </w:rPr>
        <w:t xml:space="preserve"> </w:t>
      </w:r>
      <w:r>
        <w:rPr>
          <w:rFonts w:ascii="Times New Roman Regular" w:hAnsi="Times New Roman Regular" w:cs="Times New Roman Regular"/>
          <w:sz w:val="22"/>
          <w:szCs w:val="22"/>
        </w:rPr>
        <w:t>Norway , and</w:t>
      </w:r>
      <w:r>
        <w:rPr>
          <w:rFonts w:ascii="Times New Roman Bold" w:hAnsi="Times New Roman Bold" w:cs="Times New Roman Bold"/>
          <w:b/>
          <w:bCs/>
          <w:sz w:val="22"/>
          <w:szCs w:val="22"/>
        </w:rPr>
        <w:t xml:space="preserve"> (c) </w:t>
      </w:r>
      <w:r>
        <w:rPr>
          <w:rFonts w:ascii="Times New Roman Regular" w:hAnsi="Times New Roman Regular" w:cs="Times New Roman Regular"/>
          <w:sz w:val="22"/>
          <w:szCs w:val="22"/>
        </w:rPr>
        <w:t>Sudan.</w:t>
      </w:r>
    </w:p>
    <w:p w14:paraId="12B0EA50">
      <w:pPr>
        <w:pStyle w:val="3"/>
        <w:widowControl/>
        <w:jc w:val="center"/>
        <w:rPr>
          <w:rStyle w:val="7"/>
          <w:rFonts w:ascii="Times New Roman Bold" w:hAnsi="Times New Roman Bold" w:cs="Times New Roman Bold"/>
          <w:bCs/>
          <w:sz w:val="22"/>
          <w:szCs w:val="22"/>
        </w:rPr>
      </w:pPr>
      <w:bookmarkStart w:id="1" w:name="_Hlk232750120"/>
      <w:r>
        <w:drawing>
          <wp:inline distT="0" distB="0" distL="114300" distR="114300">
            <wp:extent cx="2995930" cy="4107815"/>
            <wp:effectExtent l="0" t="0" r="1270" b="698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1"/>
                    <a:stretch>
                      <a:fillRect/>
                    </a:stretch>
                  </pic:blipFill>
                  <pic:spPr>
                    <a:xfrm>
                      <a:off x="0" y="0"/>
                      <a:ext cx="2995930" cy="4107815"/>
                    </a:xfrm>
                    <a:prstGeom prst="rect">
                      <a:avLst/>
                    </a:prstGeom>
                    <a:noFill/>
                    <a:ln>
                      <a:noFill/>
                    </a:ln>
                  </pic:spPr>
                </pic:pic>
              </a:graphicData>
            </a:graphic>
          </wp:inline>
        </w:drawing>
      </w:r>
    </w:p>
    <w:p w14:paraId="2819ABA6">
      <w:pPr>
        <w:pStyle w:val="3"/>
        <w:widowControl/>
        <w:rPr>
          <w:rFonts w:ascii="Times New Roman Bold" w:hAnsi="Times New Roman Bold" w:cs="Times New Roman Bold"/>
          <w:b/>
          <w:bCs/>
          <w:sz w:val="22"/>
          <w:szCs w:val="22"/>
        </w:rPr>
      </w:pPr>
      <w:r>
        <w:rPr>
          <w:rFonts w:ascii="Times New Roman Bold" w:hAnsi="Times New Roman Bold" w:cs="Times New Roman Bold"/>
          <w:b/>
          <w:bCs/>
          <w:sz w:val="22"/>
          <w:szCs w:val="22"/>
        </w:rPr>
        <w:t>Fig.</w:t>
      </w:r>
      <w:r>
        <w:rPr>
          <w:rFonts w:hint="default" w:ascii="Times New Roman Bold" w:hAnsi="Times New Roman Bold" w:cs="Times New Roman Bold"/>
          <w:b/>
          <w:bCs/>
          <w:sz w:val="22"/>
          <w:szCs w:val="22"/>
          <w:lang w:val="en-US"/>
        </w:rPr>
        <w:t xml:space="preserve"> S</w:t>
      </w:r>
      <w:r>
        <w:rPr>
          <w:rFonts w:ascii="Times New Roman Bold" w:hAnsi="Times New Roman Bold" w:cs="Times New Roman Bold"/>
          <w:b/>
          <w:bCs/>
          <w:sz w:val="22"/>
          <w:szCs w:val="22"/>
        </w:rPr>
        <w:t xml:space="preserve">8. Comparative </w:t>
      </w:r>
      <w:r>
        <w:rPr>
          <w:rFonts w:ascii="Times New Roman Bold" w:hAnsi="Times New Roman Bold" w:cs="Times New Roman Bold"/>
          <w:b/>
          <w:bCs/>
          <w:i/>
          <w:iCs/>
          <w:sz w:val="22"/>
          <w:szCs w:val="22"/>
        </w:rPr>
        <w:t>pN</w:t>
      </w:r>
      <w:r>
        <w:rPr>
          <w:rFonts w:hint="eastAsia" w:ascii="Times New Roman Bold" w:hAnsi="Times New Roman Bold" w:cs="Times New Roman Bold"/>
          <w:b/>
          <w:bCs/>
          <w:i/>
          <w:iCs/>
          <w:sz w:val="22"/>
          <w:szCs w:val="22"/>
        </w:rPr>
        <w:t>/</w:t>
      </w:r>
      <w:r>
        <w:rPr>
          <w:rFonts w:ascii="Times New Roman Bold" w:hAnsi="Times New Roman Bold" w:cs="Times New Roman Bold"/>
          <w:b/>
          <w:bCs/>
          <w:i/>
          <w:iCs/>
          <w:sz w:val="22"/>
          <w:szCs w:val="22"/>
        </w:rPr>
        <w:t>pS</w:t>
      </w:r>
      <w:r>
        <w:rPr>
          <w:rFonts w:ascii="Times New Roman Bold" w:hAnsi="Times New Roman Bold" w:cs="Times New Roman Bold"/>
          <w:b/>
          <w:bCs/>
          <w:sz w:val="22"/>
          <w:szCs w:val="22"/>
        </w:rPr>
        <w:t xml:space="preserve"> patterns of </w:t>
      </w:r>
      <w:r>
        <w:rPr>
          <w:rFonts w:ascii="Times New Roman Bold Italic" w:hAnsi="Times New Roman Bold Italic" w:cs="Times New Roman Bold Italic"/>
          <w:b/>
          <w:bCs/>
          <w:i/>
          <w:iCs/>
          <w:sz w:val="22"/>
          <w:szCs w:val="22"/>
        </w:rPr>
        <w:t>Rv1500</w:t>
      </w:r>
      <w:r>
        <w:rPr>
          <w:rFonts w:ascii="Times New Roman Bold" w:hAnsi="Times New Roman Bold" w:cs="Times New Roman Bold"/>
          <w:b/>
          <w:bCs/>
          <w:sz w:val="22"/>
          <w:szCs w:val="22"/>
        </w:rPr>
        <w:t xml:space="preserve"> across major </w:t>
      </w:r>
      <w:r>
        <w:rPr>
          <w:rFonts w:ascii="Times New Roman Bold Italic" w:hAnsi="Times New Roman Bold Italic" w:cs="Times New Roman Bold Italic"/>
          <w:b/>
          <w:bCs/>
          <w:i/>
          <w:iCs/>
          <w:sz w:val="22"/>
          <w:szCs w:val="22"/>
        </w:rPr>
        <w:t>Mycobacterium tuberculosis</w:t>
      </w:r>
      <w:r>
        <w:rPr>
          <w:rFonts w:ascii="Times New Roman Bold" w:hAnsi="Times New Roman Bold" w:cs="Times New Roman Bold"/>
          <w:b/>
          <w:bCs/>
          <w:sz w:val="22"/>
          <w:szCs w:val="22"/>
        </w:rPr>
        <w:t xml:space="preserve"> lineages</w:t>
      </w:r>
      <w:r>
        <w:rPr>
          <w:rFonts w:hint="eastAsia" w:ascii="Times New Roman Bold" w:hAnsi="Times New Roman Bold" w:cs="Times New Roman Bold"/>
          <w:b/>
          <w:bCs/>
          <w:sz w:val="22"/>
          <w:szCs w:val="22"/>
        </w:rPr>
        <w:t>.</w:t>
      </w:r>
    </w:p>
    <w:bookmarkEnd w:id="1"/>
    <w:p w14:paraId="7BDAB5B3">
      <w:pPr>
        <w:pStyle w:val="3"/>
        <w:widowControl/>
        <w:rPr>
          <w:rStyle w:val="7"/>
          <w:rFonts w:ascii="Times New Roman Bold" w:hAnsi="Times New Roman Bold" w:cs="Times New Roman Bold"/>
          <w:bCs/>
          <w:sz w:val="22"/>
          <w:szCs w:val="22"/>
        </w:rPr>
      </w:pPr>
    </w:p>
    <w:p w14:paraId="10798F4A">
      <w:pPr>
        <w:pStyle w:val="3"/>
        <w:widowControl/>
        <w:rPr>
          <w:rStyle w:val="7"/>
          <w:rFonts w:ascii="Times New Roman Bold" w:hAnsi="Times New Roman Bold" w:cs="Times New Roman Bold"/>
          <w:bCs/>
          <w:sz w:val="22"/>
          <w:szCs w:val="22"/>
        </w:rPr>
      </w:pPr>
    </w:p>
    <w:p w14:paraId="227AB5B8">
      <w:pPr>
        <w:pStyle w:val="3"/>
        <w:widowControl/>
        <w:rPr>
          <w:rStyle w:val="7"/>
          <w:rFonts w:ascii="Times New Roman Bold" w:hAnsi="Times New Roman Bold" w:cs="Times New Roman Bold"/>
          <w:bCs/>
          <w:sz w:val="22"/>
          <w:szCs w:val="22"/>
        </w:rPr>
      </w:pPr>
    </w:p>
    <w:p w14:paraId="589A1149">
      <w:pPr>
        <w:pStyle w:val="3"/>
        <w:widowControl/>
        <w:rPr>
          <w:rStyle w:val="7"/>
          <w:rFonts w:ascii="Times New Roman Bold" w:hAnsi="Times New Roman Bold" w:cs="Times New Roman Bold"/>
          <w:bCs/>
          <w:sz w:val="22"/>
          <w:szCs w:val="22"/>
        </w:rPr>
      </w:pPr>
    </w:p>
    <w:p w14:paraId="2995F543">
      <w:pPr>
        <w:widowControl/>
        <w:jc w:val="left"/>
        <w:rPr>
          <w:rFonts w:ascii="Times New Roman Regular" w:hAnsi="Times New Roman Regular" w:cs="Times New Roman Regular"/>
          <w:sz w:val="22"/>
          <w:szCs w:val="22"/>
        </w:rPr>
      </w:pPr>
    </w:p>
    <w:p w14:paraId="78EED9B6">
      <w:pPr>
        <w:rPr>
          <w:rFonts w:ascii="Times New Roman Regular" w:hAnsi="Times New Roman Regular" w:cs="Times New Roman Regular"/>
        </w:rPr>
      </w:pPr>
      <w:r>
        <w:rPr>
          <w:rFonts w:ascii="Times New Roman Regular" w:hAnsi="Times New Roman Regular" w:cs="Times New Roman Regular"/>
        </w:rPr>
        <w:br w:type="page"/>
      </w:r>
    </w:p>
    <w:p w14:paraId="7E231B2B">
      <w:pPr>
        <w:pStyle w:val="3"/>
        <w:widowControl/>
        <w:jc w:val="center"/>
        <w:rPr>
          <w:rFonts w:ascii="Times New Roman Regular" w:hAnsi="Times New Roman Regular" w:cs="Times New Roman Regular"/>
        </w:rPr>
      </w:pPr>
      <w:r>
        <w:rPr>
          <w:rFonts w:ascii="Times New Roman Regular" w:hAnsi="Times New Roman Regular" w:cs="Times New Roman Regular"/>
        </w:rPr>
        <w:drawing>
          <wp:inline distT="0" distB="0" distL="114300" distR="114300">
            <wp:extent cx="3641725" cy="2779395"/>
            <wp:effectExtent l="0" t="0" r="15875" b="14605"/>
            <wp:docPr id="1" name="图片 1" descr="fig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_10"/>
                    <pic:cNvPicPr>
                      <a:picLocks noChangeAspect="1"/>
                    </pic:cNvPicPr>
                  </pic:nvPicPr>
                  <pic:blipFill>
                    <a:blip r:embed="rId12"/>
                    <a:srcRect l="19930" t="21560" r="32517" b="13931"/>
                    <a:stretch>
                      <a:fillRect/>
                    </a:stretch>
                  </pic:blipFill>
                  <pic:spPr>
                    <a:xfrm>
                      <a:off x="0" y="0"/>
                      <a:ext cx="3641725" cy="2779395"/>
                    </a:xfrm>
                    <a:prstGeom prst="rect">
                      <a:avLst/>
                    </a:prstGeom>
                  </pic:spPr>
                </pic:pic>
              </a:graphicData>
            </a:graphic>
          </wp:inline>
        </w:drawing>
      </w:r>
    </w:p>
    <w:p w14:paraId="23D62ACC">
      <w:pPr>
        <w:pStyle w:val="3"/>
        <w:widowControl/>
        <w:spacing w:afterAutospacing="0"/>
        <w:rPr>
          <w:rFonts w:ascii="Times New Roman Regular" w:hAnsi="Times New Roman Regular" w:cs="Times New Roman Regular"/>
          <w:sz w:val="22"/>
          <w:szCs w:val="22"/>
        </w:rPr>
      </w:pPr>
      <w:r>
        <w:rPr>
          <w:rStyle w:val="7"/>
          <w:rFonts w:ascii="Times New Roman Bold" w:hAnsi="Times New Roman Bold" w:cs="Times New Roman Bold"/>
          <w:bCs/>
          <w:sz w:val="22"/>
          <w:szCs w:val="22"/>
        </w:rPr>
        <w:t xml:space="preserve">Fig. </w:t>
      </w:r>
      <w:r>
        <w:rPr>
          <w:rStyle w:val="7"/>
          <w:rFonts w:hint="default" w:ascii="Times New Roman Bold" w:hAnsi="Times New Roman Bold" w:cs="Times New Roman Bold"/>
          <w:bCs/>
          <w:sz w:val="22"/>
          <w:szCs w:val="22"/>
          <w:lang w:val="en-US"/>
        </w:rPr>
        <w:t>S</w:t>
      </w:r>
      <w:bookmarkStart w:id="2" w:name="_GoBack"/>
      <w:bookmarkEnd w:id="2"/>
      <w:r>
        <w:rPr>
          <w:rStyle w:val="7"/>
          <w:rFonts w:hint="eastAsia" w:ascii="Times New Roman Bold" w:hAnsi="Times New Roman Bold" w:cs="Times New Roman Bold"/>
          <w:bCs/>
          <w:sz w:val="22"/>
          <w:szCs w:val="22"/>
        </w:rPr>
        <w:t>9</w:t>
      </w:r>
      <w:r>
        <w:rPr>
          <w:rStyle w:val="7"/>
          <w:rFonts w:ascii="Times New Roman Bold" w:hAnsi="Times New Roman Bold" w:cs="Times New Roman Bold"/>
          <w:bCs/>
          <w:sz w:val="22"/>
          <w:szCs w:val="22"/>
        </w:rPr>
        <w:t xml:space="preserve">. THD analysis of L3. </w:t>
      </w:r>
      <w:r>
        <w:rPr>
          <w:rFonts w:ascii="Times New Roman Regular" w:hAnsi="Times New Roman Regular" w:cs="Times New Roman Regular"/>
          <w:sz w:val="22"/>
          <w:szCs w:val="22"/>
        </w:rPr>
        <w:t xml:space="preserve">Colors indicate two groups: isolates without compensatory mutations and isolates carrying compensatory mutations. Within each group, isolates are further stratified by predicted resistance profile: drug-sensitive, other-DR (all resistance types excluding MDR, pre-XDR, and XDR), MDR, and pre-XDR. </w:t>
      </w:r>
    </w:p>
    <w:p w14:paraId="6A34966B">
      <w:pPr>
        <w:pStyle w:val="3"/>
        <w:widowControl/>
        <w:spacing w:beforeAutospacing="0" w:afterAutospacing="0"/>
        <w:rPr>
          <w:rFonts w:ascii="Times New Roman Regular" w:hAnsi="Times New Roman Regular" w:cs="Times New Roman Regular"/>
          <w:sz w:val="22"/>
          <w:szCs w:val="22"/>
        </w:rPr>
      </w:pPr>
      <w:r>
        <w:rPr>
          <w:rFonts w:ascii="Times New Roman Regular" w:hAnsi="Times New Roman Regular" w:cs="Times New Roman Regular"/>
          <w:sz w:val="22"/>
          <w:szCs w:val="22"/>
        </w:rPr>
        <w:t>For isolates without compensatory mutations, the median THD values (range) were: drug-sensitive, 0.0116 (1.67×10</w:t>
      </w:r>
      <w:r>
        <w:rPr>
          <w:rFonts w:ascii="Times New Roman Regular" w:hAnsi="Times New Roman Regular" w:cs="Times New Roman Regular"/>
          <w:sz w:val="22"/>
          <w:szCs w:val="22"/>
          <w:vertAlign w:val="superscript"/>
        </w:rPr>
        <w:t>-7</w:t>
      </w:r>
      <w:r>
        <w:rPr>
          <w:rFonts w:ascii="Times New Roman Regular" w:hAnsi="Times New Roman Regular" w:cs="Times New Roman Regular"/>
          <w:sz w:val="22"/>
          <w:szCs w:val="22"/>
        </w:rPr>
        <w:t xml:space="preserve"> to 0.0887); other-DR, 0.00094 (1.55×10</w:t>
      </w:r>
      <w:r>
        <w:rPr>
          <w:rFonts w:ascii="Times New Roman Regular" w:hAnsi="Times New Roman Regular" w:cs="Times New Roman Regular"/>
          <w:sz w:val="22"/>
          <w:szCs w:val="22"/>
          <w:vertAlign w:val="superscript"/>
        </w:rPr>
        <w:t>-8</w:t>
      </w:r>
      <w:r>
        <w:rPr>
          <w:rFonts w:ascii="Times New Roman Regular" w:hAnsi="Times New Roman Regular" w:cs="Times New Roman Regular"/>
          <w:sz w:val="22"/>
          <w:szCs w:val="22"/>
        </w:rPr>
        <w:t xml:space="preserve"> to 0.0697); MDR, 0.0188 (2.53×10</w:t>
      </w:r>
      <w:r>
        <w:rPr>
          <w:rFonts w:ascii="Times New Roman Regular" w:hAnsi="Times New Roman Regular" w:cs="Times New Roman Regular"/>
          <w:sz w:val="22"/>
          <w:szCs w:val="22"/>
          <w:vertAlign w:val="superscript"/>
        </w:rPr>
        <w:t>-5</w:t>
      </w:r>
      <w:r>
        <w:rPr>
          <w:rFonts w:ascii="Times New Roman Regular" w:hAnsi="Times New Roman Regular" w:cs="Times New Roman Regular"/>
          <w:sz w:val="22"/>
          <w:szCs w:val="22"/>
        </w:rPr>
        <w:t xml:space="preserve"> to 0.118); and pre-XDR, 0.00681 (3.86×10</w:t>
      </w:r>
      <w:r>
        <w:rPr>
          <w:rFonts w:ascii="Times New Roman Regular" w:hAnsi="Times New Roman Regular" w:cs="Times New Roman Regular"/>
          <w:sz w:val="22"/>
          <w:szCs w:val="22"/>
          <w:vertAlign w:val="superscript"/>
        </w:rPr>
        <w:t>-6</w:t>
      </w:r>
      <w:r>
        <w:rPr>
          <w:rFonts w:ascii="Times New Roman Regular" w:hAnsi="Times New Roman Regular" w:cs="Times New Roman Regular"/>
          <w:sz w:val="22"/>
          <w:szCs w:val="22"/>
        </w:rPr>
        <w:t xml:space="preserve"> to 0.0853).</w:t>
      </w:r>
    </w:p>
    <w:p w14:paraId="7E7B7D8E">
      <w:pPr>
        <w:pStyle w:val="3"/>
        <w:widowControl/>
        <w:spacing w:beforeAutospacing="0"/>
        <w:rPr>
          <w:rFonts w:ascii="Times New Roman Regular" w:hAnsi="Times New Roman Regular" w:cs="Times New Roman Regular"/>
          <w:sz w:val="22"/>
          <w:szCs w:val="22"/>
        </w:rPr>
      </w:pPr>
      <w:r>
        <w:rPr>
          <w:rFonts w:ascii="Times New Roman Regular" w:hAnsi="Times New Roman Regular" w:cs="Times New Roman Regular"/>
          <w:sz w:val="22"/>
          <w:szCs w:val="22"/>
        </w:rPr>
        <w:t>For isolates carrying compensatory mutations, the corresponding THD values were: other-DR, 0.0000508 (1.48×10</w:t>
      </w:r>
      <w:r>
        <w:rPr>
          <w:rFonts w:ascii="Times New Roman Regular" w:hAnsi="Times New Roman Regular" w:cs="Times New Roman Regular"/>
          <w:sz w:val="22"/>
          <w:szCs w:val="22"/>
          <w:vertAlign w:val="superscript"/>
        </w:rPr>
        <w:t>-10</w:t>
      </w:r>
      <w:r>
        <w:rPr>
          <w:rFonts w:ascii="Times New Roman Regular" w:hAnsi="Times New Roman Regular" w:cs="Times New Roman Regular"/>
          <w:sz w:val="22"/>
          <w:szCs w:val="22"/>
        </w:rPr>
        <w:t xml:space="preserve"> to 0.0574); MDR, 0.00115 (2.29×10</w:t>
      </w:r>
      <w:r>
        <w:rPr>
          <w:rFonts w:ascii="Times New Roman Regular" w:hAnsi="Times New Roman Regular" w:cs="Times New Roman Regular"/>
          <w:sz w:val="22"/>
          <w:szCs w:val="22"/>
          <w:vertAlign w:val="superscript"/>
        </w:rPr>
        <w:t>-9</w:t>
      </w:r>
      <w:r>
        <w:rPr>
          <w:rFonts w:ascii="Times New Roman Regular" w:hAnsi="Times New Roman Regular" w:cs="Times New Roman Regular"/>
          <w:sz w:val="22"/>
          <w:szCs w:val="22"/>
        </w:rPr>
        <w:t xml:space="preserve"> to 0.108); and pre-XDR, 0.00586 (1.12×10</w:t>
      </w:r>
      <w:r>
        <w:rPr>
          <w:rFonts w:ascii="Times New Roman Regular" w:hAnsi="Times New Roman Regular" w:cs="Times New Roman Regular"/>
          <w:sz w:val="22"/>
          <w:szCs w:val="22"/>
          <w:vertAlign w:val="superscript"/>
        </w:rPr>
        <w:t>-8</w:t>
      </w:r>
      <w:r>
        <w:rPr>
          <w:rFonts w:ascii="Times New Roman Regular" w:hAnsi="Times New Roman Regular" w:cs="Times New Roman Regular"/>
          <w:sz w:val="22"/>
          <w:szCs w:val="22"/>
        </w:rPr>
        <w:t xml:space="preserve"> to 0.923). Among these comparisons, only the pre-XDR isolates carrying compensatory mutations showed a statistically significant increase in THD relative to the other groups (</w:t>
      </w:r>
      <w:r>
        <w:rPr>
          <w:rFonts w:ascii="Times New Roman Regular" w:hAnsi="Times New Roman Regular" w:cs="Times New Roman Regular"/>
          <w:i/>
          <w:iCs/>
          <w:sz w:val="22"/>
          <w:szCs w:val="22"/>
        </w:rPr>
        <w:t>P</w:t>
      </w:r>
      <w:r>
        <w:rPr>
          <w:rFonts w:ascii="Times New Roman Regular" w:hAnsi="Times New Roman Regular" w:cs="Times New Roman Regular"/>
          <w:sz w:val="22"/>
          <w:szCs w:val="22"/>
        </w:rPr>
        <w:t xml:space="preserve"> &lt; 0.001).</w:t>
      </w:r>
    </w:p>
    <w:p w14:paraId="628CA5FF">
      <w:pPr>
        <w:jc w:val="center"/>
        <w:rPr>
          <w:rFonts w:ascii="Times New Roman Regular" w:hAnsi="Times New Roman Regular" w:cs="Times New Roman Regul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DengXian">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Times New Roman Bold Italic">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FFF507E"/>
    <w:rsid w:val="00347DFF"/>
    <w:rsid w:val="004A0821"/>
    <w:rsid w:val="006C0737"/>
    <w:rsid w:val="008A2F3B"/>
    <w:rsid w:val="009B70DF"/>
    <w:rsid w:val="00AD4F77"/>
    <w:rsid w:val="00CB6495"/>
    <w:rsid w:val="00CC2E13"/>
    <w:rsid w:val="1FD76780"/>
    <w:rsid w:val="2FBF404B"/>
    <w:rsid w:val="3CFDFC12"/>
    <w:rsid w:val="779ECA50"/>
    <w:rsid w:val="7A5F4D4E"/>
    <w:rsid w:val="7B3AA811"/>
    <w:rsid w:val="7ED1BD75"/>
    <w:rsid w:val="7FDCA3E5"/>
    <w:rsid w:val="7FFFA34D"/>
    <w:rsid w:val="97F62708"/>
    <w:rsid w:val="9FFF507E"/>
    <w:rsid w:val="A6FF1D50"/>
    <w:rsid w:val="BDFB7C39"/>
    <w:rsid w:val="BFE565C2"/>
    <w:rsid w:val="CD571DE8"/>
    <w:rsid w:val="DB5B699D"/>
    <w:rsid w:val="EDFE2B02"/>
    <w:rsid w:val="F27E10B9"/>
    <w:rsid w:val="FEBC5DBB"/>
    <w:rsid w:val="FEBF5970"/>
    <w:rsid w:val="FED27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1"/>
    <w:uiPriority w:val="0"/>
    <w:pPr>
      <w:jc w:val="left"/>
    </w:pPr>
  </w:style>
  <w:style w:type="paragraph" w:styleId="3">
    <w:name w:val="Normal (Web)"/>
    <w:basedOn w:val="1"/>
    <w:uiPriority w:val="0"/>
    <w:pPr>
      <w:spacing w:beforeAutospacing="1" w:afterAutospacing="1"/>
      <w:jc w:val="left"/>
    </w:pPr>
    <w:rPr>
      <w:rFonts w:cs="Times New Roman"/>
      <w:kern w:val="0"/>
      <w:sz w:val="24"/>
    </w:rPr>
  </w:style>
  <w:style w:type="paragraph" w:styleId="4">
    <w:name w:val="annotation subject"/>
    <w:basedOn w:val="2"/>
    <w:next w:val="2"/>
    <w:link w:val="12"/>
    <w:uiPriority w:val="0"/>
    <w:rPr>
      <w:b/>
      <w:bCs/>
    </w:rPr>
  </w:style>
  <w:style w:type="character" w:styleId="7">
    <w:name w:val="Strong"/>
    <w:basedOn w:val="6"/>
    <w:qFormat/>
    <w:uiPriority w:val="0"/>
    <w:rPr>
      <w:b/>
    </w:rPr>
  </w:style>
  <w:style w:type="character" w:styleId="8">
    <w:name w:val="Emphasis"/>
    <w:basedOn w:val="6"/>
    <w:qFormat/>
    <w:uiPriority w:val="0"/>
    <w:rPr>
      <w:i/>
    </w:rPr>
  </w:style>
  <w:style w:type="character" w:styleId="9">
    <w:name w:val="annotation reference"/>
    <w:basedOn w:val="6"/>
    <w:uiPriority w:val="0"/>
    <w:rPr>
      <w:sz w:val="21"/>
      <w:szCs w:val="21"/>
    </w:rPr>
  </w:style>
  <w:style w:type="paragraph" w:customStyle="1" w:styleId="10">
    <w:name w:val="Revision"/>
    <w:hidden/>
    <w:unhideWhenUsed/>
    <w:uiPriority w:val="99"/>
    <w:rPr>
      <w:rFonts w:asciiTheme="minorHAnsi" w:hAnsiTheme="minorHAnsi" w:eastAsiaTheme="minorEastAsia" w:cstheme="minorBidi"/>
      <w:kern w:val="2"/>
      <w:sz w:val="21"/>
      <w:szCs w:val="24"/>
      <w:lang w:val="en-US" w:eastAsia="zh-CN" w:bidi="ar-SA"/>
    </w:rPr>
  </w:style>
  <w:style w:type="character" w:customStyle="1" w:styleId="11">
    <w:name w:val="批注文字 字符"/>
    <w:basedOn w:val="6"/>
    <w:link w:val="2"/>
    <w:uiPriority w:val="0"/>
    <w:rPr>
      <w:rFonts w:asciiTheme="minorHAnsi" w:hAnsiTheme="minorHAnsi" w:eastAsiaTheme="minorEastAsia" w:cstheme="minorBidi"/>
      <w:kern w:val="2"/>
      <w:sz w:val="21"/>
      <w:szCs w:val="24"/>
    </w:rPr>
  </w:style>
  <w:style w:type="character" w:customStyle="1" w:styleId="12">
    <w:name w:val="批注主题 字符"/>
    <w:basedOn w:val="11"/>
    <w:link w:val="4"/>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tiff"/><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674</Words>
  <Characters>3845</Characters>
  <Lines>32</Lines>
  <Paragraphs>9</Paragraphs>
  <TotalTime>9</TotalTime>
  <ScaleCrop>false</ScaleCrop>
  <LinksUpToDate>false</LinksUpToDate>
  <CharactersWithSpaces>4510</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2025-12-02T23:21:00Z</dcterms:created>
  <dc:creator>Chendi Zhu</dc:creator>
  <cp:lastModifiedBy>Chendi Zhu</cp:lastModifiedBy>
  <dcterms:modified xsi:type="dcterms:W3CDTF">2026-09-29T15:59:28Z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C1AD63ACC8F1DE0ECF8F386ADE5695C0_43</vt:lpwstr>
  </property>
</Properties>
</file>