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480.00004363636367" w:lineRule="auto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Supplementary Figures </w:t>
      </w:r>
    </w:p>
    <w:p w:rsidR="00000000" w:rsidDel="00000000" w:rsidP="00000000" w:rsidRDefault="00000000" w:rsidRPr="00000000" w14:paraId="00000002">
      <w:pPr>
        <w:spacing w:line="480.00004363636367" w:lineRule="auto"/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5943600" cy="2438400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38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480.00004363636367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4">
      <w:pPr>
        <w:spacing w:line="480.00004363636367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Fig S1:The landscape of change in SpliceAI scores between annotation runs</w:t>
      </w:r>
      <w:r w:rsidDel="00000000" w:rsidR="00000000" w:rsidRPr="00000000">
        <w:rPr>
          <w:sz w:val="20"/>
          <w:szCs w:val="20"/>
          <w:rtl w:val="0"/>
        </w:rPr>
        <w:t xml:space="preserve">. 86.26 percent of the full set of 15,244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de novo</w:t>
      </w:r>
      <w:r w:rsidDel="00000000" w:rsidR="00000000" w:rsidRPr="00000000">
        <w:rPr>
          <w:sz w:val="20"/>
          <w:szCs w:val="20"/>
          <w:rtl w:val="0"/>
        </w:rPr>
        <w:t xml:space="preserve"> variants had no change in SpliceAI max </w:t>
      </w:r>
      <w:r w:rsidDel="00000000" w:rsidR="00000000" w:rsidRPr="00000000">
        <w:rPr>
          <w:rtl w:val="0"/>
        </w:rPr>
        <w:t xml:space="preserve">Δ</w:t>
      </w:r>
      <w:r w:rsidDel="00000000" w:rsidR="00000000" w:rsidRPr="00000000">
        <w:rPr>
          <w:sz w:val="20"/>
          <w:szCs w:val="20"/>
          <w:rtl w:val="0"/>
        </w:rPr>
        <w:t xml:space="preserve"> over each of the 3 conditions. 5.56% had a score change solely attributable to a change in transcript boundaries. 7.49% of variants’ scores were altered in response to a change in the distance parameter alone, and 0.68% of variants were impacted by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both</w:t>
      </w:r>
      <w:r w:rsidDel="00000000" w:rsidR="00000000" w:rsidRPr="00000000">
        <w:rPr>
          <w:sz w:val="20"/>
          <w:szCs w:val="20"/>
          <w:rtl w:val="0"/>
        </w:rPr>
        <w:t xml:space="preserve"> transcript annotation,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and</w:t>
      </w:r>
      <w:r w:rsidDel="00000000" w:rsidR="00000000" w:rsidRPr="00000000">
        <w:rPr>
          <w:sz w:val="20"/>
          <w:szCs w:val="20"/>
          <w:rtl w:val="0"/>
        </w:rPr>
        <w:t xml:space="preserve"> distance parameter changes. The scores of 2 variants initially changed in response to updated transcript annotations, but gained a new annotation that happened to be the same as their precomputed score scores when the distance parameter was increased.</w:t>
      </w:r>
    </w:p>
    <w:p w:rsidR="00000000" w:rsidDel="00000000" w:rsidP="00000000" w:rsidRDefault="00000000" w:rsidRPr="00000000" w14:paraId="00000005">
      <w:pPr>
        <w:spacing w:line="480.00004363636367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6">
      <w:pPr>
        <w:spacing w:line="480.00004363636367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7">
      <w:pPr>
        <w:spacing w:line="480.00004363636367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8">
      <w:pPr>
        <w:spacing w:line="480.00004363636367" w:lineRule="auto"/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5943600" cy="4267200"/>
            <wp:effectExtent b="0" l="0" r="0" t="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67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480.00004363636367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Fig S2: Distribution of genetic variants within max </w:t>
      </w:r>
      <w:r w:rsidDel="00000000" w:rsidR="00000000" w:rsidRPr="00000000">
        <w:rPr>
          <w:rtl w:val="0"/>
        </w:rPr>
        <w:t xml:space="preserve">Δ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bins</w:t>
      </w:r>
      <w:r w:rsidDel="00000000" w:rsidR="00000000" w:rsidRPr="00000000">
        <w:rPr>
          <w:sz w:val="20"/>
          <w:szCs w:val="20"/>
          <w:rtl w:val="0"/>
        </w:rPr>
        <w:t xml:space="preserve">. Plot shows the distribution of max </w:t>
      </w:r>
      <w:r w:rsidDel="00000000" w:rsidR="00000000" w:rsidRPr="00000000">
        <w:rPr>
          <w:rtl w:val="0"/>
        </w:rPr>
        <w:t xml:space="preserve">Δ</w:t>
      </w:r>
      <w:r w:rsidDel="00000000" w:rsidR="00000000" w:rsidRPr="00000000">
        <w:rPr>
          <w:sz w:val="20"/>
          <w:szCs w:val="20"/>
          <w:rtl w:val="0"/>
        </w:rPr>
        <w:t xml:space="preserve"> bins for 2,385/15,244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de novo</w:t>
      </w:r>
      <w:r w:rsidDel="00000000" w:rsidR="00000000" w:rsidRPr="00000000">
        <w:rPr>
          <w:sz w:val="20"/>
          <w:szCs w:val="20"/>
          <w:rtl w:val="0"/>
        </w:rPr>
        <w:t xml:space="preserve"> variants in NDD genes which had a SpliceAI max </w:t>
      </w:r>
      <w:r w:rsidDel="00000000" w:rsidR="00000000" w:rsidRPr="00000000">
        <w:rPr>
          <w:rtl w:val="0"/>
        </w:rPr>
        <w:t xml:space="preserve">Δ</w:t>
      </w:r>
      <w:r w:rsidDel="00000000" w:rsidR="00000000" w:rsidRPr="00000000">
        <w:rPr>
          <w:sz w:val="20"/>
          <w:szCs w:val="20"/>
          <w:rtl w:val="0"/>
        </w:rPr>
        <w:t xml:space="preserve"> &gt; 0 when run with MANE v1.0 transcripts and distance parameter 500.</w:t>
      </w:r>
    </w:p>
    <w:p w:rsidR="00000000" w:rsidDel="00000000" w:rsidP="00000000" w:rsidRDefault="00000000" w:rsidRPr="00000000" w14:paraId="0000000A">
      <w:pPr>
        <w:spacing w:line="480.00004363636367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B">
      <w:pPr>
        <w:spacing w:line="480.00004363636367" w:lineRule="auto"/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5943600" cy="3327400"/>
            <wp:effectExtent b="0" l="0" r="0" t="0"/>
            <wp:docPr id="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27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480.00004363636367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Fig S3: Flowchart of variant interpretation for the 30 newly identified variants from 100kGP</w:t>
      </w:r>
      <w:r w:rsidDel="00000000" w:rsidR="00000000" w:rsidRPr="00000000">
        <w:rPr>
          <w:sz w:val="20"/>
          <w:szCs w:val="20"/>
          <w:rtl w:val="0"/>
        </w:rPr>
        <w:t xml:space="preserve">, including the mechanism by which they were detected. Variants that were not considered good candidates for the individual’s phenotype, or that were also predicted to have a ‘coding effect’ are shown in pink and yellow respectively, candidate diagnostic variants with a likely splice altering effect are shown in green. The mechanisms by which each of the potentially diagnostic candidate variants were detected are shown in pale blue.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